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40"/>
      </w:tblGrid>
      <w:tr>
        <w:trPr>
          <w:trHeight w:val="15800" w:hRule="atLeas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0"/>
              <w:left w:type="dxa" w:w="1440"/>
              <w:bottom w:type="dxa" w:w="0"/>
              <w:right w:type="dxa" w:w="144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 xml:space="preserve">elevenlease.fr</w:t>
            </w:r>
          </w:p>
          <w:p>
            <w:pPr>
              <w:spacing w:after="360"/>
              <w:jc w:val="center"/>
            </w:pPr>
            <w:r>
              <w:rPr>
                <w:color w:val="93C5FD"/>
                <w:sz w:val="32"/>
                <w:szCs w:val="32"/>
              </w:rPr>
              <w:t xml:space="preserve">SEO / GEO / AEO Audit Report — Re-Audit</w:t>
            </w:r>
          </w:p>
          <w:p>
            <w:pPr>
              <w:spacing w:after="500"/>
              <w:jc w:val="center"/>
            </w:pPr>
            <w:r>
              <w:rPr>
                <w:color w:val="FFFFFF"/>
                <w:sz w:val="22"/>
                <w:szCs w:val="22"/>
              </w:rPr>
              <w:t xml:space="preserve">AUDIT COMPLET — SUIVI</w:t>
            </w:r>
          </w:p>
          <w:p>
            <w:pPr>
              <w:spacing w:after="900"/>
              <w:jc w:val="center"/>
            </w:pPr>
          </w:p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A34A" w:color="auto" w:val="clear"/>
                  <w:tcMar>
                    <w:top w:type="dxa" w:w="260"/>
                    <w:left w:type="dxa" w:w="100"/>
                    <w:bottom w:type="dxa" w:w="260"/>
                    <w:right w:type="dxa" w:w="100"/>
                  </w:tcMar>
                  <w:vAlign w:val="center"/>
                </w:tcPr>
                <w:p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SEO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72"/>
                      <w:szCs w:val="72"/>
                    </w:rPr>
                    <w:t xml:space="preserve">9</w:t>
                  </w:r>
                </w:p>
                <w:p>
                  <w:pPr>
                    <w:jc w:val="center"/>
                  </w:pPr>
                  <w:r>
                    <w:rPr>
                      <w:i/>
                      <w:iCs/>
                      <w:color w:val="FFFFFF"/>
                      <w:sz w:val="18"/>
                      <w:szCs w:val="18"/>
                    </w:rPr>
                    <w:t xml:space="preserve">Solide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A34A" w:color="auto" w:val="clear"/>
                  <w:tcMar>
                    <w:top w:type="dxa" w:w="260"/>
                    <w:left w:type="dxa" w:w="100"/>
                    <w:bottom w:type="dxa" w:w="260"/>
                    <w:right w:type="dxa" w:w="100"/>
                  </w:tcMar>
                  <w:vAlign w:val="center"/>
                </w:tcPr>
                <w:p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GEO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72"/>
                      <w:szCs w:val="72"/>
                    </w:rPr>
                    <w:t xml:space="preserve">9</w:t>
                  </w:r>
                </w:p>
                <w:p>
                  <w:pPr>
                    <w:jc w:val="center"/>
                  </w:pPr>
                  <w:r>
                    <w:rPr>
                      <w:i/>
                      <w:iCs/>
                      <w:color w:val="FFFFFF"/>
                      <w:sz w:val="18"/>
                      <w:szCs w:val="18"/>
                    </w:rPr>
                    <w:t xml:space="preserve">Solide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A34A" w:color="auto" w:val="clear"/>
                  <w:tcMar>
                    <w:top w:type="dxa" w:w="260"/>
                    <w:left w:type="dxa" w:w="100"/>
                    <w:bottom w:type="dxa" w:w="260"/>
                    <w:right w:type="dxa" w:w="100"/>
                  </w:tcMar>
                  <w:vAlign w:val="center"/>
                </w:tcPr>
                <w:p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AEO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72"/>
                      <w:szCs w:val="72"/>
                    </w:rPr>
                    <w:t xml:space="preserve">9</w:t>
                  </w:r>
                </w:p>
                <w:p>
                  <w:pPr>
                    <w:jc w:val="center"/>
                  </w:pPr>
                  <w:r>
                    <w:rPr>
                      <w:i/>
                      <w:iCs/>
                      <w:color w:val="FFFFFF"/>
                      <w:sz w:val="18"/>
                      <w:szCs w:val="18"/>
                    </w:rPr>
                    <w:t xml:space="preserve">Solide</w:t>
                  </w:r>
                </w:p>
              </w:tc>
            </w:tr>
          </w:tbl>
          <w:p>
            <w:pPr>
              <w:spacing w:after="40" w:before="900"/>
              <w:jc w:val="center"/>
            </w:pPr>
            <w:r>
              <w:rPr>
                <w:color w:val="94A3B8"/>
                <w:sz w:val="18"/>
                <w:szCs w:val="18"/>
              </w:rPr>
              <w:t xml:space="preserve">10 août 2026 — re-audit post-implémentation</w:t>
            </w:r>
          </w:p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Généré avec Claude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color w:val="1B2A4A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0"/>
            </w:pPr>
            <w:r>
              <w:rPr>
                <w:color w:val="1E293B"/>
                <w:sz w:val="21"/>
                <w:szCs w:val="21"/>
              </w:rPr>
              <w:t xml:space="preserve">Ce re-audit confirme que l'ensemble des correctifs recommandés dans l'audit du 10 août 2026 sont bien en production sur elevenlease.fr. Le score combiné passe de 22/30 à 27/30. Le progrès le plus marquant concerne le GEO (6 → 9) : Eleven Lease a désormais une identité nominative claire (Mehdi Djaffar, fondateur, avec profil LinkedIn personnel et professionnel), un numéro de téléphone cliquable en plusieurs endroits, et les articles de blog sont attribués à une personne réelle plutôt qu'à l'organisation seule. Le SEO et l'AEO progressent chacun d'un point grâce à l'ajout des schémas WebSite, WebPage et HowTo manquants, et à la citation d'une source institutionnelle dans le guide LOA. Il ne reste que des points mineurs : l'absence d'adresse physique (NAP incomplet), une meta description encore trop longue sur /vehicules, et des images Open Graph génériques sur l'accueil et les articles.</w:t>
            </w:r>
          </w:p>
        </w:tc>
      </w:tr>
    </w:tbl>
    <w:p>
      <w:pPr>
        <w:spacing w:after="12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400"/>
        <w:gridCol w:w="4760"/>
      </w:tblGrid>
      <w:tr>
        <w:trPr>
          <w:tblHeader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 (avant)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Takeaway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9/10  (était 8)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Solide</w:t>
            </w:r>
          </w:p>
        </w:tc>
        <w:tc>
          <w:tcPr>
            <w:tcW w:type="dxa" w:w="4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WebSite + WebPage schema ajoutés, titres véhicule corrigés, og:image véhicule dynamique.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GEO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9/10  (était 6)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Solide</w:t>
            </w:r>
          </w:p>
        </w:tc>
        <w:tc>
          <w:tcPr>
            <w:tcW w:type="dxa" w:w="4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Fondateur nommé + LinkedIn + téléphone + auteurs d'articles nominatifs : l'écart E-E-A-T est comblé.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AEO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9/10  (était 8)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Solide</w:t>
            </w:r>
          </w:p>
        </w:tc>
        <w:tc>
          <w:tcPr>
            <w:tcW w:type="dxa" w:w="4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HowTo sur /loa, FAQPage sur /vehicules, citation institutionnelle ajoutée.</w:t>
            </w:r>
          </w:p>
        </w:tc>
      </w:tr>
      <w:t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Combiné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27/30  (était 22)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Progression de +5 points, aucune régression détectée.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color w:val="1B2A4A"/>
        </w:rPr>
        <w:t xml:space="preserve">Pages Audited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Page Type</w:t>
            </w:r>
          </w:p>
        </w:tc>
        <w:tc>
          <w:tcPr>
            <w:tcW w:type="dxa" w:w="4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6"/>
                <w:szCs w:val="16"/>
              </w:rPr>
              <w:t xml:space="preserve">https://elevenlease.fr/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Accueil</w:t>
            </w:r>
          </w:p>
        </w:tc>
        <w:tc>
          <w:tcPr>
            <w:tcW w:type="dxa" w:w="4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Organization.founder + telephone + sameAs LinkedIn confirmés en prod ; WebSite schema présent ; og:image toujours le logo générique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6"/>
                <w:szCs w:val="16"/>
              </w:rPr>
              <w:t xml:space="preserve">https://elevenlease.fr/vehicules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Catalogue</w:t>
            </w:r>
          </w:p>
        </w:tc>
        <w:tc>
          <w:tcPr>
            <w:tcW w:type="dxa" w:w="4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FAQPage schema ajouté (2 Q/R reprenant du contenu déjà visible) ; meta description toujours à 206 caractères (non corrigée)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6"/>
                <w:szCs w:val="16"/>
              </w:rPr>
              <w:t xml:space="preserve">https://elevenlease.fr/loa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Guide pilier</w:t>
            </w:r>
          </w:p>
        </w:tc>
        <w:tc>
          <w:tcPr>
            <w:tcW w:type="dxa" w:w="4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HowTo schema ajouté (4 étapes) ; citation service-public.gouv.fr/F2437 visible et fonctionnelle dans la section définition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6"/>
                <w:szCs w:val="16"/>
              </w:rPr>
              <w:t xml:space="preserve">https://elevenlease.fr/a-propos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À propos</w:t>
            </w:r>
          </w:p>
        </w:tc>
        <w:tc>
          <w:tcPr>
            <w:tcW w:type="dxa" w:w="4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Carte fondateur visible confirmée (nom, rôle, bio, lien LinkedIn) ; schema founder + sameAs LinkedIn présents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6"/>
                <w:szCs w:val="16"/>
              </w:rPr>
              <w:t xml:space="preserve">https://elevenlease.fr/contact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Contact</w:t>
            </w:r>
          </w:p>
        </w:tc>
        <w:tc>
          <w:tcPr>
            <w:tcW w:type="dxa" w:w="4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Téléphone cliquable (tel:+33638014986) confirmé, lien LinkedIn société ajouté ; titre toujours court (29 car., non modifié)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6"/>
                <w:szCs w:val="16"/>
              </w:rPr>
              <w:t xml:space="preserve">https://elevenlease.fr/articles/loa-ou-lld-difference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Article (échantillon)</w:t>
            </w:r>
          </w:p>
        </w:tc>
        <w:tc>
          <w:tcPr>
            <w:tcW w:type="dxa" w:w="4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Auteur schema passé d'Organization à Person (Mehdi Djaffar, avec sameAs LinkedIn) ; byline « Par Mehdi Djaffar » visible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6"/>
                <w:szCs w:val="16"/>
              </w:rPr>
              <w:t xml:space="preserve">https://elevenlease.fr/simulation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Conversion</w:t>
            </w:r>
          </w:p>
        </w:tc>
        <w:tc>
          <w:tcPr>
            <w:tcW w:type="dxa" w:w="4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WebPage schema ajouté (page qui n'avait aucun JSON-LD auparavant)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563EB"/>
                <w:sz w:val="16"/>
                <w:szCs w:val="16"/>
              </w:rPr>
              <w:t xml:space="preserve">https://elevenlease.fr/vehicule/bmw-serie-4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Fiche véhicule (échantillon)</w:t>
            </w:r>
          </w:p>
        </w:tc>
        <w:tc>
          <w:tcPr>
            <w:tcW w:type="dxa" w:w="4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Titre inclut désormais "Leasing LOA/LLD" ; og:image utilise la vraie photo du véhicule au lieu du logo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color w:val="1B2A4A"/>
        </w:rPr>
        <w:t xml:space="preserve">SEO Analysis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Score : 9/10 — Solide (était 8/10)</w:t>
      </w:r>
    </w:p>
    <w:p>
      <w:pPr>
        <w:pStyle w:val="Heading2"/>
        <w:spacing w:after="150" w:before="300"/>
      </w:pPr>
      <w:r>
        <w:rPr>
          <w:color w:val="2563EB"/>
        </w:rPr>
        <w:t xml:space="preserve">Ce qui a été corrigé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WebSite schema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Ajouté sur l'accueil (name + url).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WebPage schema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Ajouté sur /simulation, qui n'avait aucun JSON-LD auparavant.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Titres fiches véhicule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Incluent désormais "Leasing LOA/LLD" (ex. "BMW SERIE 4 — Leasing LOA/LLD | Eleven Lease").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og:image fiches véhicule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Utilise la vraie photo du véhicule (Supabase storage) au lieu du logo générique.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50" w:before="300"/>
      </w:pPr>
      <w:r>
        <w:rPr>
          <w:color w:val="2563EB"/>
        </w:rPr>
        <w:t xml:space="preserve">Ce qui reste à faire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Meta description /vehicules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Toujours à 206 caractères, au-delà de la limite d'affichage Google.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og:image accueil/articles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Toujours le logo générique — nécessite des visuels sociaux dédiés (travail de design, hors scope code).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color w:val="1B2A4A"/>
        </w:rPr>
        <w:t xml:space="preserve">GEO Analysis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Score : 9/10 — Solide (était 6/10)</w:t>
      </w:r>
    </w:p>
    <w:p>
      <w:pPr>
        <w:pStyle w:val="Heading2"/>
        <w:spacing w:after="150" w:before="300"/>
      </w:pPr>
      <w:r>
        <w:rPr>
          <w:color w:val="2563EB"/>
        </w:rPr>
        <w:t xml:space="preserve">Ce qui a été corrigé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Named expertise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Mehdi Djaffar identifié comme fondateur sur /a-propos (carte visible avec bio) et dans le schema Organization.founder et AboutPage.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Contact / trust signals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Numéro de téléphone (+33 6 38 01 49 86) cliquable sur /contact et dans le footer, présent aussi dans le schema Organization.telephone.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Author bylines (blog)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Les articles sont désormais attribués à Mehdi Djaffar (schema Person avec sameAs LinkedIn) au lieu de l'organisation seule.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sameAs / entity graph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LinkedIn société ajouté au sameAs de l'Organization, en plus d'Instagram et TikTok.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Source citations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Citation de la fiche officielle service-public.gouv.fr sur la LOA/LLD ajoutée dans le guide.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50" w:before="300"/>
      </w:pPr>
      <w:r>
        <w:rPr>
          <w:color w:val="2563EB"/>
        </w:rPr>
        <w:t xml:space="preserve">Ce qui reste à faire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Adresse physique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Aucune adresse professionnelle affichée — NAP (Name/Address/Phone) reste incomplet.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Signaux externes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Toujours peu de mentions/backlinks externes vérifiables au-delà de Trustpilot ; fiche Google Business non confirmée.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color w:val="1B2A4A"/>
        </w:rPr>
        <w:t xml:space="preserve">AEO Analysis</w:t>
      </w:r>
    </w:p>
    <w:p>
      <w:pPr>
        <w:spacing w:after="160"/>
      </w:pPr>
      <w:r>
        <w:rPr>
          <w:b/>
          <w:bCs/>
          <w:color w:val="16A34A"/>
          <w:sz w:val="22"/>
          <w:szCs w:val="22"/>
        </w:rPr>
        <w:t xml:space="preserve">Score : 9/10 — Solide (était 8/10)</w:t>
      </w:r>
    </w:p>
    <w:p>
      <w:pPr>
        <w:pStyle w:val="Heading2"/>
        <w:spacing w:after="150" w:before="300"/>
      </w:pPr>
      <w:r>
        <w:rPr>
          <w:color w:val="2563EB"/>
        </w:rPr>
        <w:t xml:space="preserve">Ce qui a été corrigé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HowTo schema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Ajouté sur /loa, reprend les 4 étapes déjà visibles du parcours LOA.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FAQPage schema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Ajouté sur /vehicules, reprend 2 Q/R déjà visibles sur la page (pas de nouveau contenu).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50" w:before="300"/>
      </w:pPr>
      <w:r>
        <w:rPr>
          <w:color w:val="2563EB"/>
        </w:rPr>
        <w:t xml:space="preserve">Ce qui reste à faire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Speakable schema</w:t>
            </w:r>
          </w:p>
        </w:tc>
        <w:tc>
          <w:tcPr>
            <w:tcW w:type="dxa" w:w="4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Toujours absent — priorité volontairement basse (support limité, impact marginal).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color w:val="1B2A4A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60"/>
        <w:gridCol w:w="1200"/>
        <w:gridCol w:w="900"/>
        <w:gridCol w:w="1400"/>
      </w:tblGrid>
      <w:tr>
        <w:trPr>
          <w:tblHeader/>
        </w:trPr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Raccourcir la meta description de /vehicules sous 160 caractères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SEO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Faible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Faible</w:t>
            </w:r>
          </w:p>
        </w:tc>
      </w:tr>
      <w:tr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Ajouter une adresse professionnelle visible pour compléter le NAP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GEO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Faible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Moyen</w:t>
            </w:r>
          </w:p>
        </w:tc>
      </w:tr>
      <w:tr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Quick Win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Créer 2-3 visuels Open Graph dédiés (accueil, article, véhicule) pour remplacer le logo générique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SEO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Moyen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Moyen</w:t>
            </w:r>
          </w:p>
        </w:tc>
      </w:tr>
      <w:tr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Quick Win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Créer/confirmer une fiche Google Business Profile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GEO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Faible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Moyen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color w:val="1B2A4A"/>
        </w:rPr>
        <w:t xml:space="preserve">What's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40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 xml:space="preserve">Progression de +5 points sur le score combiné en une seule itération, sans aucune régression détectée (build propre, aucune erreur console, tous les schémas JSON-LD valides).</w:t>
            </w:r>
          </w:p>
          <w:p>
            <w:pPr>
              <w:spacing w:after="140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 xml:space="preserve">Identité de marque désormais nominative et vérifiable : fondateur nommé, LinkedIn personnel et professionnel, téléphone — exactement les signaux que les moteurs IA génératifs utilisent pour évaluer la confiance.</w:t>
            </w:r>
          </w:p>
          <w:p>
            <w:pPr>
              <w:spacing w:after="140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 xml:space="preserve">Tous les ajouts de schema (HowTo, FAQPage) reprennent du contenu déjà visible sur la page plutôt que d'inventer du texte caché — conforme aux règles de Google sur les données structurées.</w:t>
            </w:r>
          </w:p>
          <w:p>
            <w:pPr>
              <w:spacing w:after="140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 xml:space="preserve">Le guide LOA cite maintenant une source institutionnelle officielle (service-public.gouv.fr), renforçant sa crédibilité pour la citation par les moteurs IA.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color w:val="1B2A4A"/>
        </w:rPr>
        <w:t xml:space="preserve">Glossary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SEO (Search Engine Optimization) : optimisation pour les moteurs de recherche traditionnels (Google, Bing) — titres, meta descriptions, structure technique.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GEO (Generative Engine Optimization) : optimisation pour les moteurs de recherche IA génératifs (ChatGPT Search, Perplexity, Google AI Overviews) qui synthétisent des réponses à partir de plusieurs sources et les citent.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AEO (Answer Engine Optimization) : optimisation pour les extraits en vedette, les boîtes "Autres questions posées" et la recherche vocale — formats de réponse directe et structurée.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jc w:val="right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4"/>
      </w:pBdr>
      <w:tabs>
        <w:tab w:val="right" w:pos="9026"/>
      </w:tabs>
    </w:pPr>
    <w:r>
      <w:rPr>
        <w:b/>
        <w:bCs/>
        <w:color w:val="1B2A4A"/>
        <w:sz w:val="18"/>
        <w:szCs w:val="18"/>
      </w:rPr>
      <w:t xml:space="preserve">elevenlease.fr</w:t>
    </w:r>
    <w:r>
      <w:rPr>
        <w:color w:val="1E293B"/>
        <w:sz w:val="18"/>
        <w:szCs w:val="18"/>
      </w:rPr>
      <w:t xml:space="preserve">	SEO / GEO / AEO Audit Report — Re-Audit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Arial" w:cs="Arial" w:eastAsia="Arial" w:hAnsi="Arial"/>
      <w:b/>
      <w:bCs/>
      <w:color w:val="1B2A4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40" w:before="24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2026-08-10T18:11:43.787Z</dcterms:created>
  <dcterms:modified xsi:type="dcterms:W3CDTF">2026-08-10T18:11:43.790Z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