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D2BA7">
      <w:pPr>
        <w:spacing w:after="0" w:afterAutospacing="0"/>
        <w:jc w:val="center"/>
        <w:rPr>
          <w:rFonts w:hint="eastAsia" w:ascii="等线" w:hAnsi="等线" w:eastAsia="等线" w:cs="等线"/>
          <w:b/>
          <w:bCs/>
          <w:sz w:val="44"/>
          <w:szCs w:val="44"/>
        </w:rPr>
      </w:pPr>
      <w:r>
        <w:rPr>
          <w:rFonts w:hint="default" w:ascii="Arial" w:hAnsi="Arial" w:eastAsia="等线" w:cs="Arial"/>
          <w:b/>
          <w:bCs/>
          <w:sz w:val="44"/>
          <w:szCs w:val="44"/>
        </w:rPr>
        <w:t>Indigoidine</w:t>
      </w:r>
      <w:r>
        <w:rPr>
          <w:rFonts w:hint="eastAsia" w:ascii="等线" w:hAnsi="等线" w:eastAsia="等线" w:cs="等线"/>
          <w:b/>
          <w:bCs/>
          <w:sz w:val="44"/>
          <w:szCs w:val="44"/>
        </w:rPr>
        <w:t>项目进一步计划和中期总结</w:t>
      </w:r>
    </w:p>
    <w:p w14:paraId="2546E45A">
      <w:pPr>
        <w:numPr>
          <w:ilvl w:val="0"/>
          <w:numId w:val="1"/>
        </w:numPr>
        <w:spacing w:before="471" w:beforeLines="150" w:beforeAutospacing="0" w:after="312" w:afterAutospacing="0"/>
        <w:ind w:left="482" w:hanging="560" w:hangingChars="200"/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等线" w:hAnsi="等线" w:eastAsia="等线" w:cs="等线"/>
          <w:b/>
          <w:bCs/>
          <w:sz w:val="28"/>
          <w:szCs w:val="28"/>
        </w:rPr>
        <w:t>下学期进度安排</w:t>
      </w:r>
    </w:p>
    <w:tbl>
      <w:tblPr>
        <w:tblStyle w:val="14"/>
        <w:tblW w:w="102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501"/>
        <w:gridCol w:w="1289"/>
        <w:gridCol w:w="3216"/>
        <w:gridCol w:w="3216"/>
      </w:tblGrid>
      <w:tr w14:paraId="0C35B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001" w:type="dxa"/>
            <w:vAlign w:val="center"/>
          </w:tcPr>
          <w:p w14:paraId="1EE5E300">
            <w:pPr>
              <w:snapToGrid w:val="0"/>
              <w:spacing w:beforeAutospacing="0"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501" w:type="dxa"/>
            <w:vAlign w:val="center"/>
          </w:tcPr>
          <w:p w14:paraId="060BFA4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时间安排</w:t>
            </w:r>
          </w:p>
        </w:tc>
        <w:tc>
          <w:tcPr>
            <w:tcW w:w="1289" w:type="dxa"/>
            <w:vAlign w:val="center"/>
          </w:tcPr>
          <w:p w14:paraId="2F488C1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3216" w:type="dxa"/>
            <w:vAlign w:val="center"/>
          </w:tcPr>
          <w:p w14:paraId="5D8FE9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阶段成果（目标）</w:t>
            </w:r>
          </w:p>
        </w:tc>
        <w:tc>
          <w:tcPr>
            <w:tcW w:w="3216" w:type="dxa"/>
            <w:vAlign w:val="center"/>
          </w:tcPr>
          <w:p w14:paraId="21695EB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需要解决的问题/关键点</w:t>
            </w:r>
          </w:p>
        </w:tc>
      </w:tr>
      <w:tr w14:paraId="5475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4D20B2B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1</w:t>
            </w:r>
          </w:p>
        </w:tc>
        <w:tc>
          <w:tcPr>
            <w:tcW w:w="1501" w:type="dxa"/>
            <w:vAlign w:val="center"/>
          </w:tcPr>
          <w:p w14:paraId="6D72E37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3.14</w:t>
            </w:r>
          </w:p>
        </w:tc>
        <w:tc>
          <w:tcPr>
            <w:tcW w:w="1289" w:type="dxa"/>
            <w:vAlign w:val="center"/>
          </w:tcPr>
          <w:p w14:paraId="17A192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产物分离与鉴定</w:t>
            </w:r>
          </w:p>
        </w:tc>
        <w:tc>
          <w:tcPr>
            <w:tcW w:w="3216" w:type="dxa"/>
            <w:vAlign w:val="center"/>
          </w:tcPr>
          <w:p w14:paraId="2B75CA8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获得纯净糖基化Indigoidine</w:t>
            </w:r>
            <w:r>
              <w:br w:type="textWrapping"/>
            </w:r>
            <w:r>
              <w:t>② 制作浓度参标</w:t>
            </w:r>
            <w:r>
              <w:br w:type="textWrapping"/>
            </w:r>
            <w:r>
              <w:t>③ 得到核磁特征</w:t>
            </w:r>
          </w:p>
        </w:tc>
        <w:tc>
          <w:tcPr>
            <w:tcW w:w="3216" w:type="dxa"/>
            <w:vAlign w:val="center"/>
          </w:tcPr>
          <w:p w14:paraId="39C4A43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主要用 HPLC 分离（寒假已预实验）</w:t>
            </w:r>
            <w:r>
              <w:br w:type="textWrapping"/>
            </w:r>
            <w:r>
              <w:t>② 冻干称量实现定量标准</w:t>
            </w:r>
            <w:r>
              <w:br w:type="textWrapping"/>
            </w:r>
            <w:r>
              <w:t>③ 核磁可选，飞总预计 3.1 前</w:t>
            </w:r>
            <w:r>
              <w:rPr>
                <w:rFonts w:hint="eastAsia"/>
                <w:lang w:val="en-US" w:eastAsia="zh-CN"/>
              </w:rPr>
              <w:t>会帮忙</w:t>
            </w:r>
            <w:r>
              <w:t>测一次</w:t>
            </w:r>
          </w:p>
        </w:tc>
      </w:tr>
      <w:tr w14:paraId="00118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6A5DA4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2</w:t>
            </w:r>
          </w:p>
        </w:tc>
        <w:tc>
          <w:tcPr>
            <w:tcW w:w="1501" w:type="dxa"/>
            <w:vAlign w:val="center"/>
          </w:tcPr>
          <w:p w14:paraId="552B1B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5.20（初赛材料截止）</w:t>
            </w:r>
          </w:p>
        </w:tc>
        <w:tc>
          <w:tcPr>
            <w:tcW w:w="1289" w:type="dxa"/>
            <w:vAlign w:val="center"/>
          </w:tcPr>
          <w:p w14:paraId="7F9308E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基因敲除与过表达</w:t>
            </w:r>
          </w:p>
        </w:tc>
        <w:tc>
          <w:tcPr>
            <w:tcW w:w="3216" w:type="dxa"/>
            <w:vAlign w:val="center"/>
          </w:tcPr>
          <w:p w14:paraId="3C97CF7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完成 5–8 个基因敲除（</w:t>
            </w:r>
            <w:r>
              <w:rPr>
                <w:rFonts w:hint="eastAsia"/>
                <w:lang w:val="en-US" w:eastAsia="zh-CN"/>
              </w:rPr>
              <w:t>预计</w:t>
            </w:r>
            <w:r>
              <w:t xml:space="preserve"> 6 个</w:t>
            </w:r>
            <w:r>
              <w:rPr>
                <w:rFonts w:hint="eastAsia"/>
                <w:lang w:val="en-US" w:eastAsia="zh-CN"/>
              </w:rPr>
              <w:t>基因，包括组合</w:t>
            </w:r>
            <w:r>
              <w:t>）</w:t>
            </w:r>
            <w:r>
              <w:br w:type="textWrapping"/>
            </w:r>
            <w:r>
              <w:t>② 对上述基因进行过表达</w:t>
            </w:r>
          </w:p>
        </w:tc>
        <w:tc>
          <w:tcPr>
            <w:tcW w:w="3216" w:type="dxa"/>
            <w:vAlign w:val="center"/>
          </w:tcPr>
          <w:p w14:paraId="35B587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 xml:space="preserve">① </w:t>
            </w:r>
            <w:r>
              <w:rPr>
                <w:highlight w:val="yellow"/>
              </w:rPr>
              <w:t>挑选 3 个已报道 + 3 个未报道基因</w:t>
            </w:r>
            <w:r>
              <w:br w:type="textWrapping"/>
            </w:r>
            <w:r>
              <w:t xml:space="preserve">② </w:t>
            </w:r>
            <w:r>
              <w:rPr>
                <w:rFonts w:hint="eastAsia"/>
                <w:highlight w:val="yellow"/>
                <w:lang w:val="en-US" w:eastAsia="zh-CN"/>
              </w:rPr>
              <w:t>得到</w:t>
            </w:r>
            <w:r>
              <w:rPr>
                <w:highlight w:val="yellow"/>
              </w:rPr>
              <w:t>BAP1-pCAS</w:t>
            </w:r>
            <w:r>
              <w:rPr>
                <w:rFonts w:hint="eastAsia"/>
                <w:highlight w:val="yellow"/>
                <w:lang w:eastAsia="zh-CN"/>
              </w:rPr>
              <w:t>（</w:t>
            </w:r>
            <w:r>
              <w:rPr>
                <w:highlight w:val="yellow"/>
              </w:rPr>
              <w:t>敲除背景统一在 BAP1</w:t>
            </w:r>
            <w:r>
              <w:rPr>
                <w:rFonts w:hint="eastAsia"/>
                <w:highlight w:val="yellow"/>
                <w:lang w:val="en-US" w:eastAsia="zh-CN"/>
              </w:rPr>
              <w:t>故</w:t>
            </w:r>
            <w:r>
              <w:rPr>
                <w:highlight w:val="yellow"/>
              </w:rPr>
              <w:t>需先做）</w:t>
            </w:r>
            <w:r>
              <w:br w:type="textWrapping"/>
            </w:r>
            <w:r>
              <w:t>③ 敲除与过表达并行</w:t>
            </w:r>
            <w:r>
              <w:br w:type="textWrapping"/>
            </w:r>
            <w:r>
              <w:t>④ 正向结果进一步组合筛选</w:t>
            </w:r>
          </w:p>
        </w:tc>
      </w:tr>
      <w:tr w14:paraId="558A4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26A644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3</w:t>
            </w:r>
          </w:p>
        </w:tc>
        <w:tc>
          <w:tcPr>
            <w:tcW w:w="1501" w:type="dxa"/>
            <w:vAlign w:val="center"/>
          </w:tcPr>
          <w:p w14:paraId="110AFE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 – 3.14</w:t>
            </w:r>
          </w:p>
        </w:tc>
        <w:tc>
          <w:tcPr>
            <w:tcW w:w="1289" w:type="dxa"/>
            <w:vAlign w:val="center"/>
          </w:tcPr>
          <w:p w14:paraId="34FDC0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组合筛选</w:t>
            </w:r>
          </w:p>
        </w:tc>
        <w:tc>
          <w:tcPr>
            <w:tcW w:w="3216" w:type="dxa"/>
            <w:vAlign w:val="center"/>
          </w:tcPr>
          <w:p w14:paraId="3F8CD15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确定最优组合菌株</w:t>
            </w:r>
            <w:r>
              <w:br w:type="textWrapping"/>
            </w:r>
            <w:r>
              <w:rPr>
                <w:rFonts w:hint="eastAsia"/>
                <w:lang w:val="en-US" w:eastAsia="zh-CN"/>
              </w:rPr>
              <w:t>(</w:t>
            </w:r>
            <w:r>
              <w:t>依赖</w:t>
            </w:r>
            <w:r>
              <w:rPr>
                <w:rFonts w:hint="eastAsia"/>
                <w:lang w:val="en-US" w:eastAsia="zh-CN"/>
              </w:rPr>
              <w:t>阶段1的</w:t>
            </w:r>
            <w:r>
              <w:t>定量方案）</w:t>
            </w:r>
          </w:p>
        </w:tc>
        <w:tc>
          <w:tcPr>
            <w:tcW w:w="3216" w:type="dxa"/>
            <w:vAlign w:val="center"/>
          </w:tcPr>
          <w:p w14:paraId="40BCF3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统一用 LB 培养基发酵</w:t>
            </w:r>
            <w:r>
              <w:br w:type="textWrapping"/>
            </w:r>
            <w:r>
              <w:t>② IndA PCR 若</w:t>
            </w:r>
            <w:r>
              <w:rPr>
                <w:rFonts w:hint="eastAsia"/>
                <w:lang w:val="en-US" w:eastAsia="zh-CN"/>
              </w:rPr>
              <w:t>再</w:t>
            </w:r>
            <w:r>
              <w:t>失败</w:t>
            </w:r>
            <w:r>
              <w:rPr>
                <w:rFonts w:hint="eastAsia"/>
                <w:lang w:val="en-US" w:eastAsia="zh-CN"/>
              </w:rPr>
              <w:t>则</w:t>
            </w:r>
            <w:r>
              <w:t>考虑公司合成</w:t>
            </w:r>
            <w:r>
              <w:br w:type="textWrapping"/>
            </w:r>
            <w:r>
              <w:t>③ 飞总预计返校前</w:t>
            </w:r>
            <w:r>
              <w:rPr>
                <w:rFonts w:hint="eastAsia"/>
                <w:lang w:val="en-US" w:eastAsia="zh-CN"/>
              </w:rPr>
              <w:t>帮忙</w:t>
            </w:r>
            <w:r>
              <w:t>完成 IndA 系列组合菌</w:t>
            </w:r>
          </w:p>
        </w:tc>
      </w:tr>
      <w:tr w14:paraId="4F4D7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3DAE43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4</w:t>
            </w:r>
          </w:p>
        </w:tc>
        <w:tc>
          <w:tcPr>
            <w:tcW w:w="1501" w:type="dxa"/>
            <w:vAlign w:val="center"/>
          </w:tcPr>
          <w:p w14:paraId="3686C4F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3.14 – 5.1</w:t>
            </w:r>
          </w:p>
        </w:tc>
        <w:tc>
          <w:tcPr>
            <w:tcW w:w="1289" w:type="dxa"/>
            <w:vAlign w:val="center"/>
          </w:tcPr>
          <w:p w14:paraId="44C4C1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发酵条件优化</w:t>
            </w:r>
            <w:r>
              <w:rPr>
                <w:rFonts w:hint="eastAsia"/>
                <w:lang w:val="en-US" w:eastAsia="zh-CN"/>
              </w:rPr>
              <w:t>(初步</w:t>
            </w:r>
            <w:r>
              <w:t>）</w:t>
            </w:r>
          </w:p>
        </w:tc>
        <w:tc>
          <w:tcPr>
            <w:tcW w:w="3216" w:type="dxa"/>
            <w:vAlign w:val="center"/>
          </w:tcPr>
          <w:p w14:paraId="1A7D57C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得到最优C源、N源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t>增加可视化数据量</w:t>
            </w:r>
          </w:p>
        </w:tc>
        <w:tc>
          <w:tcPr>
            <w:tcW w:w="3216" w:type="dxa"/>
            <w:vAlign w:val="center"/>
          </w:tcPr>
          <w:p w14:paraId="44A665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简单优化方向：C源、N源、温度、pH 等</w:t>
            </w:r>
            <w:r>
              <w:br w:type="textWrapping"/>
            </w:r>
            <w:r>
              <w:t>重点是补数据，不是核心工作</w:t>
            </w:r>
          </w:p>
        </w:tc>
      </w:tr>
      <w:tr w14:paraId="35336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643BF11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5</w:t>
            </w:r>
          </w:p>
        </w:tc>
        <w:tc>
          <w:tcPr>
            <w:tcW w:w="1501" w:type="dxa"/>
            <w:vAlign w:val="center"/>
          </w:tcPr>
          <w:p w14:paraId="27245AE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5.1 – 7.20</w:t>
            </w:r>
          </w:p>
        </w:tc>
        <w:tc>
          <w:tcPr>
            <w:tcW w:w="1289" w:type="dxa"/>
            <w:vAlign w:val="center"/>
          </w:tcPr>
          <w:p w14:paraId="5A38ACD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应用探索</w:t>
            </w:r>
          </w:p>
        </w:tc>
        <w:tc>
          <w:tcPr>
            <w:tcW w:w="3216" w:type="dxa"/>
            <w:vAlign w:val="center"/>
          </w:tcPr>
          <w:p w14:paraId="757F4F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① 活菌染色</w:t>
            </w:r>
            <w:r>
              <w:br w:type="textWrapping"/>
            </w:r>
            <w:r>
              <w:t>② 抗氧化实验</w:t>
            </w:r>
            <w:r>
              <w:br w:type="textWrapping"/>
            </w:r>
            <w:r>
              <w:t>③ 抗菌性研究</w:t>
            </w:r>
            <w:r>
              <w:br w:type="textWrapping"/>
            </w:r>
            <w:r>
              <w:t>④ pH 检测应用</w:t>
            </w:r>
            <w:r>
              <w:br w:type="textWrapping"/>
            </w:r>
            <w:r>
              <w:t>⑤ 金属离子螯合作用</w:t>
            </w:r>
          </w:p>
        </w:tc>
        <w:tc>
          <w:tcPr>
            <w:tcW w:w="3216" w:type="dxa"/>
            <w:vAlign w:val="center"/>
          </w:tcPr>
          <w:p w14:paraId="227DC3B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活菌染色需糖基化比例高 → 要求 B 酶高活性</w:t>
            </w:r>
            <w:r>
              <w:br w:type="textWrapping"/>
            </w:r>
            <w:r>
              <w:t>抗菌性需比较糖基化前后差异</w:t>
            </w:r>
          </w:p>
          <w:p w14:paraId="78737A6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PH检测可结合文献进一步探究</w:t>
            </w:r>
          </w:p>
        </w:tc>
      </w:tr>
      <w:tr w14:paraId="59C6D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01" w:type="dxa"/>
            <w:vAlign w:val="center"/>
          </w:tcPr>
          <w:p w14:paraId="1B43271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阶段 6</w:t>
            </w:r>
          </w:p>
        </w:tc>
        <w:tc>
          <w:tcPr>
            <w:tcW w:w="1501" w:type="dxa"/>
            <w:vAlign w:val="center"/>
          </w:tcPr>
          <w:p w14:paraId="56368A7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t>5.20 – 7.20（初赛后至决赛）</w:t>
            </w:r>
          </w:p>
        </w:tc>
        <w:tc>
          <w:tcPr>
            <w:tcW w:w="1289" w:type="dxa"/>
            <w:vAlign w:val="center"/>
          </w:tcPr>
          <w:p w14:paraId="674AE3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补充数据与完善实验</w:t>
            </w:r>
          </w:p>
        </w:tc>
        <w:tc>
          <w:tcPr>
            <w:tcW w:w="3216" w:type="dxa"/>
            <w:vAlign w:val="center"/>
          </w:tcPr>
          <w:p w14:paraId="0291794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t>获得更多实验数据支撑决赛材料</w:t>
            </w:r>
          </w:p>
        </w:tc>
        <w:tc>
          <w:tcPr>
            <w:tcW w:w="3216" w:type="dxa"/>
            <w:vAlign w:val="center"/>
          </w:tcPr>
          <w:p w14:paraId="5F76C5B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补充</w:t>
            </w:r>
            <w:r>
              <w:t>实验、多敲几个基因、完善结果展示</w:t>
            </w:r>
          </w:p>
        </w:tc>
      </w:tr>
    </w:tbl>
    <w:p w14:paraId="249851A9">
      <w:pPr>
        <w:numPr>
          <w:ilvl w:val="0"/>
          <w:numId w:val="0"/>
        </w:numPr>
        <w:ind w:left="280" w:leftChars="0" w:hanging="720" w:firstLineChars="0"/>
        <w:rPr>
          <w:rFonts w:hint="eastAsia" w:ascii="仿宋" w:hAnsi="仿宋" w:eastAsia="仿宋"/>
          <w:b/>
          <w:bCs/>
          <w:sz w:val="24"/>
        </w:rPr>
      </w:pPr>
      <w:r>
        <w:rPr>
          <w:rFonts w:ascii="仿宋" w:hAnsi="仿宋" w:eastAsia="仿宋"/>
          <w:b/>
          <w:bCs/>
          <w:sz w:val="24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eastAsia="zh-CN"/>
        </w:rPr>
        <w:t>（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1）</w:t>
      </w:r>
      <w:r>
        <w:rPr>
          <w:rFonts w:hint="eastAsia" w:ascii="仿宋" w:hAnsi="仿宋" w:eastAsia="仿宋"/>
          <w:b/>
          <w:bCs/>
          <w:sz w:val="28"/>
          <w:szCs w:val="28"/>
        </w:rPr>
        <w:t>3.1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- </w:t>
      </w:r>
      <w:r>
        <w:rPr>
          <w:rFonts w:hint="eastAsia" w:ascii="仿宋" w:hAnsi="仿宋" w:eastAsia="仿宋"/>
          <w:b/>
          <w:bCs/>
          <w:sz w:val="28"/>
          <w:szCs w:val="28"/>
        </w:rPr>
        <w:t>3.14 产物分离和鉴定</w:t>
      </w:r>
      <w:r>
        <w:rPr>
          <w:rFonts w:ascii="仿宋" w:hAnsi="仿宋" w:eastAsia="仿宋"/>
          <w:b/>
          <w:bCs/>
          <w:sz w:val="28"/>
          <w:szCs w:val="28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 阶段成果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①获得纯净糖基化Indigoidine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②制作糖基化Indigoidine浓度参标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③得到核磁特征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 需要解决的问题：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①</w:t>
      </w:r>
      <w:r>
        <w:rPr>
          <w:rFonts w:hint="eastAsia" w:ascii="仿宋" w:hAnsi="仿宋" w:eastAsia="仿宋"/>
          <w:b/>
          <w:bCs/>
          <w:sz w:val="24"/>
        </w:rPr>
        <w:t>将主要通过HPLC方法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分离糖基化Indigoidine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  在寒假的时候已进行预实验，糖基化Indigoidine和Indigoidine紫外吸收峰不一样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②如何定量糖基化Indigoidine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  寒假时候已经冻干一部分未分离的Indigoidine，后续大致流程为需要分离得到纯净糖基化Indigoidine，冻干成粉末，通过称量粉末来获取定量糖基化Indigoidine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③对分离得到的糖基化Indigoidine打核磁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 此步非必须，但是可以进行，飞总预计会在3.1前帮我们打一次核磁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（2）3.1 - 5.20（初赛材料提交截至日期） 基因敲除和过表达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 阶段成果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①完成5到8个（包括组合）基因敲除（预计在该阶段至少完成6个基因，计划每人2个，刊载过和未刊载过各1个）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②对以上基因进行过表达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需要解决的问题：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①挑选3个已被刊载过可敲除的基因和3个未被刊载的基因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 w:val="0"/>
          <w:bCs w:val="0"/>
          <w:sz w:val="24"/>
          <w:highlight w:val="yellow"/>
          <w:lang w:val="en-US" w:eastAsia="zh-CN"/>
        </w:rPr>
        <w:t>②后续敲除皆在BAP1中进行，故需要先做BAP1-pCAS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③单基因敲除和基因过表达</w:t>
      </w:r>
      <w:r>
        <w:rPr>
          <w:rFonts w:hint="eastAsia" w:ascii="仿宋" w:hAnsi="仿宋" w:eastAsia="仿宋"/>
          <w:b w:val="0"/>
          <w:bCs w:val="0"/>
          <w:sz w:val="24"/>
          <w:highlight w:val="yellow"/>
          <w:lang w:val="en-US" w:eastAsia="zh-CN"/>
        </w:rPr>
        <w:t>同时进行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④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t>筛选出正向结果进行组合敲除或者过表达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（3）3.1 - 3.14组合筛选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此处有一个逻辑线需要理清，组合筛选和发酵条件优化是有关联的，但是我们时间有限，来不及完整地做每种组合在不同种培养基下的产率对比，于是统一用LB进行发酵（LB营养物质非常丰富，是非常理想的培养基，唯一缺点是在工业上较贵，所以我们理想地认为LB是最优培养基进行组合筛选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另外此阶段的进度受阶段1的结果影响较大，来不及完成可往后推时间，下一步的发酵条件优化不是非常重要，可压缩时间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阶段成果：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确切拿出最优组合结果（此步也建立在有定量检测方案基础上）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需要解决的问题：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①IndA在寒假重新PCR了，若再次失败则准备联系公司直接合成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  后续过程飞总在操作，目前看希望较大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②得到IndA系列的组合菌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  飞总说如果不出意外，我们返校前他应该会差不多做完该部分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highlight w:val="yellow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highlight w:val="yellow"/>
          <w:lang w:val="en-US" w:eastAsia="zh-CN"/>
        </w:rPr>
        <w:t>③同时同批次发酵，测量产物得到最优组合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（4）3.14 - 5.1 发酵优化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此步建立在已经拿到最优组合之后的简单优化，例如C源、N源、温度、PH等，最主要目的是增加可视化数据量，不是工作重点，可参考文献：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instrText xml:space="preserve"> HYPERLINK "https://pubs.rsc.org/en/content/articlelanding/2019/gc/c9gc00920e" </w:instrTex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separate"/>
      </w:r>
      <w:r>
        <w:rPr>
          <w:rStyle w:val="16"/>
          <w:rFonts w:hint="eastAsia" w:ascii="仿宋" w:hAnsi="仿宋" w:eastAsia="仿宋"/>
          <w:b w:val="0"/>
          <w:bCs w:val="0"/>
          <w:sz w:val="24"/>
          <w:lang w:val="en-US" w:eastAsia="zh-CN"/>
        </w:rPr>
        <w:t>https://pubs.rsc.org/en/content/articlelanding/2019/gc/c9gc00920e</w:t>
      </w:r>
      <w:r>
        <w:rPr>
          <w:rStyle w:val="16"/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end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（5）5.1 - 7.20 应用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 xml:space="preserve"> 期待成果：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①生物活菌染色：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是否可降解，是否易被清洗，为了环保若用活菌染色则需要糖基化比例高，需要要求B酶有高活性；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②抗氧化性：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抗氧化实验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③抗菌性：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Indigoidine已被报道具有抗菌性，可探究糖基化抗菌性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④检测PH：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同样可参考上一篇文献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drawing>
          <wp:inline distT="0" distB="0" distL="114300" distR="114300">
            <wp:extent cx="1620520" cy="199707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>⑤金属离子螯合作用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（6）5.20（初赛） - 7.20（决赛） 补充数据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t xml:space="preserve">  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该阶段重在补充实验，获得更多数据，多敲几个基因...</w:t>
      </w:r>
      <w:r>
        <w:rPr>
          <w:rFonts w:hint="eastAsia" w:ascii="仿宋" w:hAnsi="仿宋" w:eastAsia="仿宋"/>
          <w:b/>
          <w:bCs/>
          <w:sz w:val="24"/>
          <w:lang w:val="en-US" w:eastAsia="zh-CN"/>
        </w:rPr>
        <w:br w:type="textWrapping"/>
      </w:r>
    </w:p>
    <w:p w14:paraId="19C67A1D">
      <w:pPr>
        <w:numPr>
          <w:ilvl w:val="0"/>
          <w:numId w:val="1"/>
        </w:numPr>
        <w:ind w:left="562" w:leftChars="0" w:hanging="562" w:hangingChars="200"/>
        <w:rPr>
          <w:rFonts w:hint="eastAsia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t>需要掌握的内容</w:t>
      </w:r>
      <w:r>
        <w:rPr>
          <w:rFonts w:hint="eastAsia" w:ascii="仿宋" w:hAnsi="仿宋" w:eastAsia="仿宋"/>
          <w:b/>
          <w:bCs/>
          <w:sz w:val="28"/>
          <w:szCs w:val="28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1、CAS9切基因全流程（包括如何丢质粒以及如何检验），以及循环切基因的流程（仅丢掉pTarget质粒）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2、目前提取Indigoidine的方法（冷冻离心然后过蓝膜，旋蒸后用少量水溶解，-40℃冻硬，然后在真空干燥冷冻机中冷冻）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3、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t>巢式PCR（PCR出IndA过程使用到）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4、冻干操作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5、HPLC操作方法（飞总仅做过展示，目前知道大致原理即可）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6、旋蒸操作</w:t>
      </w:r>
    </w:p>
    <w:p w14:paraId="43548857">
      <w:pPr>
        <w:numPr>
          <w:ilvl w:val="0"/>
          <w:numId w:val="0"/>
        </w:numPr>
        <w:ind w:leftChars="-200"/>
        <w:rPr>
          <w:rFonts w:hint="default" w:ascii="仿宋" w:hAnsi="仿宋" w:eastAsia="仿宋"/>
          <w:b w:val="0"/>
          <w:bCs w:val="0"/>
          <w:sz w:val="24"/>
          <w:lang w:val="en-US" w:eastAsia="zh-CN"/>
        </w:rPr>
      </w:pPr>
    </w:p>
    <w:p w14:paraId="53DD4849">
      <w:pPr>
        <w:rPr>
          <w:rFonts w:hint="eastAsia" w:ascii="仿宋" w:hAnsi="仿宋" w:eastAsia="仿宋"/>
          <w:b/>
          <w:bCs/>
          <w:sz w:val="24"/>
          <w:highlight w:val="yellow"/>
        </w:rPr>
      </w:pPr>
      <w:r>
        <w:rPr>
          <w:rFonts w:hint="eastAsia" w:ascii="仿宋" w:hAnsi="仿宋" w:eastAsia="仿宋"/>
          <w:b/>
          <w:bCs/>
          <w:sz w:val="24"/>
          <w:highlight w:val="yellow"/>
        </w:rPr>
        <w:t>三、寒假需要完成的任务</w:t>
      </w:r>
    </w:p>
    <w:p w14:paraId="1064C72D">
      <w:pPr>
        <w:ind w:left="240" w:leftChars="109" w:firstLine="240" w:firstLineChars="100"/>
        <w:rPr>
          <w:rFonts w:hint="default" w:ascii="仿宋" w:hAnsi="仿宋" w:eastAsia="仿宋"/>
          <w:b/>
          <w:bCs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1、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t>查找文献寻找9个可进行敲除和过表达的基因，需要包括已被报道的和未被报道的；</w:t>
      </w:r>
      <w:r>
        <w:rPr>
          <w:rFonts w:hint="eastAsia" w:ascii="仿宋" w:hAnsi="仿宋" w:eastAsia="仿宋"/>
          <w:b w:val="0"/>
          <w:bCs w:val="0"/>
          <w:color w:val="0000FF"/>
          <w:sz w:val="24"/>
          <w:u w:val="single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2、查文献了解将SFP基因转进BL21获得更高产的BAP1（仅做了解，飞总说可能来不及做）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 xml:space="preserve">  3、再次详细阅读以下文献及其补充</w:t>
      </w:r>
      <w:bookmarkStart w:id="0" w:name="_GoBack"/>
      <w:bookmarkEnd w:id="0"/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材料</w: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begin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instrText xml:space="preserve"> HYPERLINK "https://pubs.rsc.org/en/content/articlelanding/2019/gc/c9gc00920e" </w:instrText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separate"/>
      </w:r>
      <w:r>
        <w:rPr>
          <w:rStyle w:val="17"/>
          <w:rFonts w:hint="eastAsia" w:ascii="仿宋" w:hAnsi="仿宋" w:eastAsia="仿宋"/>
          <w:b w:val="0"/>
          <w:bCs w:val="0"/>
          <w:sz w:val="24"/>
          <w:lang w:val="en-US" w:eastAsia="zh-CN"/>
        </w:rPr>
        <w:t>https://pubs.rsc.org/en/content/articlelanding/2019/gc/c9gc00920e</w:t>
      </w:r>
      <w:r>
        <w:rPr>
          <w:rStyle w:val="17"/>
          <w:rFonts w:hint="eastAsia" w:ascii="仿宋" w:hAnsi="仿宋" w:eastAsia="仿宋"/>
          <w:b w:val="0"/>
          <w:bCs w:val="0"/>
          <w:sz w:val="24"/>
          <w:lang w:val="en-US" w:eastAsia="zh-CN"/>
        </w:rPr>
        <w:br w:type="textWrapping"/>
      </w: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fldChar w:fldCharType="end"/>
      </w:r>
    </w:p>
    <w:p w14:paraId="169E09D5">
      <w:pPr>
        <w:rPr>
          <w:rFonts w:hint="eastAsia"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四、前半期总结经验</w:t>
      </w:r>
    </w:p>
    <w:p w14:paraId="2B423A2A">
      <w:pPr>
        <w:ind w:left="240" w:leftChars="109" w:firstLine="240" w:firstLineChars="100"/>
        <w:rPr>
          <w:rFonts w:hint="eastAsia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1、我们前期已经完成了极大量的知识学习，我们都是坠棒的！</w:t>
      </w:r>
    </w:p>
    <w:p w14:paraId="310B6226">
      <w:pPr>
        <w:ind w:left="240" w:leftChars="109" w:firstLine="240" w:firstLineChars="100"/>
        <w:rPr>
          <w:rFonts w:hint="default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2、实验进度需要有明确安排，我们需要对实验内容有明确的把握，按照实验进度推进项目</w:t>
      </w:r>
    </w:p>
    <w:p w14:paraId="22802D70">
      <w:pPr>
        <w:ind w:left="720" w:leftChars="218" w:hanging="240" w:hangingChars="100"/>
        <w:rPr>
          <w:rFonts w:hint="eastAsia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3、需要充分发挥我们的主观能动性，积极解决问题</w:t>
      </w:r>
    </w:p>
    <w:p w14:paraId="1C88158A">
      <w:pPr>
        <w:ind w:left="240" w:leftChars="109" w:firstLine="240" w:firstLineChars="100"/>
        <w:rPr>
          <w:rFonts w:hint="eastAsia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4、每一项实验需要写明实验结果，当天未得到结果的话，也应在第二天补上，便于知道整体的进度和下一步需要做什么</w:t>
      </w:r>
    </w:p>
    <w:p w14:paraId="7682D946">
      <w:pPr>
        <w:ind w:left="240" w:leftChars="109" w:firstLine="240" w:firstLineChars="100"/>
        <w:rPr>
          <w:rFonts w:hint="default" w:ascii="仿宋" w:hAnsi="仿宋" w:eastAsia="仿宋"/>
          <w:b w:val="0"/>
          <w:bCs w:val="0"/>
          <w:sz w:val="24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4"/>
          <w:lang w:val="en-US" w:eastAsia="zh-CN"/>
        </w:rPr>
        <w:t>5、最后的小建议，最终答辩和Q&amp;A是纯英文，建议大家平时可以稍微注重一下积累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8C429"/>
    <w:multiLevelType w:val="singleLevel"/>
    <w:tmpl w:val="0638C429"/>
    <w:lvl w:ilvl="0" w:tentative="0">
      <w:start w:val="1"/>
      <w:numFmt w:val="chineseCounting"/>
      <w:suff w:val="nothing"/>
      <w:lvlText w:val="%1、"/>
      <w:lvlJc w:val="left"/>
      <w:rPr>
        <w:rFonts w:hint="eastAsia" w:ascii="仿宋" w:hAnsi="仿宋" w:eastAsia="仿宋" w:cs="仿宋"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633"/>
    <w:rsid w:val="001C6633"/>
    <w:rsid w:val="006E667A"/>
    <w:rsid w:val="007641AD"/>
    <w:rsid w:val="00F104C3"/>
    <w:rsid w:val="19AA2321"/>
    <w:rsid w:val="212E2E5E"/>
    <w:rsid w:val="2B7165C1"/>
    <w:rsid w:val="32492DF6"/>
    <w:rsid w:val="59CD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6">
    <w:name w:val="FollowedHyperlink"/>
    <w:basedOn w:val="15"/>
    <w:semiHidden/>
    <w:unhideWhenUsed/>
    <w:uiPriority w:val="99"/>
    <w:rPr>
      <w:color w:val="800080"/>
      <w:u w:val="single"/>
    </w:rPr>
  </w:style>
  <w:style w:type="character" w:styleId="17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customStyle="1" w:styleId="18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3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5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1927</Words>
  <Characters>2347</Characters>
  <Lines>1</Lines>
  <Paragraphs>1</Paragraphs>
  <TotalTime>8</TotalTime>
  <ScaleCrop>false</ScaleCrop>
  <LinksUpToDate>false</LinksUpToDate>
  <CharactersWithSpaces>2519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2026-01-30T03:37:00Z</dcterms:created>
  <dc:creator>奕旭 周</dc:creator>
  <cp:lastModifiedBy>赖文桧</cp:lastModifiedBy>
  <dcterms:modified xsi:type="dcterms:W3CDTF">2026-02-10T01:47:21Z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eyJoZGlkIjoiNDU0NzlmZjBkYjAxOWM5NjBlYzZjM2QwM2ZkOTlmMGYiLCJ1c2VySWQiOiIxNjYyMDEwMzA5In0=</vt:lpwstr>
  </property>
  <property fmtid="{D5CDD505-2E9C-101B-9397-08002B2CF9AE}" pid="3" name="KSOProductBuildVer">
    <vt:lpwstr>2052-12.1.0.21541</vt:lpwstr>
  </property>
  <property fmtid="{D5CDD505-2E9C-101B-9397-08002B2CF9AE}" pid="4" name="ICV">
    <vt:lpwstr>49BCF9BBA05F4C07B1E0E4DA096604CD_13</vt:lpwstr>
  </property>
</Properties>
</file>