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Mapa de correcciones — Tesis ENDES (pérdida gestacional)</w:t>
      </w:r>
    </w:p>
    <w:p>
      <w:pPr>
        <w:spacing w:after="160" w:line="300"/>
      </w:pPr>
      <w:r>
        <w:rPr>
          <w:b w:val="false"/>
          <w:bCs w:val="false"/>
          <w:i w:val="false"/>
          <w:iCs w:val="false"/>
        </w:rPr>
        <w:t xml:space="preserve">Este documento reúne, en un solo lugar, todas las correcciones conversadas a partir de las observaciones del asesor: qué cambia, en qué parte exacta de la tesis, y qué queda pendiente (de código o de firma). Úsalo como checklist para ir aplicando los cambios al Word de la tesis, y como referencia para redactar o parafrasear cada punto a tu manera.</w:t>
      </w:r>
    </w:p>
    <w:p>
      <w:pPr>
        <w:spacing w:after="160" w:line="300"/>
      </w:pPr>
      <w:r>
        <w:rPr>
          <w:b/>
          <w:bCs/>
          <w:i w:val="false"/>
          <w:iCs w:val="false"/>
        </w:rPr>
        <w:t xml:space="preserve">Cómo está organizado: primero un resumen de todo, luego el detalle de cada corrección de texto en el orden en que aparecen en la tesis (de la sección 1.3 a la 4.10), luego las instrucciones de código listas para mandarle a tu compañero (o a Claude corriendo en su máquina), y al final el pendiente de firma.</w:t>
      </w:r>
    </w:p>
    <w:p>
      <w:pPr>
        <w:pStyle w:val="Heading1"/>
        <w:spacing w:after="120" w:before="260"/>
      </w:pPr>
      <w:r>
        <w:t xml:space="preserve">Resumen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F2F2F2"/>
          </w:tcPr>
          <w:p>
            <w:r>
              <w:rPr>
                <w:b/>
                <w:bCs/>
                <w:sz w:val="18"/>
                <w:szCs w:val="18"/>
              </w:rPr>
              <w:t xml:space="preserve">Ítem</w:t>
            </w:r>
          </w:p>
        </w:tc>
        <w:tc>
          <w:tcPr>
            <w:tcW w:type="dxa" w:w="3600"/>
            <w:shd w:fill="F2F2F2"/>
          </w:tcPr>
          <w:p>
            <w:r>
              <w:rPr>
                <w:b/>
                <w:bCs/>
                <w:sz w:val="18"/>
                <w:szCs w:val="18"/>
              </w:rPr>
              <w:t xml:space="preserve">Ubicación en la tesis</w:t>
            </w:r>
          </w:p>
        </w:tc>
        <w:tc>
          <w:tcPr>
            <w:tcW w:type="dxa" w:w="1600"/>
            <w:shd w:fill="F2F2F2"/>
          </w:tcPr>
          <w:p>
            <w:r>
              <w:rPr>
                <w:b/>
                <w:bCs/>
                <w:sz w:val="18"/>
                <w:szCs w:val="18"/>
              </w:rPr>
              <w:t xml:space="preserve">Tipo</w:t>
            </w:r>
          </w:p>
        </w:tc>
        <w:tc>
          <w:tcPr>
            <w:tcW w:type="dxa" w:w="2400"/>
            <w:shd w:fill="F2F2F2"/>
          </w:tcPr>
          <w:p>
            <w:r>
              <w:rPr>
                <w:b/>
                <w:bCs/>
                <w:sz w:val="18"/>
                <w:szCs w:val="18"/>
              </w:rPr>
              <w:t xml:space="preserve">Estado</w:t>
            </w:r>
          </w:p>
        </w:tc>
      </w:tr>
      <w:tr>
        <w:tc>
          <w:tcPr>
            <w:tcW w:type="dxa" w:w="900"/>
          </w:tcPr>
          <w:p>
            <w:r>
              <w:rPr>
                <w:sz w:val="18"/>
                <w:szCs w:val="18"/>
              </w:rPr>
              <w:t xml:space="preserve">T1</w:t>
            </w:r>
          </w:p>
        </w:tc>
        <w:tc>
          <w:tcPr>
            <w:tcW w:type="dxa" w:w="3600"/>
          </w:tcPr>
          <w:p>
            <w:r>
              <w:rPr>
                <w:sz w:val="18"/>
                <w:szCs w:val="18"/>
              </w:rPr>
              <w:t xml:space="preserve">1.3.1 Hipótesis general</w:t>
            </w:r>
          </w:p>
        </w:tc>
        <w:tc>
          <w:tcPr>
            <w:tcW w:type="dxa" w:w="1600"/>
          </w:tcPr>
          <w:p>
            <w:r>
              <w:rPr>
                <w:sz w:val="18"/>
                <w:szCs w:val="18"/>
              </w:rPr>
              <w:t xml:space="preserve">Texto</w:t>
            </w:r>
          </w:p>
        </w:tc>
        <w:tc>
          <w:tcPr>
            <w:tcW w:type="dxa" w:w="2400"/>
          </w:tcPr>
          <w:p>
            <w:r>
              <w:rPr>
                <w:sz w:val="18"/>
                <w:szCs w:val="18"/>
              </w:rPr>
              <w:t xml:space="preserve">Listo</w:t>
            </w:r>
          </w:p>
        </w:tc>
      </w:tr>
      <w:tr>
        <w:tc>
          <w:tcPr>
            <w:tcW w:type="dxa" w:w="900"/>
          </w:tcPr>
          <w:p>
            <w:r>
              <w:rPr>
                <w:sz w:val="18"/>
                <w:szCs w:val="18"/>
              </w:rPr>
              <w:t xml:space="preserve">T2</w:t>
            </w:r>
          </w:p>
        </w:tc>
        <w:tc>
          <w:tcPr>
            <w:tcW w:type="dxa" w:w="3600"/>
          </w:tcPr>
          <w:p>
            <w:r>
              <w:rPr>
                <w:sz w:val="18"/>
                <w:szCs w:val="18"/>
              </w:rPr>
              <w:t xml:space="preserve">1.3.2 HE1 / 4.10.3 Boruta</w:t>
            </w:r>
          </w:p>
        </w:tc>
        <w:tc>
          <w:tcPr>
            <w:tcW w:type="dxa" w:w="1600"/>
          </w:tcPr>
          <w:p>
            <w:r>
              <w:rPr>
                <w:sz w:val="18"/>
                <w:szCs w:val="18"/>
              </w:rPr>
              <w:t xml:space="preserve">Texto</w:t>
            </w:r>
          </w:p>
        </w:tc>
        <w:tc>
          <w:tcPr>
            <w:tcW w:type="dxa" w:w="2400"/>
          </w:tcPr>
          <w:p>
            <w:r>
              <w:rPr>
                <w:sz w:val="18"/>
                <w:szCs w:val="18"/>
              </w:rPr>
              <w:t xml:space="preserve">Listo (depende de C1)</w:t>
            </w:r>
          </w:p>
        </w:tc>
      </w:tr>
      <w:tr>
        <w:tc>
          <w:tcPr>
            <w:tcW w:type="dxa" w:w="900"/>
          </w:tcPr>
          <w:p>
            <w:r>
              <w:rPr>
                <w:sz w:val="18"/>
                <w:szCs w:val="18"/>
              </w:rPr>
              <w:t xml:space="preserve">T3</w:t>
            </w:r>
          </w:p>
        </w:tc>
        <w:tc>
          <w:tcPr>
            <w:tcW w:type="dxa" w:w="3600"/>
          </w:tcPr>
          <w:p>
            <w:r>
              <w:rPr>
                <w:sz w:val="18"/>
                <w:szCs w:val="18"/>
              </w:rPr>
              <w:t xml:space="preserve">1.3.2 HE3</w:t>
            </w:r>
          </w:p>
        </w:tc>
        <w:tc>
          <w:tcPr>
            <w:tcW w:type="dxa" w:w="1600"/>
          </w:tcPr>
          <w:p>
            <w:r>
              <w:rPr>
                <w:sz w:val="18"/>
                <w:szCs w:val="18"/>
              </w:rPr>
              <w:t xml:space="preserve">Texto</w:t>
            </w:r>
          </w:p>
        </w:tc>
        <w:tc>
          <w:tcPr>
            <w:tcW w:type="dxa" w:w="2400"/>
          </w:tcPr>
          <w:p>
            <w:r>
              <w:rPr>
                <w:sz w:val="18"/>
                <w:szCs w:val="18"/>
              </w:rPr>
              <w:t xml:space="preserve">Listo</w:t>
            </w:r>
          </w:p>
        </w:tc>
      </w:tr>
      <w:tr>
        <w:tc>
          <w:tcPr>
            <w:tcW w:type="dxa" w:w="900"/>
          </w:tcPr>
          <w:p>
            <w:r>
              <w:rPr>
                <w:sz w:val="18"/>
                <w:szCs w:val="18"/>
              </w:rPr>
              <w:t xml:space="preserve">T4</w:t>
            </w:r>
          </w:p>
        </w:tc>
        <w:tc>
          <w:tcPr>
            <w:tcW w:type="dxa" w:w="3600"/>
          </w:tcPr>
          <w:p>
            <w:r>
              <w:rPr>
                <w:sz w:val="18"/>
                <w:szCs w:val="18"/>
              </w:rPr>
              <w:t xml:space="preserve">1.3.2 HE4 y HE5</w:t>
            </w:r>
          </w:p>
        </w:tc>
        <w:tc>
          <w:tcPr>
            <w:tcW w:type="dxa" w:w="1600"/>
          </w:tcPr>
          <w:p>
            <w:r>
              <w:rPr>
                <w:sz w:val="18"/>
                <w:szCs w:val="18"/>
              </w:rPr>
              <w:t xml:space="preserve">Texto</w:t>
            </w:r>
          </w:p>
        </w:tc>
        <w:tc>
          <w:tcPr>
            <w:tcW w:type="dxa" w:w="2400"/>
          </w:tcPr>
          <w:p>
            <w:r>
              <w:rPr>
                <w:sz w:val="18"/>
                <w:szCs w:val="18"/>
              </w:rPr>
              <w:t xml:space="preserve">Listo</w:t>
            </w:r>
          </w:p>
        </w:tc>
      </w:tr>
      <w:tr>
        <w:tc>
          <w:tcPr>
            <w:tcW w:type="dxa" w:w="900"/>
          </w:tcPr>
          <w:p>
            <w:r>
              <w:rPr>
                <w:sz w:val="18"/>
                <w:szCs w:val="18"/>
              </w:rPr>
              <w:t xml:space="preserve">T5</w:t>
            </w:r>
          </w:p>
        </w:tc>
        <w:tc>
          <w:tcPr>
            <w:tcW w:type="dxa" w:w="3600"/>
          </w:tcPr>
          <w:p>
            <w:r>
              <w:rPr>
                <w:sz w:val="18"/>
                <w:szCs w:val="18"/>
              </w:rPr>
              <w:t xml:space="preserve">2.3 / 2.4 / 2.5 Estado del arte</w:t>
            </w:r>
          </w:p>
        </w:tc>
        <w:tc>
          <w:tcPr>
            <w:tcW w:type="dxa" w:w="1600"/>
          </w:tcPr>
          <w:p>
            <w:r>
              <w:rPr>
                <w:sz w:val="18"/>
                <w:szCs w:val="18"/>
              </w:rPr>
              <w:t xml:space="preserve">Texto</w:t>
            </w:r>
          </w:p>
        </w:tc>
        <w:tc>
          <w:tcPr>
            <w:tcW w:type="dxa" w:w="2400"/>
          </w:tcPr>
          <w:p>
            <w:r>
              <w:rPr>
                <w:sz w:val="18"/>
                <w:szCs w:val="18"/>
              </w:rPr>
              <w:t xml:space="preserve">Listo</w:t>
            </w:r>
          </w:p>
        </w:tc>
      </w:tr>
      <w:tr>
        <w:tc>
          <w:tcPr>
            <w:tcW w:type="dxa" w:w="900"/>
          </w:tcPr>
          <w:p>
            <w:r>
              <w:rPr>
                <w:sz w:val="18"/>
                <w:szCs w:val="18"/>
              </w:rPr>
              <w:t xml:space="preserve">T6</w:t>
            </w:r>
          </w:p>
        </w:tc>
        <w:tc>
          <w:tcPr>
            <w:tcW w:type="dxa" w:w="3600"/>
          </w:tcPr>
          <w:p>
            <w:r>
              <w:rPr>
                <w:sz w:val="18"/>
                <w:szCs w:val="18"/>
              </w:rPr>
              <w:t xml:space="preserve">3.1.1 / 4.6 Redefinición del desenlace</w:t>
            </w:r>
          </w:p>
        </w:tc>
        <w:tc>
          <w:tcPr>
            <w:tcW w:type="dxa" w:w="1600"/>
          </w:tcPr>
          <w:p>
            <w:r>
              <w:rPr>
                <w:sz w:val="18"/>
                <w:szCs w:val="18"/>
              </w:rPr>
              <w:t xml:space="preserve">Texto</w:t>
            </w:r>
          </w:p>
        </w:tc>
        <w:tc>
          <w:tcPr>
            <w:tcW w:type="dxa" w:w="2400"/>
          </w:tcPr>
          <w:p>
            <w:r>
              <w:rPr>
                <w:sz w:val="18"/>
                <w:szCs w:val="18"/>
              </w:rPr>
              <w:t xml:space="preserve">Listo</w:t>
            </w:r>
          </w:p>
        </w:tc>
      </w:tr>
      <w:tr>
        <w:tc>
          <w:tcPr>
            <w:tcW w:type="dxa" w:w="900"/>
          </w:tcPr>
          <w:p>
            <w:r>
              <w:rPr>
                <w:sz w:val="18"/>
                <w:szCs w:val="18"/>
              </w:rPr>
              <w:t xml:space="preserve">T7</w:t>
            </w:r>
          </w:p>
        </w:tc>
        <w:tc>
          <w:tcPr>
            <w:tcW w:type="dxa" w:w="3600"/>
          </w:tcPr>
          <w:p>
            <w:r>
              <w:rPr>
                <w:sz w:val="18"/>
                <w:szCs w:val="18"/>
              </w:rPr>
              <w:t xml:space="preserve">3.1.1 / 4.10.1 / 4.6 Criterio temporal</w:t>
            </w:r>
          </w:p>
        </w:tc>
        <w:tc>
          <w:tcPr>
            <w:tcW w:type="dxa" w:w="1600"/>
          </w:tcPr>
          <w:p>
            <w:r>
              <w:rPr>
                <w:sz w:val="18"/>
                <w:szCs w:val="18"/>
              </w:rPr>
              <w:t xml:space="preserve">Texto</w:t>
            </w:r>
          </w:p>
        </w:tc>
        <w:tc>
          <w:tcPr>
            <w:tcW w:type="dxa" w:w="2400"/>
          </w:tcPr>
          <w:p>
            <w:r>
              <w:rPr>
                <w:sz w:val="18"/>
                <w:szCs w:val="18"/>
              </w:rPr>
              <w:t xml:space="preserve">Listo</w:t>
            </w:r>
          </w:p>
        </w:tc>
      </w:tr>
      <w:tr>
        <w:tc>
          <w:tcPr>
            <w:tcW w:type="dxa" w:w="900"/>
          </w:tcPr>
          <w:p>
            <w:r>
              <w:rPr>
                <w:sz w:val="18"/>
                <w:szCs w:val="18"/>
              </w:rPr>
              <w:t xml:space="preserve">T8</w:t>
            </w:r>
          </w:p>
        </w:tc>
        <w:tc>
          <w:tcPr>
            <w:tcW w:type="dxa" w:w="3600"/>
          </w:tcPr>
          <w:p>
            <w:r>
              <w:rPr>
                <w:sz w:val="18"/>
                <w:szCs w:val="18"/>
              </w:rPr>
              <w:t xml:space="preserve">4.6 Correspondencia temporal (M14/V222/IMC)</w:t>
            </w:r>
          </w:p>
        </w:tc>
        <w:tc>
          <w:tcPr>
            <w:tcW w:type="dxa" w:w="1600"/>
          </w:tcPr>
          <w:p>
            <w:r>
              <w:rPr>
                <w:sz w:val="18"/>
                <w:szCs w:val="18"/>
              </w:rPr>
              <w:t xml:space="preserve">Texto</w:t>
            </w:r>
          </w:p>
        </w:tc>
        <w:tc>
          <w:tcPr>
            <w:tcW w:type="dxa" w:w="2400"/>
          </w:tcPr>
          <w:p>
            <w:r>
              <w:rPr>
                <w:sz w:val="18"/>
                <w:szCs w:val="18"/>
              </w:rPr>
              <w:t xml:space="preserve">Listo (depende de C3)</w:t>
            </w:r>
          </w:p>
        </w:tc>
      </w:tr>
      <w:tr>
        <w:tc>
          <w:tcPr>
            <w:tcW w:type="dxa" w:w="900"/>
          </w:tcPr>
          <w:p>
            <w:r>
              <w:rPr>
                <w:sz w:val="18"/>
                <w:szCs w:val="18"/>
              </w:rPr>
              <w:t xml:space="preserve">T9</w:t>
            </w:r>
          </w:p>
        </w:tc>
        <w:tc>
          <w:tcPr>
            <w:tcW w:type="dxa" w:w="3600"/>
          </w:tcPr>
          <w:p>
            <w:r>
              <w:rPr>
                <w:sz w:val="18"/>
                <w:szCs w:val="18"/>
              </w:rPr>
              <w:t xml:space="preserve">4.10.4 HE2 / SMOTE-NC</w:t>
            </w:r>
          </w:p>
        </w:tc>
        <w:tc>
          <w:tcPr>
            <w:tcW w:type="dxa" w:w="1600"/>
          </w:tcPr>
          <w:p>
            <w:r>
              <w:rPr>
                <w:sz w:val="18"/>
                <w:szCs w:val="18"/>
              </w:rPr>
              <w:t xml:space="preserve">Texto</w:t>
            </w:r>
          </w:p>
        </w:tc>
        <w:tc>
          <w:tcPr>
            <w:tcW w:type="dxa" w:w="2400"/>
          </w:tcPr>
          <w:p>
            <w:r>
              <w:rPr>
                <w:sz w:val="18"/>
                <w:szCs w:val="18"/>
              </w:rPr>
              <w:t xml:space="preserve">Listo (depende de C2)</w:t>
            </w:r>
          </w:p>
        </w:tc>
      </w:tr>
      <w:tr>
        <w:tc>
          <w:tcPr>
            <w:tcW w:type="dxa" w:w="900"/>
          </w:tcPr>
          <w:p>
            <w:r>
              <w:rPr>
                <w:sz w:val="18"/>
                <w:szCs w:val="18"/>
              </w:rPr>
              <w:t xml:space="preserve">T10</w:t>
            </w:r>
          </w:p>
        </w:tc>
        <w:tc>
          <w:tcPr>
            <w:tcW w:type="dxa" w:w="3600"/>
          </w:tcPr>
          <w:p>
            <w:r>
              <w:rPr>
                <w:sz w:val="18"/>
                <w:szCs w:val="18"/>
              </w:rPr>
              <w:t xml:space="preserve">4.4 Nivel</w:t>
            </w:r>
          </w:p>
        </w:tc>
        <w:tc>
          <w:tcPr>
            <w:tcW w:type="dxa" w:w="1600"/>
          </w:tcPr>
          <w:p>
            <w:r>
              <w:rPr>
                <w:sz w:val="18"/>
                <w:szCs w:val="18"/>
              </w:rPr>
              <w:t xml:space="preserve">Texto</w:t>
            </w:r>
          </w:p>
        </w:tc>
        <w:tc>
          <w:tcPr>
            <w:tcW w:type="dxa" w:w="2400"/>
          </w:tcPr>
          <w:p>
            <w:r>
              <w:rPr>
                <w:sz w:val="18"/>
                <w:szCs w:val="18"/>
              </w:rPr>
              <w:t xml:space="preserve">Listo</w:t>
            </w:r>
          </w:p>
        </w:tc>
      </w:tr>
      <w:tr>
        <w:tc>
          <w:tcPr>
            <w:tcW w:type="dxa" w:w="900"/>
          </w:tcPr>
          <w:p>
            <w:r>
              <w:rPr>
                <w:sz w:val="18"/>
                <w:szCs w:val="18"/>
              </w:rPr>
              <w:t xml:space="preserve">T11</w:t>
            </w:r>
          </w:p>
        </w:tc>
        <w:tc>
          <w:tcPr>
            <w:tcW w:type="dxa" w:w="3600"/>
          </w:tcPr>
          <w:p>
            <w:r>
              <w:rPr>
                <w:sz w:val="18"/>
                <w:szCs w:val="18"/>
              </w:rPr>
              <w:t xml:space="preserve">4.5 / 4.6 Población fuente / elegible / muestra</w:t>
            </w:r>
          </w:p>
        </w:tc>
        <w:tc>
          <w:tcPr>
            <w:tcW w:type="dxa" w:w="1600"/>
          </w:tcPr>
          <w:p>
            <w:r>
              <w:rPr>
                <w:sz w:val="18"/>
                <w:szCs w:val="18"/>
              </w:rPr>
              <w:t xml:space="preserve">Texto</w:t>
            </w:r>
          </w:p>
        </w:tc>
        <w:tc>
          <w:tcPr>
            <w:tcW w:type="dxa" w:w="2400"/>
          </w:tcPr>
          <w:p>
            <w:r>
              <w:rPr>
                <w:sz w:val="18"/>
                <w:szCs w:val="18"/>
              </w:rPr>
              <w:t xml:space="preserve">Falta 1 dato (D1)</w:t>
            </w:r>
          </w:p>
        </w:tc>
      </w:tr>
      <w:tr>
        <w:tc>
          <w:tcPr>
            <w:tcW w:type="dxa" w:w="900"/>
          </w:tcPr>
          <w:p>
            <w:r>
              <w:rPr>
                <w:sz w:val="18"/>
                <w:szCs w:val="18"/>
              </w:rPr>
              <w:t xml:space="preserve">T12</w:t>
            </w:r>
          </w:p>
        </w:tc>
        <w:tc>
          <w:tcPr>
            <w:tcW w:type="dxa" w:w="3600"/>
          </w:tcPr>
          <w:p>
            <w:r>
              <w:rPr>
                <w:sz w:val="18"/>
                <w:szCs w:val="18"/>
              </w:rPr>
              <w:t xml:space="preserve">4.6 Muestra (partición, representatividad)</w:t>
            </w:r>
          </w:p>
        </w:tc>
        <w:tc>
          <w:tcPr>
            <w:tcW w:type="dxa" w:w="1600"/>
          </w:tcPr>
          <w:p>
            <w:r>
              <w:rPr>
                <w:sz w:val="18"/>
                <w:szCs w:val="18"/>
              </w:rPr>
              <w:t xml:space="preserve">Texto</w:t>
            </w:r>
          </w:p>
        </w:tc>
        <w:tc>
          <w:tcPr>
            <w:tcW w:type="dxa" w:w="2400"/>
          </w:tcPr>
          <w:p>
            <w:r>
              <w:rPr>
                <w:sz w:val="18"/>
                <w:szCs w:val="18"/>
              </w:rPr>
              <w:t xml:space="preserve">Listo</w:t>
            </w:r>
          </w:p>
        </w:tc>
      </w:tr>
      <w:tr>
        <w:tc>
          <w:tcPr>
            <w:tcW w:type="dxa" w:w="900"/>
          </w:tcPr>
          <w:p>
            <w:r>
              <w:rPr>
                <w:sz w:val="18"/>
                <w:szCs w:val="18"/>
              </w:rPr>
              <w:t xml:space="preserve">T13</w:t>
            </w:r>
          </w:p>
        </w:tc>
        <w:tc>
          <w:tcPr>
            <w:tcW w:type="dxa" w:w="3600"/>
          </w:tcPr>
          <w:p>
            <w:r>
              <w:rPr>
                <w:sz w:val="18"/>
                <w:szCs w:val="18"/>
              </w:rPr>
              <w:t xml:space="preserve">4.7 Método de recolección y análisis</w:t>
            </w:r>
          </w:p>
        </w:tc>
        <w:tc>
          <w:tcPr>
            <w:tcW w:type="dxa" w:w="1600"/>
          </w:tcPr>
          <w:p>
            <w:r>
              <w:rPr>
                <w:sz w:val="18"/>
                <w:szCs w:val="18"/>
              </w:rPr>
              <w:t xml:space="preserve">Texto</w:t>
            </w:r>
          </w:p>
        </w:tc>
        <w:tc>
          <w:tcPr>
            <w:tcW w:type="dxa" w:w="2400"/>
          </w:tcPr>
          <w:p>
            <w:r>
              <w:rPr>
                <w:sz w:val="18"/>
                <w:szCs w:val="18"/>
              </w:rPr>
              <w:t xml:space="preserve">Listo</w:t>
            </w:r>
          </w:p>
        </w:tc>
      </w:tr>
      <w:tr>
        <w:tc>
          <w:tcPr>
            <w:tcW w:type="dxa" w:w="900"/>
          </w:tcPr>
          <w:p>
            <w:r>
              <w:rPr>
                <w:sz w:val="18"/>
                <w:szCs w:val="18"/>
              </w:rPr>
              <w:t xml:space="preserve">T14</w:t>
            </w:r>
          </w:p>
        </w:tc>
        <w:tc>
          <w:tcPr>
            <w:tcW w:type="dxa" w:w="3600"/>
          </w:tcPr>
          <w:p>
            <w:r>
              <w:rPr>
                <w:sz w:val="18"/>
                <w:szCs w:val="18"/>
              </w:rPr>
              <w:t xml:space="preserve">4.8 Instrumentos de investigación</w:t>
            </w:r>
          </w:p>
        </w:tc>
        <w:tc>
          <w:tcPr>
            <w:tcW w:type="dxa" w:w="1600"/>
          </w:tcPr>
          <w:p>
            <w:r>
              <w:rPr>
                <w:sz w:val="18"/>
                <w:szCs w:val="18"/>
              </w:rPr>
              <w:t xml:space="preserve">Texto</w:t>
            </w:r>
          </w:p>
        </w:tc>
        <w:tc>
          <w:tcPr>
            <w:tcW w:type="dxa" w:w="2400"/>
          </w:tcPr>
          <w:p>
            <w:r>
              <w:rPr>
                <w:sz w:val="18"/>
                <w:szCs w:val="18"/>
              </w:rPr>
              <w:t xml:space="preserve">Listo (depende de F1)</w:t>
            </w:r>
          </w:p>
        </w:tc>
      </w:tr>
      <w:tr>
        <w:tc>
          <w:tcPr>
            <w:tcW w:type="dxa" w:w="900"/>
          </w:tcPr>
          <w:p>
            <w:r>
              <w:rPr>
                <w:sz w:val="18"/>
                <w:szCs w:val="18"/>
              </w:rPr>
              <w:t xml:space="preserve">T15</w:t>
            </w:r>
          </w:p>
        </w:tc>
        <w:tc>
          <w:tcPr>
            <w:tcW w:type="dxa" w:w="3600"/>
          </w:tcPr>
          <w:p>
            <w:r>
              <w:rPr>
                <w:sz w:val="18"/>
                <w:szCs w:val="18"/>
              </w:rPr>
              <w:t xml:space="preserve">4.10.2 One-Hot Encoding V501</w:t>
            </w:r>
          </w:p>
        </w:tc>
        <w:tc>
          <w:tcPr>
            <w:tcW w:type="dxa" w:w="1600"/>
          </w:tcPr>
          <w:p>
            <w:r>
              <w:rPr>
                <w:sz w:val="18"/>
                <w:szCs w:val="18"/>
              </w:rPr>
              <w:t xml:space="preserve">Texto</w:t>
            </w:r>
          </w:p>
        </w:tc>
        <w:tc>
          <w:tcPr>
            <w:tcW w:type="dxa" w:w="2400"/>
          </w:tcPr>
          <w:p>
            <w:r>
              <w:rPr>
                <w:sz w:val="18"/>
                <w:szCs w:val="18"/>
              </w:rPr>
              <w:t xml:space="preserve">Listo (depende de C4)</w:t>
            </w:r>
          </w:p>
        </w:tc>
      </w:tr>
      <w:tr>
        <w:tc>
          <w:tcPr>
            <w:tcW w:type="dxa" w:w="900"/>
          </w:tcPr>
          <w:p>
            <w:r>
              <w:rPr>
                <w:sz w:val="18"/>
                <w:szCs w:val="18"/>
              </w:rPr>
              <w:t xml:space="preserve">D1</w:t>
            </w:r>
          </w:p>
        </w:tc>
        <w:tc>
          <w:tcPr>
            <w:tcW w:type="dxa" w:w="3600"/>
          </w:tcPr>
          <w:p>
            <w:r>
              <w:rPr>
                <w:sz w:val="18"/>
                <w:szCs w:val="18"/>
              </w:rPr>
              <w:t xml:space="preserve">4.5/4.6 — conteo de población elegible</w:t>
            </w:r>
          </w:p>
        </w:tc>
        <w:tc>
          <w:tcPr>
            <w:tcW w:type="dxa" w:w="1600"/>
          </w:tcPr>
          <w:p>
            <w:r>
              <w:rPr>
                <w:sz w:val="18"/>
                <w:szCs w:val="18"/>
              </w:rPr>
              <w:t xml:space="preserve">Dato</w:t>
            </w:r>
          </w:p>
        </w:tc>
        <w:tc>
          <w:tcPr>
            <w:tcW w:type="dxa" w:w="2400"/>
          </w:tcPr>
          <w:p>
            <w:r>
              <w:rPr>
                <w:sz w:val="18"/>
                <w:szCs w:val="18"/>
              </w:rPr>
              <w:t xml:space="preserve">Pendiente (rápido, sin código)</w:t>
            </w:r>
          </w:p>
        </w:tc>
      </w:tr>
      <w:tr>
        <w:tc>
          <w:tcPr>
            <w:tcW w:type="dxa" w:w="900"/>
          </w:tcPr>
          <w:p>
            <w:r>
              <w:rPr>
                <w:sz w:val="18"/>
                <w:szCs w:val="18"/>
              </w:rPr>
              <w:t xml:space="preserve">C1</w:t>
            </w:r>
          </w:p>
        </w:tc>
        <w:tc>
          <w:tcPr>
            <w:tcW w:type="dxa" w:w="3600"/>
          </w:tcPr>
          <w:p>
            <w:r>
              <w:rPr>
                <w:sz w:val="18"/>
                <w:szCs w:val="18"/>
              </w:rPr>
              <w:t xml:space="preserve">Código — comparación 4-Boruta vs Top-10</w:t>
            </w:r>
          </w:p>
        </w:tc>
        <w:tc>
          <w:tcPr>
            <w:tcW w:type="dxa" w:w="1600"/>
          </w:tcPr>
          <w:p>
            <w:r>
              <w:rPr>
                <w:sz w:val="18"/>
                <w:szCs w:val="18"/>
              </w:rPr>
              <w:t xml:space="preserve">Código</w:t>
            </w:r>
          </w:p>
        </w:tc>
        <w:tc>
          <w:tcPr>
            <w:tcW w:type="dxa" w:w="2400"/>
          </w:tcPr>
          <w:p>
            <w:r>
              <w:rPr>
                <w:sz w:val="18"/>
                <w:szCs w:val="18"/>
              </w:rPr>
              <w:t xml:space="preserve">Pendiente</w:t>
            </w:r>
          </w:p>
        </w:tc>
      </w:tr>
      <w:tr>
        <w:tc>
          <w:tcPr>
            <w:tcW w:type="dxa" w:w="900"/>
          </w:tcPr>
          <w:p>
            <w:r>
              <w:rPr>
                <w:sz w:val="18"/>
                <w:szCs w:val="18"/>
              </w:rPr>
              <w:t xml:space="preserve">C2</w:t>
            </w:r>
          </w:p>
        </w:tc>
        <w:tc>
          <w:tcPr>
            <w:tcW w:type="dxa" w:w="3600"/>
          </w:tcPr>
          <w:p>
            <w:r>
              <w:rPr>
                <w:sz w:val="18"/>
                <w:szCs w:val="18"/>
              </w:rPr>
              <w:t xml:space="preserve">Código — SMOTE-NC en los 5 modelos</w:t>
            </w:r>
          </w:p>
        </w:tc>
        <w:tc>
          <w:tcPr>
            <w:tcW w:type="dxa" w:w="1600"/>
          </w:tcPr>
          <w:p>
            <w:r>
              <w:rPr>
                <w:sz w:val="18"/>
                <w:szCs w:val="18"/>
              </w:rPr>
              <w:t xml:space="preserve">Código</w:t>
            </w:r>
          </w:p>
        </w:tc>
        <w:tc>
          <w:tcPr>
            <w:tcW w:type="dxa" w:w="2400"/>
          </w:tcPr>
          <w:p>
            <w:r>
              <w:rPr>
                <w:sz w:val="18"/>
                <w:szCs w:val="18"/>
              </w:rPr>
              <w:t xml:space="preserve">Pendiente</w:t>
            </w:r>
          </w:p>
        </w:tc>
      </w:tr>
      <w:tr>
        <w:tc>
          <w:tcPr>
            <w:tcW w:type="dxa" w:w="900"/>
          </w:tcPr>
          <w:p>
            <w:r>
              <w:rPr>
                <w:sz w:val="18"/>
                <w:szCs w:val="18"/>
              </w:rPr>
              <w:t xml:space="preserve">C3</w:t>
            </w:r>
          </w:p>
        </w:tc>
        <w:tc>
          <w:tcPr>
            <w:tcW w:type="dxa" w:w="3600"/>
          </w:tcPr>
          <w:p>
            <w:r>
              <w:rPr>
                <w:sz w:val="18"/>
                <w:szCs w:val="18"/>
              </w:rPr>
              <w:t xml:space="preserve">Código — fix M14 / join / retirar M14</w:t>
            </w:r>
          </w:p>
        </w:tc>
        <w:tc>
          <w:tcPr>
            <w:tcW w:type="dxa" w:w="1600"/>
          </w:tcPr>
          <w:p>
            <w:r>
              <w:rPr>
                <w:sz w:val="18"/>
                <w:szCs w:val="18"/>
              </w:rPr>
              <w:t xml:space="preserve">Código</w:t>
            </w:r>
          </w:p>
        </w:tc>
        <w:tc>
          <w:tcPr>
            <w:tcW w:type="dxa" w:w="2400"/>
          </w:tcPr>
          <w:p>
            <w:r>
              <w:rPr>
                <w:sz w:val="18"/>
                <w:szCs w:val="18"/>
              </w:rPr>
              <w:t xml:space="preserve">Pendiente (PRIORITARIO)</w:t>
            </w:r>
          </w:p>
        </w:tc>
      </w:tr>
      <w:tr>
        <w:tc>
          <w:tcPr>
            <w:tcW w:type="dxa" w:w="900"/>
          </w:tcPr>
          <w:p>
            <w:r>
              <w:rPr>
                <w:sz w:val="18"/>
                <w:szCs w:val="18"/>
              </w:rPr>
              <w:t xml:space="preserve">C4</w:t>
            </w:r>
          </w:p>
        </w:tc>
        <w:tc>
          <w:tcPr>
            <w:tcW w:type="dxa" w:w="3600"/>
          </w:tcPr>
          <w:p>
            <w:r>
              <w:rPr>
                <w:sz w:val="18"/>
                <w:szCs w:val="18"/>
              </w:rPr>
              <w:t xml:space="preserve">Código — One-Hot V501 en los 5 modelos</w:t>
            </w:r>
          </w:p>
        </w:tc>
        <w:tc>
          <w:tcPr>
            <w:tcW w:type="dxa" w:w="1600"/>
          </w:tcPr>
          <w:p>
            <w:r>
              <w:rPr>
                <w:sz w:val="18"/>
                <w:szCs w:val="18"/>
              </w:rPr>
              <w:t xml:space="preserve">Código</w:t>
            </w:r>
          </w:p>
        </w:tc>
        <w:tc>
          <w:tcPr>
            <w:tcW w:type="dxa" w:w="2400"/>
          </w:tcPr>
          <w:p>
            <w:r>
              <w:rPr>
                <w:sz w:val="18"/>
                <w:szCs w:val="18"/>
              </w:rPr>
              <w:t xml:space="preserve">Pendiente</w:t>
            </w:r>
          </w:p>
        </w:tc>
      </w:tr>
      <w:tr>
        <w:tc>
          <w:tcPr>
            <w:tcW w:type="dxa" w:w="900"/>
          </w:tcPr>
          <w:p>
            <w:r>
              <w:rPr>
                <w:sz w:val="18"/>
                <w:szCs w:val="18"/>
              </w:rPr>
              <w:t xml:space="preserve">F1</w:t>
            </w:r>
          </w:p>
        </w:tc>
        <w:tc>
          <w:tcPr>
            <w:tcW w:type="dxa" w:w="3600"/>
          </w:tcPr>
          <w:p>
            <w:r>
              <w:rPr>
                <w:sz w:val="18"/>
                <w:szCs w:val="18"/>
              </w:rPr>
              <w:t xml:space="preserve">4.8 — Juicio de expertos (2 profesores)</w:t>
            </w:r>
          </w:p>
        </w:tc>
        <w:tc>
          <w:tcPr>
            <w:tcW w:type="dxa" w:w="1600"/>
          </w:tcPr>
          <w:p>
            <w:r>
              <w:rPr>
                <w:sz w:val="18"/>
                <w:szCs w:val="18"/>
              </w:rPr>
              <w:t xml:space="preserve">Firma</w:t>
            </w:r>
          </w:p>
        </w:tc>
        <w:tc>
          <w:tcPr>
            <w:tcW w:type="dxa" w:w="2400"/>
          </w:tcPr>
          <w:p>
            <w:r>
              <w:rPr>
                <w:sz w:val="18"/>
                <w:szCs w:val="18"/>
              </w:rPr>
              <w:t xml:space="preserve">Pendiente</w:t>
            </w:r>
          </w:p>
        </w:tc>
      </w:tr>
    </w:tbl>
    <w:p>
      <w:pPr>
        <w:spacing w:after="200"/>
      </w:pPr>
    </w:p>
    <w:p>
      <w:pPr>
        <w:pStyle w:val="Heading1"/>
        <w:spacing w:after="120" w:before="260"/>
      </w:pPr>
      <w:r>
        <w:t xml:space="preserve">Parte I — Correcciones de texto</w:t>
      </w:r>
    </w:p>
    <w:p>
      <w:pPr>
        <w:spacing w:after="160" w:line="300"/>
      </w:pPr>
      <w:r>
        <w:rPr>
          <w:b w:val="false"/>
          <w:bCs w:val="false"/>
          <w:i w:val="false"/>
          <w:iCs w:val="false"/>
        </w:rPr>
        <w:t xml:space="preserve">Cada bloque trae el texto actual (o el problema detectado) y el texto propuesto, listo para pegar o parafrasear en el Word. Los marcados como "depende de" un pendiente de código o de firma quedan bien redactados desde ya, pero sus números/resultados finales se actualizan cuando llegue ese pendiente.</w:t>
      </w:r>
    </w:p>
    <w:p>
      <w:pPr>
        <w:pStyle w:val="Heading2"/>
        <w:spacing w:after="120" w:before="260"/>
      </w:pPr>
      <w:r>
        <w:t xml:space="preserve">T1 — Hipótesis general</w:t>
      </w:r>
    </w:p>
    <w:p>
      <w:pPr>
        <w:spacing w:after="120"/>
      </w:pPr>
      <w:r>
        <w:rPr>
          <w:b/>
          <w:bCs/>
          <w:sz w:val="20"/>
          <w:szCs w:val="20"/>
        </w:rPr>
        <w:t xml:space="preserve">Ubicación: </w:t>
      </w:r>
      <w:r>
        <w:rPr>
          <w:i/>
          <w:iCs/>
          <w:sz w:val="20"/>
          <w:szCs w:val="20"/>
        </w:rPr>
        <w:t xml:space="preserve">1.3.1 Hipótesis general</w:t>
      </w:r>
    </w:p>
    <w:p>
      <w:pPr>
        <w:spacing w:after="200"/>
      </w:pPr>
      <w:r>
        <w:rPr>
          <w:b/>
          <w:bCs/>
          <w:color w:val="2E7D32"/>
          <w:sz w:val="20"/>
          <w:szCs w:val="20"/>
        </w:rPr>
        <w:t xml:space="preserve">Estado: Listo para aplicar</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"El modelamiento predictivo y explicable mediante Machine Learning basado en factores sociodemográficos y de salud presenta una capacidad de discriminación estadísticamente significativa para estimar el riesgo de pérdida gestacional en mujeres peruanas de 15 a 49 años a partir de la ENDES 2022-2025." — "significativa" no está atado a ninguna prueba estadística definida.</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"El modelamiento predictivo y explicable mediante Machine Learning basado en factores sociodemográficos y de salud presenta una capacidad de discriminación estadísticamente significativa —definida como un AUROC superior a 0.5 cuyo intervalo de confianza al 95%, obtenido mediante bootstrap, excluye el valor nulo— para estimar el riesgo de pérdida gestacional en mujeres peruanas de 15 a 49 años a partir de la ENDES 2022-2025."</w:t>
      </w:r>
    </w:p>
    <w:p>
      <w:pPr>
        <w:spacing w:after="160" w:line="300"/>
      </w:pPr>
      <w:r>
        <w:rPr>
          <w:b w:val="false"/>
          <w:bCs w:val="false"/>
          <w:i w:val="false"/>
          <w:iCs w:val="false"/>
        </w:rPr>
        <w:t xml:space="preserve">Agregar al final de 4.10.6 (antes de 4.10.7), nueva subsección "Prueba de significancia estadística del AUROC": plantear H0: AUROC=0.5 vs H1: AUROC&gt;0.5 sobre el modelo óptimo, contraste por bootstrap no paramétrico (B=2,000 remuestreos del conjunto de prueba), IC 95% por método percentil; si el límite inferior supera 0.5, se rechaza H0. Aplicar el mismo cálculo a los 5 modelos y reportar el IC junto al AUROC en las Tablas 5 y 6.</w:t>
      </w:r>
    </w:p>
    <w:p>
      <w:pPr>
        <w:spacing w:after="60" w:before="100"/>
      </w:pPr>
      <w:r>
        <w:rPr>
          <w:b/>
          <w:bCs/>
          <w:color w:val="1565C0"/>
          <w:sz w:val="20"/>
          <w:szCs w:val="20"/>
        </w:rPr>
        <w:t xml:space="preserve">Nota:</w:t>
      </w:r>
    </w:p>
    <w:p>
      <w:pPr>
        <w:spacing w:after="160" w:line="300"/>
      </w:pPr>
      <w:r>
        <w:rPr>
          <w:b w:val="false"/>
          <w:bCs w:val="false"/>
          <w:i w:val="false"/>
          <w:iCs w:val="false"/>
          <w:color w:val="1565C0"/>
        </w:rPr>
        <w:t xml:space="preserve">El número real del intervalo de confianza depende de que corras el bootstrap sobre tus predicciones reales — no es parte de los 4 pendientes de código grandes, es un script corto (15-20 líneas con numpy/sklearn) que puedes pedir aparte cuando quieras.</w:t>
      </w:r>
    </w:p>
    <w:p>
      <w:pPr>
        <w:pStyle w:val="Heading2"/>
        <w:spacing w:after="120" w:before="260"/>
      </w:pPr>
      <w:r>
        <w:t xml:space="preserve">T2 — HE1 y criterio híbrido de selección (Boruta)</w:t>
      </w:r>
    </w:p>
    <w:p>
      <w:pPr>
        <w:spacing w:after="120"/>
      </w:pPr>
      <w:r>
        <w:rPr>
          <w:b/>
          <w:bCs/>
          <w:sz w:val="20"/>
          <w:szCs w:val="20"/>
        </w:rPr>
        <w:t xml:space="preserve">Ubicación: </w:t>
      </w:r>
      <w:r>
        <w:rPr>
          <w:i/>
          <w:iCs/>
          <w:sz w:val="20"/>
          <w:szCs w:val="20"/>
        </w:rPr>
        <w:t xml:space="preserve">1.3.2 Hipótesis específica 1 / 4.10.3 Selección de características</w:t>
      </w:r>
    </w:p>
    <w:p>
      <w:pPr>
        <w:spacing w:after="200"/>
      </w:pPr>
      <w:r>
        <w:rPr>
          <w:b/>
          <w:bCs/>
          <w:color w:val="B26A00"/>
          <w:sz w:val="20"/>
          <w:szCs w:val="20"/>
        </w:rPr>
        <w:t xml:space="preserve">Estado: Texto listo — depende del experimento C1</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"HE1: El algoritmo Boruta selecciona un subconjunto estadísticamente significativo de factores sociodemográficos y clínicos, reduciendo la dimensionalidad y eliminando el ruido sin pérdida de capacidad predictiva." Problema: Boruta solo confirma 4 variables, pero el pipeline usa 10 (criterio híbrido no declarado como tal), rompiendo la trazabilidad con HE1/OE1.</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HE1 (nueva redacción): "El criterio híbrido de selección de variables (subconjunto Top-10 por importancia acumulada, construido a partir de la salida de Boruta y complementado con respaldo teórico de la literatura de salud reproductiva) mantiene una capacidad predictiva igual o superior a la del subconjunto de 4 variables confirmadas únicamente por Boruta, reduciendo la dimensionalidad frente a las 20 variables originales sin pérdida de capacidad predictiva."</w:t>
      </w:r>
    </w:p>
    <w:p>
      <w:pPr>
        <w:spacing w:after="160" w:line="300"/>
      </w:pPr>
      <w:r>
        <w:rPr>
          <w:b w:val="false"/>
          <w:bCs w:val="false"/>
          <w:i w:val="false"/>
          <w:iCs w:val="false"/>
        </w:rPr>
        <w:t xml:space="preserve">En 4.10.3, reemplazar el párrafo que empieza en "Sin embargo, limitar el modelo a únicamente esas 4 variables..." por: "Bajo el criterio puramente estadístico de Boruta, solo 4 de las 20 variables candidatas resultaron confirmadas: altitud conglomerada (V040), intervalo intergenésico (V222), índice de masa corporal (IMC) e índice de riqueza (V190). Sin embargo, limitar el modelo a estas 4 variables descartaría predictores con fuerte respaldo teórico en la literatura de salud reproductiva —como la edad (V012), el nivel educativo (V106) o la paridad (V501)— que en esta muestra no alcanzaron el umbral estadístico de Boruta, pero sí concentran una parte relevante de la importancia total calculada por el propio Random Forest interno del algoritmo. Por esta razón, se define de forma explícita un criterio híbrido de selección: se retienen las 10 variables de mayor importancia acumulada según Boruta (umbral de importancia acumulada ≥ 85%, ver Tabla 2), combinando así la evidencia estadística (4 variables confirmadas) con el respaldo teórico documentado en el marco teórico de esta investigación (6 variables adicionales, no confirmadas estadísticamente pero teóricamente relevantes). Este criterio se adopta explícitamente en sustitución de una selección puramente estadística, y su idoneidad se valida empíricamente en la sección 4.10.6, donde se comparan las métricas de los cinco modelos entrenados con el subconjunto de 4 variables Boruta-confirmadas frente al subconjunto híbrido de 10 variables (Tabla 5-bis)."</w:t>
      </w:r>
    </w:p>
    <w:p>
      <w:pPr>
        <w:spacing w:after="60" w:before="100"/>
      </w:pPr>
      <w:r>
        <w:rPr>
          <w:b/>
          <w:bCs/>
          <w:color w:val="1565C0"/>
          <w:sz w:val="20"/>
          <w:szCs w:val="20"/>
        </w:rPr>
        <w:t xml:space="preserve">Nota:</w:t>
      </w:r>
    </w:p>
    <w:p>
      <w:pPr>
        <w:spacing w:after="160" w:line="300"/>
      </w:pPr>
      <w:r>
        <w:rPr>
          <w:b w:val="false"/>
          <w:bCs w:val="false"/>
          <w:i w:val="false"/>
          <w:iCs w:val="false"/>
          <w:color w:val="1565C0"/>
        </w:rPr>
        <w:t xml:space="preserve">Depende del experimento de código C1 (comparación 4 Boruta vs Top-10). Además, dado el hallazgo de M14 (item T8/C3), esta comparación debe correrse DESPUÉS de aplicar el fix C3, porque M14 sale del set de variables candidatas.</w:t>
      </w:r>
    </w:p>
    <w:p>
      <w:pPr>
        <w:pStyle w:val="Heading2"/>
        <w:spacing w:after="120" w:before="260"/>
      </w:pPr>
      <w:r>
        <w:t xml:space="preserve">T3 — HE3 — quitar significancia no sostenida</w:t>
      </w:r>
    </w:p>
    <w:p>
      <w:pPr>
        <w:spacing w:after="120"/>
      </w:pPr>
      <w:r>
        <w:rPr>
          <w:b/>
          <w:bCs/>
          <w:sz w:val="20"/>
          <w:szCs w:val="20"/>
        </w:rPr>
        <w:t xml:space="preserve">Ubicación: </w:t>
      </w:r>
      <w:r>
        <w:rPr>
          <w:i/>
          <w:iCs/>
          <w:sz w:val="20"/>
          <w:szCs w:val="20"/>
        </w:rPr>
        <w:t xml:space="preserve">1.3.2 Hipótesis específica 3</w:t>
      </w:r>
    </w:p>
    <w:p>
      <w:pPr>
        <w:spacing w:after="200"/>
      </w:pPr>
      <w:r>
        <w:rPr>
          <w:b/>
          <w:bCs/>
          <w:color w:val="2E7D32"/>
          <w:sz w:val="20"/>
          <w:szCs w:val="20"/>
        </w:rPr>
        <w:t xml:space="preserve">Estado: Listo para aplicar</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"HE3: Los algoritmos basados en ensambles (XGBoost, Random Forest, Gradient Boosting) superan de manera estadísticamente significativa en AUROC y F1-Score a los modelos tradicionales (SVM, KNN)." Las diferencias en la Tabla 5 (p.ej. F1 0.1935 vs 0.1932 SVM) son menores que la desviación estándar entre folds — no hay prueba estadística que sostenga "significativamente".</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"HE3: Los algoritmos basados en ensambles (XGBoost, Random Forest, Gradient Boosting) superan en AUROC y F1-Score a los modelos tradicionales (SVM, KNN)."</w:t>
      </w:r>
    </w:p>
    <w:p>
      <w:pPr>
        <w:pStyle w:val="Heading2"/>
        <w:spacing w:after="120" w:before="260"/>
      </w:pPr>
      <w:r>
        <w:t xml:space="preserve">T4 — HE4 y HE5 — de "lo que la técnica permite" a hipótesis verificables</w:t>
      </w:r>
    </w:p>
    <w:p>
      <w:pPr>
        <w:spacing w:after="120"/>
      </w:pPr>
      <w:r>
        <w:rPr>
          <w:b/>
          <w:bCs/>
          <w:sz w:val="20"/>
          <w:szCs w:val="20"/>
        </w:rPr>
        <w:t xml:space="preserve">Ubicación: </w:t>
      </w:r>
      <w:r>
        <w:rPr>
          <w:i/>
          <w:iCs/>
          <w:sz w:val="20"/>
          <w:szCs w:val="20"/>
        </w:rPr>
        <w:t xml:space="preserve">1.3.2 Hipótesis específicas 4 y 5</w:t>
      </w:r>
    </w:p>
    <w:p>
      <w:pPr>
        <w:spacing w:after="200"/>
      </w:pPr>
      <w:r>
        <w:rPr>
          <w:b/>
          <w:bCs/>
          <w:color w:val="2E7D32"/>
          <w:sz w:val="20"/>
          <w:szCs w:val="20"/>
        </w:rPr>
        <w:t xml:space="preserve">Estado: Listo para aplicar</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HE4 y HE5 actuales describen lo que TreeSHAP/LIME "permiten hacer" (una propiedad del método, no un hallazgo falsable). Se optó por reformularlas en vez de eliminarlas, por la convención de correspondencia objetivo-hipótesis.</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HE4: "Las variables con mayor contribución promedio al riesgo gestacional según TreeSHAP —área de residencia, paridad, estado civil y nivel educativo— corresponden a determinantes con respaldo teórico en la literatura de salud reproductiva."</w:t>
      </w:r>
    </w:p>
    <w:p>
      <w:pPr>
        <w:spacing w:after="160" w:line="300"/>
      </w:pPr>
      <w:r>
        <w:rPr>
          <w:b w:val="false"/>
          <w:bCs w:val="false"/>
          <w:i w:val="false"/>
          <w:iCs w:val="false"/>
        </w:rPr>
        <w:t xml:space="preserve">HE5: "Las explicaciones LIME y SHAP Waterfall coinciden en la dirección del efecto de las variables más influyentes (área de residencia, paridad, estado civil) en los casos individuales analizados de alto y bajo riesgo, evidenciando consistencia entre ambas técnicas de explicabilidad local."</w:t>
      </w:r>
    </w:p>
    <w:p>
      <w:pPr>
        <w:spacing w:after="60" w:before="100"/>
      </w:pPr>
      <w:r>
        <w:rPr>
          <w:b/>
          <w:bCs/>
          <w:color w:val="1565C0"/>
          <w:sz w:val="20"/>
          <w:szCs w:val="20"/>
        </w:rPr>
        <w:t xml:space="preserve">Nota:</w:t>
      </w:r>
    </w:p>
    <w:p>
      <w:pPr>
        <w:spacing w:after="160" w:line="300"/>
      </w:pPr>
      <w:r>
        <w:rPr>
          <w:b w:val="false"/>
          <w:bCs w:val="false"/>
          <w:i w:val="false"/>
          <w:iCs w:val="false"/>
          <w:color w:val="1565C0"/>
        </w:rPr>
        <w:t xml:space="preserve">Confirmar que área de residencia, paridad, estado civil y nivel educativo (las 4 variables usadas en HE4) tengan cita en tu marco teórico (ya lo verifiqué: aparecen en 2.1, 3.2.1 y 3.2.2 con referencias [7],[10],[12],[14]).</w:t>
      </w:r>
    </w:p>
    <w:p>
      <w:pPr>
        <w:pStyle w:val="Heading2"/>
        <w:spacing w:after="120" w:before="260"/>
      </w:pPr>
      <w:r>
        <w:t xml:space="preserve">T5 — Estado del arte — no convertir evidencia internacional en promesa de utilidad clínica para Perú</w:t>
      </w:r>
    </w:p>
    <w:p>
      <w:pPr>
        <w:spacing w:after="120"/>
      </w:pPr>
      <w:r>
        <w:rPr>
          <w:b/>
          <w:bCs/>
          <w:sz w:val="20"/>
          <w:szCs w:val="20"/>
        </w:rPr>
        <w:t xml:space="preserve">Ubicación: </w:t>
      </w:r>
      <w:r>
        <w:rPr>
          <w:i/>
          <w:iCs/>
          <w:sz w:val="20"/>
          <w:szCs w:val="20"/>
        </w:rPr>
        <w:t xml:space="preserve">2.3 (final) / 2.4 (final) / 2.5 (final)</w:t>
      </w:r>
    </w:p>
    <w:p>
      <w:pPr>
        <w:spacing w:after="200"/>
      </w:pPr>
      <w:r>
        <w:rPr>
          <w:b/>
          <w:bCs/>
          <w:color w:val="2E7D32"/>
          <w:sz w:val="20"/>
          <w:szCs w:val="20"/>
        </w:rPr>
        <w:t xml:space="preserve">Estado: Listo para aplicar</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2.3: "...los modelos de ensamblaje (Random Forest o enfoques híbridos) y KNN demuestran una clara superioridad al alcanzar AUCs por encima de 0.84 y exactitudes superiores al 85% [4, 5, 7, 14]."</w:t>
      </w:r>
    </w:p>
    <w:p>
      <w:pPr>
        <w:spacing w:after="160" w:line="300"/>
      </w:pPr>
      <w:r>
        <w:rPr>
          <w:b w:val="false"/>
          <w:bCs w:val="false"/>
          <w:i/>
          <w:iCs/>
          <w:color w:val="555555"/>
        </w:rPr>
        <w:t xml:space="preserve">2.4 (cierre): "...con el objetivo de mejorar el desempeño frente al análisis estadístico tradicional y contribuir a una mayor capacidad de generalización y exactitud predictiva para el sistema de salud peruano."</w:t>
      </w:r>
    </w:p>
    <w:p>
      <w:pPr>
        <w:spacing w:after="160" w:line="300"/>
      </w:pPr>
      <w:r>
        <w:rPr>
          <w:b w:val="false"/>
          <w:bCs w:val="false"/>
          <w:i/>
          <w:iCs/>
          <w:color w:val="555555"/>
        </w:rPr>
        <w:t xml:space="preserve">2.5 (cierre): "...para que el modelo predictivo propuesto tenga un impacto real y aplicable en el sistema de salud pública del Perú... Esta postura garantiza que las interacciones matemáticas... se logren traducir en un perfil de riesgo transparente y comprensible, brindando a las autoridades de salud una herramienta fundamentada para el diseño de políticas públicas de prevención personalizadas."</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2.3 → "...al procesar encuestas demográficas masivas (como las DHS), estudios como los de [4, 5, 7, 14] reportan que los modelos de ensamblaje (Random Forest o enfoques híbridos) y KNN alcanzaron AUCs por encima de 0.84 y exactitudes superiores al 85% en sus respectivos conjuntos de datos. Cabe precisar que estos resultados corresponden a encuestas DHS de otros países y no constituyen, por sí solos, evidencia de que un desempeño equivalente sea alcanzable con la ENDES peruana, cuya composición de variables y prevalencia de la clase minoritaria difieren de los estudios citados."</w:t>
      </w:r>
    </w:p>
    <w:p>
      <w:pPr>
        <w:spacing w:after="160" w:line="300"/>
      </w:pPr>
      <w:r>
        <w:rPr>
          <w:b w:val="false"/>
          <w:bCs w:val="false"/>
          <w:i w:val="false"/>
          <w:iCs w:val="false"/>
        </w:rPr>
        <w:t xml:space="preserve">2.4 → agregar antes del cierre: "Cabe señalar que gran parte de esta evidencia proviene de encuestas DHS con acceso a variables clínicas o de laboratorio no disponibles en la ENDES peruana, por lo que los valores de AUC y exactitud reportados en estos estudios (90-93%) constituyen una referencia de la literatura y no una expectativa de desempeño directamente extrapolable al presente estudio." Y cambiar el cierre a: "...con el objetivo de mejorar el desempeño frente al análisis estadístico tradicional dentro de las limitaciones propias de los datos disponibles en la ENDES."</w:t>
      </w:r>
    </w:p>
    <w:p>
      <w:pPr>
        <w:spacing w:after="160" w:line="300"/>
      </w:pPr>
      <w:r>
        <w:rPr>
          <w:b w:val="false"/>
          <w:bCs w:val="false"/>
          <w:i w:val="false"/>
          <w:iCs w:val="false"/>
        </w:rPr>
        <w:t xml:space="preserve">2.5 → "...para que el modelo predictivo propuesto tenga utilidad como apoyo a la toma de decisiones clínicas, no basta con identificar qué mujeres de la ENDES presentan mayor riesgo de pérdida gestacional, sino ofrecer elementos que ayuden a comprender por qué el modelo llega a esa estimación. [...] Esta postura busca que las interacciones matemáticas de los determinantes sociodemográficos peruanos se traduzcan en un perfil de riesgo interpretable, que pueda servir como insumo exploratorio para el personal de salud, sin que ello implique, por sí solo, que el modelo esté validado como herramienta de política pública o de uso clínico directo."</w:t>
      </w:r>
    </w:p>
    <w:p>
      <w:pPr>
        <w:pStyle w:val="Heading2"/>
        <w:spacing w:after="120" w:before="260"/>
      </w:pPr>
      <w:r>
        <w:t xml:space="preserve">T6 — Redefinición del desenlace: quitar "involuntaria"</w:t>
      </w:r>
    </w:p>
    <w:p>
      <w:pPr>
        <w:spacing w:after="120"/>
      </w:pPr>
      <w:r>
        <w:rPr>
          <w:b/>
          <w:bCs/>
          <w:sz w:val="20"/>
          <w:szCs w:val="20"/>
        </w:rPr>
        <w:t xml:space="preserve">Ubicación: </w:t>
      </w:r>
      <w:r>
        <w:rPr>
          <w:i/>
          <w:iCs/>
          <w:sz w:val="20"/>
          <w:szCs w:val="20"/>
        </w:rPr>
        <w:t xml:space="preserve">3.1.1 Definición clínica / 4.6 Muestra (y todo el documento)</w:t>
      </w:r>
    </w:p>
    <w:p>
      <w:pPr>
        <w:spacing w:after="200"/>
      </w:pPr>
      <w:r>
        <w:rPr>
          <w:b/>
          <w:bCs/>
          <w:color w:val="2E7D32"/>
          <w:sz w:val="20"/>
          <w:szCs w:val="20"/>
        </w:rPr>
        <w:t xml:space="preserve">Estado: Listo para aplicar — requiere find &amp; replace amplio</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3.1.1 afirma como hecho operativo: "se excluyen del análisis los abortos inducidos o intencionales..." — falso, porque ENDES no permite distinguir espontáneo de inducido (confirmado con literatura externa: Sedgh et al. 2019, PLOS ONE — Perú no está entre las encuestas DHS que codifican el tipo de terminación). 4.6 ya lo admite pero en tensión con 3.1.1.</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3.1.1 → "Cabe precisar que la ENDES no permite distinguir, dentro de su módulo de historia de embarazos, entre una pérdida gestacional de origen espontáneo y una de origen inducido: ambos eventos se registran bajo la misma categoría de 'aborto' en la variable V228, un patrón documentado en la literatura metodológica sobre encuestas DHS, donde Perú se encuentra entre los países que no codifican el tipo de terminación por separado (Sedgh et al., 2019). Por lo tanto, esta investigación no excluye operativamente los abortos inducidos del análisis, sino que declara esta limitación de forma explícita: el desenlace estudiado se redefine como 'pérdida gestacional' —sin el calificativo 'involuntaria'—, entendida como la finalización del embarazo antes de las 22 semanas completas de gestación, independientemente de su origen espontáneo o inducido."</w:t>
      </w:r>
    </w:p>
    <w:p>
      <w:pPr>
        <w:spacing w:after="160" w:line="300"/>
      </w:pPr>
      <w:r>
        <w:rPr>
          <w:b w:val="false"/>
          <w:bCs w:val="false"/>
          <w:i w:val="false"/>
          <w:iCs w:val="false"/>
        </w:rPr>
        <w:t xml:space="preserve">4.6 → "...esta investigación no asume ni afirma que los casos registrados correspondan mayoritariamente a eventos involuntarios. En su lugar, se declara como limitación metodológica explícita que el desenlace estudiado (redefinido como 'pérdida gestacional') agrupa, sin distinción, tanto pérdidas espontáneas como posibles interrupciones inducidas del embarazo, en la medida en que la fuente de datos (ENDES) no permite diferenciarlas con certeza clínica."</w:t>
      </w:r>
    </w:p>
    <w:p>
      <w:pPr>
        <w:spacing w:after="60" w:before="100"/>
      </w:pPr>
      <w:r>
        <w:rPr>
          <w:b/>
          <w:bCs/>
          <w:color w:val="1565C0"/>
          <w:sz w:val="20"/>
          <w:szCs w:val="20"/>
        </w:rPr>
        <w:t xml:space="preserve">Nota:</w:t>
      </w:r>
    </w:p>
    <w:p>
      <w:pPr>
        <w:spacing w:after="160" w:line="300"/>
      </w:pPr>
      <w:r>
        <w:rPr>
          <w:b w:val="false"/>
          <w:bCs w:val="false"/>
          <w:i w:val="false"/>
          <w:iCs w:val="false"/>
          <w:color w:val="1565C0"/>
        </w:rPr>
        <w:t xml:space="preserve">El término "pérdida gestacional involuntaria" → "pérdida gestacional" debe reemplazarse en TODO el documento: título de la sección 3.1, la hipótesis general (ya reflejado en T1), objetivo general y OE, 4.3 Enfoque, 4.4 Nivel (T10), y menciones sueltas en 2.1 y 3.3. Conviene hacer un find &amp; replace consistente al final, cuando se compile el documento completo.</w:t>
      </w:r>
    </w:p>
    <w:p>
      <w:pPr>
        <w:pStyle w:val="Heading2"/>
        <w:spacing w:after="120" w:before="260"/>
      </w:pPr>
      <w:r>
        <w:t xml:space="preserve">T7 — Criterio temporal unificado del target</w:t>
      </w:r>
    </w:p>
    <w:p>
      <w:pPr>
        <w:spacing w:after="120"/>
      </w:pPr>
      <w:r>
        <w:rPr>
          <w:b/>
          <w:bCs/>
          <w:sz w:val="20"/>
          <w:szCs w:val="20"/>
        </w:rPr>
        <w:t xml:space="preserve">Ubicación: </w:t>
      </w:r>
      <w:r>
        <w:rPr>
          <w:i/>
          <w:iCs/>
          <w:sz w:val="20"/>
          <w:szCs w:val="20"/>
        </w:rPr>
        <w:t xml:space="preserve">3.1.1 / 4.10.1 / 4.6</w:t>
      </w:r>
    </w:p>
    <w:p>
      <w:pPr>
        <w:spacing w:after="200"/>
      </w:pPr>
      <w:r>
        <w:rPr>
          <w:b/>
          <w:bCs/>
          <w:color w:val="2E7D32"/>
          <w:sz w:val="20"/>
          <w:szCs w:val="20"/>
        </w:rPr>
        <w:t xml:space="preserve">Estado: Listo para aplicar — CONFIRMADO: V233 está en meses</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3.1.1 dice "antes de las 22 semanas, es decir menos de 6 meses"; 4.10.1 dice "antes de las 24 semanas de gestación, en específico 22 semanas, las cuales se aproximaron a menos de 6 meses" — tres números distintos (22, 24, 6) para el mismo corte, y V233 nunca se documenta con su unidad real.</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3.1.1 → "...considerando como caso positivo (1) a las mujeres que reportan una pérdida gestacional antes de los 6 meses completos de gestación (V233 &lt; 6); y como caso negativo (0) a los embarazos que continúan 6 meses o más. Este umbral operativo se adopta como la aproximación más cercana disponible en la ENDES al criterio clínico de &lt;22 semanas completas de gestación utilizado en la definición conceptual de aborto espontáneo (sección 3.1.1), dado que la encuesta registra la duración del embarazo en meses completos y no en semanas."</w:t>
      </w:r>
    </w:p>
    <w:p>
      <w:pPr>
        <w:spacing w:after="160" w:line="300"/>
      </w:pPr>
      <w:r>
        <w:rPr>
          <w:b w:val="false"/>
          <w:bCs w:val="false"/>
          <w:i w:val="false"/>
          <w:iCs w:val="false"/>
        </w:rPr>
        <w:t xml:space="preserve">4.10.1 → "...(5) clasificación binaria final: 1 para pérdidas ocurridas antes de los 6 meses completos de gestación (V233 &lt; 6, criterio operativo definido en la sección 3.1.1); 0 para nacimientos sin pérdida registrada."</w:t>
      </w:r>
    </w:p>
    <w:p>
      <w:pPr>
        <w:spacing w:after="160" w:line="300"/>
      </w:pPr>
      <w:r>
        <w:rPr>
          <w:b w:val="false"/>
          <w:bCs w:val="false"/>
          <w:i w:val="false"/>
          <w:iCs w:val="false"/>
        </w:rPr>
        <w:t xml:space="preserve">4.6 → "...con valores de V233 fuera de rango o no determinados (missing), y aquellos sin información disponible..." (en vez de "duración... inconsistente o no determinada", vago).</w:t>
      </w:r>
    </w:p>
    <w:p>
      <w:pPr>
        <w:spacing w:after="60" w:before="100"/>
      </w:pPr>
      <w:r>
        <w:rPr>
          <w:b/>
          <w:bCs/>
          <w:color w:val="1565C0"/>
          <w:sz w:val="20"/>
          <w:szCs w:val="20"/>
        </w:rPr>
        <w:t xml:space="preserve">Nota:</w:t>
      </w:r>
    </w:p>
    <w:p>
      <w:pPr>
        <w:spacing w:after="160" w:line="300"/>
      </w:pPr>
      <w:r>
        <w:rPr>
          <w:b w:val="false"/>
          <w:bCs w:val="false"/>
          <w:i w:val="false"/>
          <w:iCs w:val="false"/>
          <w:color w:val="1565C0"/>
        </w:rPr>
        <w:t xml:space="preserve">"24 semanas" desaparece del documento en cualquier lugar donde aparezca — no coincide con nada más y es un error de redacción.</w:t>
      </w:r>
    </w:p>
    <w:p>
      <w:pPr>
        <w:pStyle w:val="Heading2"/>
        <w:spacing w:after="120" w:before="260"/>
      </w:pPr>
      <w:r>
        <w:t xml:space="preserve">T8 — Correspondencia temporal de las variables predictoras (M14, V222, IMC, etc.)</w:t>
      </w:r>
    </w:p>
    <w:p>
      <w:pPr>
        <w:spacing w:after="120"/>
      </w:pPr>
      <w:r>
        <w:rPr>
          <w:b/>
          <w:bCs/>
          <w:sz w:val="20"/>
          <w:szCs w:val="20"/>
        </w:rPr>
        <w:t xml:space="preserve">Ubicación: </w:t>
      </w:r>
      <w:r>
        <w:rPr>
          <w:i/>
          <w:iCs/>
          <w:sz w:val="20"/>
          <w:szCs w:val="20"/>
        </w:rPr>
        <w:t xml:space="preserve">3.2 Factores determinantes asociados / 4.6 Muestra</w:t>
      </w:r>
    </w:p>
    <w:p>
      <w:pPr>
        <w:spacing w:after="200"/>
      </w:pPr>
      <w:r>
        <w:rPr>
          <w:b/>
          <w:bCs/>
          <w:color w:val="B26A00"/>
          <w:sz w:val="20"/>
          <w:szCs w:val="20"/>
        </w:rPr>
        <w:t xml:space="preserve">Estado: Texto listo — depende del fix de código C3</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Varias variables (edad, estado civil, paridad, IMC, tabaco/alcohol "últimos 12 meses", M14, V222) reflejan estado ACTUAL de la entrevistada, no su estado en el momento de la pérdida. Dato real verificado: mediana de 35 meses (2.9 años) entre la pérdida y la entrevista para target=1 (n=7,924); solo 18.02% de los casos ocurrió dentro del año previo, 34.29% dentro de 2 años.</w:t>
      </w:r>
    </w:p>
    <w:p>
      <w:pPr>
        <w:spacing w:after="160" w:line="300"/>
      </w:pPr>
      <w:r>
        <w:rPr>
          <w:b w:val="false"/>
          <w:bCs w:val="false"/>
          <w:i/>
          <w:iCs/>
          <w:color w:val="555555"/>
        </w:rPr>
        <w:t xml:space="preserve">V222 (intervalo intergenésico) está definida como "meses entre el último nacimiento y la fecha de la entrevista" — no anclada al evento, problema independiente del tiempo transcurrido.</w:t>
      </w:r>
    </w:p>
    <w:p>
      <w:pPr>
        <w:spacing w:after="160" w:line="300"/>
      </w:pPr>
      <w:r>
        <w:rPr>
          <w:b w:val="false"/>
          <w:bCs w:val="false"/>
          <w:i/>
          <w:iCs/>
          <w:color w:val="555555"/>
        </w:rPr>
        <w:t xml:space="preserve">M14 (controles prenatales) resultó ser el caso más grave: por el código de extracción (app.py líneas 206-218, join con REC41 filtrando MIDX==1), M14 mide los controles prenatales del parto vivo MÁS RECIENTE de la mujer, no del embarazo que terminó en pérdida — confirmado con evidencia real (1,596 de 2,172 mujeres de 2022 con pérdida temprana tienen M14 no nulo porque también tuvieron un parto vivo aparte).</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Agregar a 4.6, como párrafo nuevo: "Adicionalmente, dado que el diseño de la ENDES es transversal —la entrevista se realiza en un único momento, mientras que la pérdida gestacional reportada pudo haber ocurrido en cualquier punto de la vida reproductiva de la mujer—, se evaluó el desfase temporal entre el evento y la entrevista para el subconjunto de casos que constituye la variable objetivo (pérdida antes de los 6 meses de gestación, n = 7,924 antes de aplicar los criterios de calidad de dato adicionales de esta sección). La mediana de dicho desfase fue de 35 meses (≈2.9 años), con un máximo de 88 meses (≈7.3 años); un 18.02% de los casos ocurrió dentro del año previo a la entrevista y un 34.29% dentro de los últimos dos años. Esto tiene una implicancia directa sobre la validez temporal de algunas variables predictoras. Las registradas como 'estado actual' (nivel educativo, índice de riqueza, área de residencia) presentan un riesgo moderado, dado que su mediana de desfase (~3 años) hace poco probable un cambio sustancial para la mayoría de los casos. Sin embargo, las variables definidas sobre una ventana de 'últimos 12 meses' (consumo de tabaco y alcohol) solo corresponden temporalmente al periodo del evento en el 18.02% de los casos; para el 81.98% restante, reflejan un comportamiento posterior —o sin relación directa— al momento de la pérdida, no el comportamiento vigente durante esa gestación. De forma similar, paridad y estado civil pueden reflejar hijos nacidos o cambios de estado civil posteriores al evento estudiado, dado que solo el 34.29% de los casos tiene la pérdida ubicada dentro de los dos años previos a la entrevista. Esta limitación es inherente al diseño transversal de la ENDES y no puede resolverse por completo con los datos disponibles; se declara explícitamente como limitación metodológica del estudio. En particular, se recomienda reconsiderar el uso del intervalo intergenésico (V222) como predictor: tal como está definido en la Tabla 3 (meses entre el último nacimiento y la fecha de la entrevista), no representa un intervalo temporalmente anclado al evento de pérdida gestacional modelado, independientemente del desfase promedio recién calculado. Para investigaciones futuras se recomienda el uso de módulos de calendario reproductivo que permitan vincular cada variable al momento específico del embarazo en cuestión."</w:t>
      </w:r>
    </w:p>
    <w:p>
      <w:pPr>
        <w:spacing w:after="60" w:before="100"/>
      </w:pPr>
      <w:r>
        <w:rPr>
          <w:b/>
          <w:bCs/>
          <w:color w:val="1565C0"/>
          <w:sz w:val="20"/>
          <w:szCs w:val="20"/>
        </w:rPr>
        <w:t xml:space="preserve">Nota:</w:t>
      </w:r>
    </w:p>
    <w:p>
      <w:pPr>
        <w:spacing w:after="160" w:line="300"/>
      </w:pPr>
      <w:r>
        <w:rPr>
          <w:b w:val="false"/>
          <w:bCs w:val="false"/>
          <w:i w:val="false"/>
          <w:iCs w:val="false"/>
          <w:color w:val="1565C0"/>
        </w:rPr>
        <w:t xml:space="preserve">M14 tiene, además, un problema propio y más grave (mezcla con un embarazo distinto, no solo desfase temporal) — ver C3. Una vez corregido el código, esta sección debe revisarse para reflejar si M14 sigue en el modelo o se retiró.</w:t>
      </w:r>
    </w:p>
    <w:p>
      <w:pPr>
        <w:pStyle w:val="Heading2"/>
        <w:spacing w:after="120" w:before="260"/>
      </w:pPr>
      <w:r>
        <w:t xml:space="preserve">T9 — HE2 y la narrativa de SMOTE-NC</w:t>
      </w:r>
    </w:p>
    <w:p>
      <w:pPr>
        <w:spacing w:after="120"/>
      </w:pPr>
      <w:r>
        <w:rPr>
          <w:b/>
          <w:bCs/>
          <w:sz w:val="20"/>
          <w:szCs w:val="20"/>
        </w:rPr>
        <w:t xml:space="preserve">Ubicación: </w:t>
      </w:r>
      <w:r>
        <w:rPr>
          <w:i/>
          <w:iCs/>
          <w:sz w:val="20"/>
          <w:szCs w:val="20"/>
        </w:rPr>
        <w:t xml:space="preserve">1.3.2 Hipótesis específica 2 / 4.10.4</w:t>
      </w:r>
    </w:p>
    <w:p>
      <w:pPr>
        <w:spacing w:after="200"/>
      </w:pPr>
      <w:r>
        <w:rPr>
          <w:b/>
          <w:bCs/>
          <w:color w:val="B26A00"/>
          <w:sz w:val="20"/>
          <w:szCs w:val="20"/>
        </w:rPr>
        <w:t xml:space="preserve">Estado: Narrativa lista — HE2 pendiente del experimento C2</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Tabla 4 (RF sin/con SMOTE-NC): Recall 0→0.482 y F1 0→0.184 (mejora), pero AUROC 0.621→0.597 y PR-AUC 0.128→0.115 (bajan). El texto actual solo narra la mejora, no el efecto mixto. Además, el experimento solo se hizo con Random Forest; HE2 generaliza a los 5 modelos.</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Agregar al final del párrafo de 4.10.4 (después de "...donde no detectar un caso de riesgo (falso negativo) suele ser más costoso que una alerta de más."): "Sin embargo, el efecto del balanceo es mixto: tanto el AUROC (de 0.621 a 0.597) como el PR-AUC (de 0.128 a 0.115) disminuyen levemente con SMOTE-NC. Esto es consistente con que SMOTE-NC optimiza la clasificación en el umbral de decisión por defecto (mejorando Recall y F1), pero no necesariamente mejora —e incluso puede afectar levemente— la capacidad de discriminación global del modelo a través de todos los umbrales posibles (AUROC) ni el desempeño específico sobre la clase minoritaria en todo el rango de umbrales (PR-AUC). Este experimento se realizó únicamente sobre Random Forest; generalizar esta conclusión al resto de modelos (HE2) requiere repetir la comparación con XGBoost, Gradient Boosting, SVM y KNN."</w:t>
      </w:r>
    </w:p>
    <w:p>
      <w:pPr>
        <w:spacing w:after="60" w:before="100"/>
      </w:pPr>
      <w:r>
        <w:rPr>
          <w:b/>
          <w:bCs/>
          <w:color w:val="1565C0"/>
          <w:sz w:val="20"/>
          <w:szCs w:val="20"/>
        </w:rPr>
        <w:t xml:space="preserve">Nota:</w:t>
      </w:r>
    </w:p>
    <w:p>
      <w:pPr>
        <w:spacing w:after="160" w:line="300"/>
      </w:pPr>
      <w:r>
        <w:rPr>
          <w:b w:val="false"/>
          <w:bCs w:val="false"/>
          <w:i w:val="false"/>
          <w:iCs w:val="false"/>
          <w:color w:val="1565C0"/>
        </w:rPr>
        <w:t xml:space="preserve">HE2 queda tal como está (versión general) mientras se corre el experimento C2 en los otros 4 modelos. Si el patrón se repite, HE2 general se sostiene; si no, hay que acotarla a los modelos donde sí se cumpla.</w:t>
      </w:r>
    </w:p>
    <w:p>
      <w:pPr>
        <w:pStyle w:val="Heading2"/>
        <w:spacing w:after="120" w:before="260"/>
      </w:pPr>
      <w:r>
        <w:t xml:space="preserve">T10 — "Nivel" — separar predicción de explicación causal</w:t>
      </w:r>
    </w:p>
    <w:p>
      <w:pPr>
        <w:spacing w:after="120"/>
      </w:pPr>
      <w:r>
        <w:rPr>
          <w:b/>
          <w:bCs/>
          <w:sz w:val="20"/>
          <w:szCs w:val="20"/>
        </w:rPr>
        <w:t xml:space="preserve">Ubicación: </w:t>
      </w:r>
      <w:r>
        <w:rPr>
          <w:i/>
          <w:iCs/>
          <w:sz w:val="20"/>
          <w:szCs w:val="20"/>
        </w:rPr>
        <w:t xml:space="preserve">4.4 Nivel</w:t>
      </w:r>
    </w:p>
    <w:p>
      <w:pPr>
        <w:spacing w:after="200"/>
      </w:pPr>
      <w:r>
        <w:rPr>
          <w:b/>
          <w:bCs/>
          <w:color w:val="2E7D32"/>
          <w:sz w:val="20"/>
          <w:szCs w:val="20"/>
        </w:rPr>
        <w:t xml:space="preserve">Estado: Listo para aplicar</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"Nivel Explicativo" describe XAI con lenguaje causal ("explicar por qué ocurre un fenómeno", "justificación epidemiológica"), cuando SHAP/LIME solo explican el comportamiento del modelo, no la causalidad real del fenómeno.</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"La investigación se ubica en un nivel predictivo, con un componente de explicabilidad del modelo, con el fin de anticipar el riesgo reproductivo bajo un enfoque secuencial y estructurado. El objetivo aborda tanto la necesidad clínica de anticipar el riesgo reproductivo como la exigencia metodológica de interpretar el comportamiento interno de los modelos de Machine Learning utilizados: — Componente predictivo: [texto igual al actual, sin 'involuntaria'] — Componente de explicabilidad del modelo: La capacidad de interpretar el comportamiento interno del modelo predictivo, no de establecer una explicación causal del fenómeno de pérdida gestacional en sí. Mediante la Inteligencia Artificial Explicable (XAI) se identifica qué variables influyen más en la predicción del modelo y en qué dirección, sin que ello implique una demostración de causalidad clínica o epidemiológica. [...] La XAI provee transparencia y consistencia sobre la lógica interna del algoritmo, ofreciendo al personal de salud un insumo exploratorio para la interpretación de los resultados —no una explicación causal validada—, que debería complementarse con criterio clínico y evidencia epidemiológica independiente."</w:t>
      </w:r>
    </w:p>
    <w:p>
      <w:pPr>
        <w:pStyle w:val="Heading2"/>
        <w:spacing w:after="120" w:before="260"/>
      </w:pPr>
      <w:r>
        <w:t xml:space="preserve">T11 — Población fuente, población elegible y muestra analítica</w:t>
      </w:r>
    </w:p>
    <w:p>
      <w:pPr>
        <w:spacing w:after="120"/>
      </w:pPr>
      <w:r>
        <w:rPr>
          <w:b/>
          <w:bCs/>
          <w:sz w:val="20"/>
          <w:szCs w:val="20"/>
        </w:rPr>
        <w:t xml:space="preserve">Ubicación: </w:t>
      </w:r>
      <w:r>
        <w:rPr>
          <w:i/>
          <w:iCs/>
          <w:sz w:val="20"/>
          <w:szCs w:val="20"/>
        </w:rPr>
        <w:t xml:space="preserve">4.5 Población / 4.6 Muestra</w:t>
      </w:r>
    </w:p>
    <w:p>
      <w:pPr>
        <w:spacing w:after="200"/>
      </w:pPr>
      <w:r>
        <w:rPr>
          <w:b/>
          <w:bCs/>
          <w:color w:val="B26A00"/>
          <w:sz w:val="20"/>
          <w:szCs w:val="20"/>
        </w:rPr>
        <w:t xml:space="preserve">Estado: Texto listo — falta 1 dato (D1)</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4.5 y 4.6 saltan directo de 138,396 (población cruda) a 29,450 (muestra final), sin mostrar el paso intermedio de elegibilidad.</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4.5 → título "Población fuente": "...138,396 registros, Tabla 7... sin restricción adicional de edad, historial gestacional o completitud de datos."</w:t>
      </w:r>
    </w:p>
    <w:p>
      <w:pPr>
        <w:spacing w:after="160" w:line="300"/>
      </w:pPr>
      <w:r>
        <w:rPr>
          <w:b w:val="false"/>
          <w:bCs w:val="false"/>
          <w:i w:val="false"/>
          <w:iCs w:val="false"/>
        </w:rPr>
        <w:t xml:space="preserve">4.6 (inicio) → "Sobre la población fuente se aplicaron los criterios sustantivos de elegibilidad del estudio: mujeres en el rango etario de 15 a 49 años, con al menos una gestación registrada, y que no se encontraban embarazadas al momento de la entrevista. Este subconjunto constituye la población elegible, integrada por [N] registros. Sobre la población elegible se aplicaron, además, los criterios de calidad y completitud del dato: información completa en el módulo de controles prenatales y en el cuestionario de salud, y duración de la pérdida gestacional consistente y determinada. El resultado de este segundo filtro constituye la muestra analítica final: 29,450 registros (108,946 excluidos respecto a la población fuente)."</w:t>
      </w:r>
    </w:p>
    <w:p>
      <w:pPr>
        <w:spacing w:after="60" w:before="100"/>
      </w:pPr>
      <w:r>
        <w:rPr>
          <w:b/>
          <w:bCs/>
          <w:color w:val="1565C0"/>
          <w:sz w:val="20"/>
          <w:szCs w:val="20"/>
        </w:rPr>
        <w:t xml:space="preserve">Nota:</w:t>
      </w:r>
    </w:p>
    <w:p>
      <w:pPr>
        <w:spacing w:after="160" w:line="300"/>
      </w:pPr>
      <w:r>
        <w:rPr>
          <w:b w:val="false"/>
          <w:bCs w:val="false"/>
          <w:i w:val="false"/>
          <w:iCs w:val="false"/>
          <w:color w:val="1565C0"/>
        </w:rPr>
        <w:t xml:space="preserve">D1: falta contar cuántos registros quedan tras aplicar solo los 3 criterios sustantivos (edad, gestación, no embarazada), antes de los filtros de completitud de módulos. Es un conteo rápido sobre el dataframe ya existente, no requiere re-entrenar nada.</w:t>
      </w:r>
    </w:p>
    <w:p>
      <w:pPr>
        <w:spacing w:after="160" w:line="300"/>
      </w:pPr>
      <w:r>
        <w:rPr>
          <w:b w:val="false"/>
          <w:bCs w:val="false"/>
          <w:i w:val="false"/>
          <w:iCs w:val="false"/>
          <w:color w:val="1565C0"/>
        </w:rPr>
        <w:t xml:space="preserve">El número final de la muestra analítica (29,450) va a cambiar cuando se aplique C3 (fix de M14/join).</w:t>
      </w:r>
    </w:p>
    <w:p>
      <w:pPr>
        <w:pStyle w:val="Heading2"/>
        <w:spacing w:after="120" w:before="260"/>
      </w:pPr>
      <w:r>
        <w:t xml:space="preserve">T12 — Muestra: dato faltante, terminología y representatividad</w:t>
      </w:r>
    </w:p>
    <w:p>
      <w:pPr>
        <w:spacing w:after="120"/>
      </w:pPr>
      <w:r>
        <w:rPr>
          <w:b/>
          <w:bCs/>
          <w:sz w:val="20"/>
          <w:szCs w:val="20"/>
        </w:rPr>
        <w:t xml:space="preserve">Ubicación: </w:t>
      </w:r>
      <w:r>
        <w:rPr>
          <w:i/>
          <w:iCs/>
          <w:sz w:val="20"/>
          <w:szCs w:val="20"/>
        </w:rPr>
        <w:t xml:space="preserve">4.6 Muestra</w:t>
      </w:r>
    </w:p>
    <w:p>
      <w:pPr>
        <w:spacing w:after="200"/>
      </w:pPr>
      <w:r>
        <w:rPr>
          <w:b/>
          <w:bCs/>
          <w:color w:val="2E7D32"/>
          <w:sz w:val="20"/>
          <w:szCs w:val="20"/>
        </w:rPr>
        <w:t xml:space="preserve">Estado: Listo para aplicar</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"FLATA DATO%" quedó como placeholder sin completar. "...mediante muestreo aleatorio estratificado..." confunde partición de datos con muestreo poblacional. No se declara que la muestra analítica pueda no conservar la representatividad nacional de ENDES (diseño complejo con pesos).</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"Finalmente, sobre la muestra analítica se aplicó una partición aleatoria estratificada (no un muestreo poblacional) en dos conjuntos: 80% (23,560 registros) destinado al entrenamiento y 20% (5,890 registros) destinado a la validación y prueba final, manteniendo en ambos conjuntos una proporción similar de casos de pérdida gestacional (8.95% con pérdida / 91.05% sin pérdida). Esta partición separa los datos usados para entrenar del modelo de los usados para evaluarlo; no debe confundirse con el diseño muestral complejo (estratificado, multietápico y por conglomerados) de la propia ENDES, que es el que garantiza representatividad nacional en la encuesta original."</w:t>
      </w:r>
    </w:p>
    <w:p>
      <w:pPr>
        <w:spacing w:after="160" w:line="300"/>
      </w:pPr>
      <w:r>
        <w:rPr>
          <w:b w:val="false"/>
          <w:bCs w:val="false"/>
          <w:i w:val="false"/>
          <w:iCs w:val="false"/>
        </w:rPr>
        <w:t xml:space="preserve">Agregar después: "Cabe señalar que la ENDES emplea un diseño muestral complejo con pesos de expansión que garantizan la representatividad nacional de la encuesta original. La muestra analítica de este estudio se construyó mediante criterios de elegibilidad y completitud de datos, sin aplicar los pesos muestrales ni el diseño complejo en la fase de modelamiento. En consecuencia, no debe asumirse automáticamente que la muestra analítica conserva la misma representatividad nacional; los patrones identificados describen relaciones dentro de la muestra analítica, y toda inferencia hacia la población general debería considerar el diseño complejo y los pesos de la ENDES, o, como mínimo, reconocerse como una limitación de este estudio."</w:t>
      </w:r>
    </w:p>
    <w:p>
      <w:pPr>
        <w:spacing w:after="60" w:before="100"/>
      </w:pPr>
      <w:r>
        <w:rPr>
          <w:b/>
          <w:bCs/>
          <w:color w:val="1565C0"/>
          <w:sz w:val="20"/>
          <w:szCs w:val="20"/>
        </w:rPr>
        <w:t xml:space="preserve">Nota:</w:t>
      </w:r>
    </w:p>
    <w:p>
      <w:pPr>
        <w:spacing w:after="160" w:line="300"/>
      </w:pPr>
      <w:r>
        <w:rPr>
          <w:b w:val="false"/>
          <w:bCs w:val="false"/>
          <w:i w:val="false"/>
          <w:iCs w:val="false"/>
          <w:color w:val="1565C0"/>
        </w:rPr>
        <w:t xml:space="preserve">8.95%/91.05% se recalcula tras C3.</w:t>
      </w:r>
    </w:p>
    <w:p>
      <w:pPr>
        <w:pStyle w:val="Heading2"/>
        <w:spacing w:after="120" w:before="260"/>
      </w:pPr>
      <w:r>
        <w:t xml:space="preserve">T13 — Método de recolección y análisis — pipeline completo y ordenado</w:t>
      </w:r>
    </w:p>
    <w:p>
      <w:pPr>
        <w:spacing w:after="120"/>
      </w:pPr>
      <w:r>
        <w:rPr>
          <w:b/>
          <w:bCs/>
          <w:sz w:val="20"/>
          <w:szCs w:val="20"/>
        </w:rPr>
        <w:t xml:space="preserve">Ubicación: </w:t>
      </w:r>
      <w:r>
        <w:rPr>
          <w:i/>
          <w:iCs/>
          <w:sz w:val="20"/>
          <w:szCs w:val="20"/>
        </w:rPr>
        <w:t xml:space="preserve">4.7 Métodos de recolección y análisis</w:t>
      </w:r>
    </w:p>
    <w:p>
      <w:pPr>
        <w:spacing w:after="200"/>
      </w:pPr>
      <w:r>
        <w:rPr>
          <w:b/>
          <w:bCs/>
          <w:color w:val="2E7D32"/>
          <w:sz w:val="20"/>
          <w:szCs w:val="20"/>
        </w:rPr>
        <w:t xml:space="preserve">Estado: Listo para aplicar</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Descripción actual: solo 3 frases genéricas ("en primer lugar... en segundo lugar... finalmente..."), con el detalle real disperso en 4.10.1 a 4.10.7.</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Reemplazar el tercer párrafo de 4.7 por una lista numerada de 11 pasos: 1. Integración (4.10.1). 2. Construcción del target (3.1.1 / 4.10.1). 3. Partición del dataset 80/20 y sub-partición 65/15 para tuning (4.6 / 4.10.5). 4. Limpieza, imputación y codificación (4.10.2). 5. Selección de características — Boruta (4.10.3). 6. Balanceo — SMOTE-NC (4.10.4). 7. Validación cruzada 5-fold (4.10.5). 8. Optimización de hiperparámetros y umbral (4.10.5). 9. Selección del modelo óptimo (4.10.5-4.10.6). 10. Evaluación final sobre test (4.10.6). 11. XAI — TreeSHAP, LIME, SHAP Waterfall (4.10.7). (Texto completo de cada paso ya redactado — ver conversación / puede pedirse de nuevo si se necesita palabra por palabra.)</w:t>
      </w:r>
    </w:p>
    <w:p>
      <w:pPr>
        <w:pStyle w:val="Heading2"/>
        <w:spacing w:after="120" w:before="260"/>
      </w:pPr>
      <w:r>
        <w:t xml:space="preserve">T14 — Instrumentos de investigación — separar fuente, instrumento y técnica</w:t>
      </w:r>
    </w:p>
    <w:p>
      <w:pPr>
        <w:spacing w:after="120"/>
      </w:pPr>
      <w:r>
        <w:rPr>
          <w:b/>
          <w:bCs/>
          <w:sz w:val="20"/>
          <w:szCs w:val="20"/>
        </w:rPr>
        <w:t xml:space="preserve">Ubicación: </w:t>
      </w:r>
      <w:r>
        <w:rPr>
          <w:i/>
          <w:iCs/>
          <w:sz w:val="20"/>
          <w:szCs w:val="20"/>
        </w:rPr>
        <w:t xml:space="preserve">4.8 Instrumentos de investigación</w:t>
      </w:r>
    </w:p>
    <w:p>
      <w:pPr>
        <w:spacing w:after="200"/>
      </w:pPr>
      <w:r>
        <w:rPr>
          <w:b/>
          <w:bCs/>
          <w:color w:val="B26A00"/>
          <w:sz w:val="20"/>
          <w:szCs w:val="20"/>
        </w:rPr>
        <w:t xml:space="preserve">Estado: Texto listo — depende de la firma F1</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4.8 llama "instrumento" tanto a la base ENDES como a la matriz de confusión (una técnica de evaluación, no un instrumento de recolección). Además, el Anexo 2 (Matriz de Operacionalización) menciona una "Ficha de registro de resultados experimentales" validada por "Juicio de Expertos" que no aparece completada en ningún lado — el anexo revisado (ULTIMO_ANEXO.pdf) trae la plantilla de validación en blanco, sin firmar.</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Reestructurar 4.8 en tres partes: "Fuente documental" (ENDES, texto igual al actual, sin 'instrumento principal'), "Instrumento de registro" (nuevo: "Los resultados experimentales generados en cada etapa del pipeline... se registran de forma sistemática en las Tablas 5 a 8 de este documento, las cuales constituyen, en conjunto, la Ficha de registro de resultados experimentales referida en la Matriz de Operacionalización de Variables (Anexo 2). Dicho instrumento fue sometido a validación por juicio de dos expertos (ver Anexo de Validación por Juicio de Expertos), quienes calificaron su pertinencia, relevancia y claridad mediante la ficha de validación adjunta. [PENDIENTE: adjuntar fichas firmadas de los dos expertos y, si corresponde, resumir el dictamen aquí.]"), y "Técnicas y métricas de evaluación" (matriz de confusión + Tabla 8 + métricas, renombrando "instrumento de evaluación" por "técnica de evaluación").</w:t>
      </w:r>
    </w:p>
    <w:p>
      <w:pPr>
        <w:spacing w:after="60" w:before="100"/>
      </w:pPr>
      <w:r>
        <w:rPr>
          <w:b/>
          <w:bCs/>
          <w:color w:val="1565C0"/>
          <w:sz w:val="20"/>
          <w:szCs w:val="20"/>
        </w:rPr>
        <w:t xml:space="preserve">Nota:</w:t>
      </w:r>
    </w:p>
    <w:p>
      <w:pPr>
        <w:spacing w:after="160" w:line="300"/>
      </w:pPr>
      <w:r>
        <w:rPr>
          <w:b w:val="false"/>
          <w:bCs w:val="false"/>
          <w:i w:val="false"/>
          <w:iCs w:val="false"/>
          <w:color w:val="1565C0"/>
        </w:rPr>
        <w:t xml:space="preserve">Depende de F1 (firma de los 2 expertos, esperada mañana).</w:t>
      </w:r>
    </w:p>
    <w:p>
      <w:pPr>
        <w:pStyle w:val="Heading2"/>
        <w:spacing w:after="120" w:before="260"/>
      </w:pPr>
      <w:r>
        <w:t xml:space="preserve">T15 — One-Hot Encoding de V501 en los 5 modelos</w:t>
      </w:r>
    </w:p>
    <w:p>
      <w:pPr>
        <w:spacing w:after="120"/>
      </w:pPr>
      <w:r>
        <w:rPr>
          <w:b/>
          <w:bCs/>
          <w:sz w:val="20"/>
          <w:szCs w:val="20"/>
        </w:rPr>
        <w:t xml:space="preserve">Ubicación: </w:t>
      </w:r>
      <w:r>
        <w:rPr>
          <w:i/>
          <w:iCs/>
          <w:sz w:val="20"/>
          <w:szCs w:val="20"/>
        </w:rPr>
        <w:t xml:space="preserve">4.10.2 Codificación de variables cualitativas</w:t>
      </w:r>
    </w:p>
    <w:p>
      <w:pPr>
        <w:spacing w:after="200"/>
      </w:pPr>
      <w:r>
        <w:rPr>
          <w:b/>
          <w:bCs/>
          <w:color w:val="B26A00"/>
          <w:sz w:val="20"/>
          <w:szCs w:val="20"/>
        </w:rPr>
        <w:t xml:space="preserve">Estado: Texto listo — depende del código C4</w:t>
      </w:r>
    </w:p>
    <w:p>
      <w:pPr>
        <w:spacing w:after="60" w:before="100"/>
      </w:pPr>
      <w:r>
        <w:rPr>
          <w:b/>
          <w:bCs/>
          <w:color w:val="444444"/>
          <w:sz w:val="20"/>
          <w:szCs w:val="20"/>
        </w:rPr>
        <w:t xml:space="preserve">Texto actual (o problema detectado):</w:t>
      </w:r>
    </w:p>
    <w:p>
      <w:pPr>
        <w:spacing w:after="160" w:line="300"/>
      </w:pPr>
      <w:r>
        <w:rPr>
          <w:b w:val="false"/>
          <w:bCs w:val="false"/>
          <w:i/>
          <w:iCs/>
          <w:color w:val="555555"/>
        </w:rPr>
        <w:t xml:space="preserve">"Los modelos de ensamble basados en árboles Random Forest, Gradient Boosting, XGBoost trabajan haciendo cortes sobre cada variable por separado, así que no se ven afectados de la misma forma por usar la codificación numérica original." — Técnicamente incorrecto: los árboles sklearn/XGBoost estándar SÍ pueden introducir orden artificial al cortar sobre un código nominal (p. ej. V501 ≤ 2).</w:t>
      </w:r>
    </w:p>
    <w:p>
      <w:pPr>
        <w:spacing w:after="60" w:before="100"/>
      </w:pPr>
      <w:r>
        <w:rPr>
          <w:b/>
          <w:bCs/>
          <w:color w:val="8B1E2B"/>
          <w:sz w:val="20"/>
          <w:szCs w:val="20"/>
        </w:rPr>
        <w:t xml:space="preserve">Texto propuesto / acción:</w:t>
      </w:r>
    </w:p>
    <w:p>
      <w:pPr>
        <w:spacing w:after="160" w:line="300"/>
      </w:pPr>
      <w:r>
        <w:rPr>
          <w:b w:val="false"/>
          <w:bCs w:val="false"/>
          <w:i w:val="false"/>
          <w:iCs w:val="false"/>
        </w:rPr>
        <w:t xml:space="preserve">"...A diferencia de lo que podría asumirse, los modelos de árboles (Random Forest, Gradient Boosting y XGBoost en su configuración estándar) tampoco son inmunes a este problema: al dividir mediante cortes de umbral sobre el valor numérico de la variable (p. ej., V501 ≤ 2), un código nominal sin orden real puede introducir agrupaciones artificiales entre categorías sin relación semántica entre sí. Por esta razón, el One-Hot Encoding de V501 se aplicó de manera uniforme a los cinco modelos, y no únicamente a KNN y SVM." Actualizar también la tabla de la sección: columna "One-Hot Encoding (V501)" pasa de "No aplica" a "Sí" para Random Forest, Gradient Boosting y XGBoost.</w:t>
      </w:r>
    </w:p>
    <w:p>
      <w:pPr>
        <w:spacing w:after="60" w:before="100"/>
      </w:pPr>
      <w:r>
        <w:rPr>
          <w:b/>
          <w:bCs/>
          <w:color w:val="1565C0"/>
          <w:sz w:val="20"/>
          <w:szCs w:val="20"/>
        </w:rPr>
        <w:t xml:space="preserve">Nota:</w:t>
      </w:r>
    </w:p>
    <w:p>
      <w:pPr>
        <w:spacing w:after="160" w:line="300"/>
      </w:pPr>
      <w:r>
        <w:rPr>
          <w:b w:val="false"/>
          <w:bCs w:val="false"/>
          <w:i w:val="false"/>
          <w:iCs w:val="false"/>
          <w:color w:val="1565C0"/>
        </w:rPr>
        <w:t xml:space="preserve">Depende de C4. Va en la misma corrida que C3.</w:t>
      </w:r>
    </w:p>
    <w:p>
      <w:pPr>
        <w:pStyle w:val="Heading1"/>
        <w:spacing w:after="120" w:before="260"/>
      </w:pPr>
      <w:r>
        <w:t xml:space="preserve">Parte II — Pendientes de código (para tu compañero / Claude en su máquina)</w:t>
      </w:r>
    </w:p>
    <w:p>
      <w:pPr>
        <w:spacing w:after="160" w:line="300"/>
      </w:pPr>
      <w:r>
        <w:rPr>
          <w:b w:val="false"/>
          <w:bCs w:val="false"/>
          <w:i w:val="false"/>
          <w:iCs w:val="false"/>
        </w:rPr>
        <w:t xml:space="preserve">Cada bloque de abajo está escrito para copiarse y pegarse directo como instrucción — asume que quien lo recibe no tiene el contexto de esta conversación, así que incluye el porqué, no solo el qué. Sugerencia de orden: C3 primero (cambia el dataset base), C4 en la misma corrida, y recién después C1 y C2 (que dependen del dataset ya corregido).</w:t>
      </w:r>
    </w:p>
    <w:p>
      <w:pPr>
        <w:pStyle w:val="Heading2"/>
        <w:spacing w:after="120" w:before="260"/>
      </w:pPr>
      <w:r>
        <w:t xml:space="preserve">C3 — Fix de M14 y del sesgo de muestra por inner join (PRIORITARIO, hacer primero)</w:t>
      </w:r>
    </w:p>
    <w:p>
      <w:pPr>
        <w:spacing w:after="160" w:line="300"/>
      </w:pPr>
      <w:r>
        <w:rPr>
          <w:b w:val="false"/>
          <w:bCs w:val="false"/>
          <w:i w:val="false"/>
          <w:iCs w:val="false"/>
        </w:rPr>
        <w:t xml:space="preserve">Contexto: en app.py, líneas 206-218, se hace: df_rec41 = df_rec41[df_rec41['MIDX'] == 1][['CASEID', 'M14']]; df = df.merge(df_rec41, on='CASEID', how='inner'). Esto trae el valor de M14 (controles prenatales) del parto vivo MÁS RECIENTE de cada mujer, no del embarazo que terminó en pérdida gestacional — confirmado con datos reales: de 2,172 mujeres de 2022 con pérdida temprana, 1,596 tienen M14 no nulo solo porque también tuvieron un parto vivo aparte. Además, como el join es inner, cualquier mujer sin fila en REC41 (sin ningún parto vivo, solo con pérdidas) se cae silenciosamente de TODO el dataset, no solo de M14 — esto crea un sesgo de muestra no documentado en los criterios de inclusión/exclusión de la sección 4.6 de la tesis.</w:t>
      </w:r>
    </w:p>
    <w:p>
      <w:pPr>
        <w:spacing w:after="160" w:line="300"/>
      </w:pPr>
      <w:r>
        <w:rPr>
          <w:b w:val="false"/>
          <w:bCs w:val="false"/>
          <w:i w:val="false"/>
          <w:iCs w:val="false"/>
        </w:rPr>
        <w:t xml:space="preserve">Qué cambiar: (1) Cambiar how='inner' por how='left' en ese merge, para que las mujeres sin parto vivo registrado ya no se caigan del dataset completo. (2) Retirar M14 del conjunto de variables candidatas para el modelado (no se puede reconstruir correctamente porque ENDES no registra controles prenatales de embarazos que terminaron en pérdida — el módulo M solo cubre nacidos vivos). (3) Volver a correr todo el pipeline desde la extracción: reconstrucción del dataset, Boruta (sin M14 en la lista de candidatas), SMOTE-NC, validación cruzada, optimización de hiperparámetros, evaluación final sobre el test, y el XAI (TreeSHAP/LIME/SHAP Waterfall) sobre el modelo final.</w:t>
      </w:r>
    </w:p>
    <w:p>
      <w:pPr>
        <w:spacing w:after="160" w:line="300"/>
      </w:pPr>
      <w:r>
        <w:rPr>
          <w:b w:val="false"/>
          <w:bCs w:val="false"/>
          <w:i w:val="false"/>
          <w:iCs w:val="false"/>
        </w:rPr>
        <w:t xml:space="preserve">Qué reportar de vuelta: el nuevo tamaño de la muestra analítica (cuántos registros totales y cuántos con pérdida, antes y después del fix), y las tablas equivalentes a las Tablas 2, 5, 6, 7 y 8 actuales, con los números recalculados.</w:t>
      </w:r>
    </w:p>
    <w:p>
      <w:pPr>
        <w:pStyle w:val="Heading2"/>
        <w:spacing w:after="120" w:before="260"/>
      </w:pPr>
      <w:r>
        <w:t xml:space="preserve">C4 — One-Hot Encoding de V501 (estado civil) en los 5 modelos</w:t>
      </w:r>
    </w:p>
    <w:p>
      <w:pPr>
        <w:spacing w:after="160" w:line="300"/>
      </w:pPr>
      <w:r>
        <w:rPr>
          <w:b w:val="false"/>
          <w:bCs w:val="false"/>
          <w:i w:val="false"/>
          <w:iCs w:val="false"/>
        </w:rPr>
        <w:t xml:space="preserve">Contexto: actualmente el One-Hot Encoding de V501 (variable nominal: nunca unida, casada, conviviente, viuda, divorciada, separada) solo se aplica para KNN y SVM. Random Forest, Gradient Boosting y XGBoost se entrenan con el código numérico original (0-5). Esto es un error: los árboles de decisión estándar de scikit-learn/XGBoost dividen mediante cortes de umbral (V501 &lt;= valor), así que un código nominal sin orden real igual puede introducir agrupaciones artificiales entre categorías (por ejemplo, agrupar {nunca unida, casada, conviviente} contra {viuda, divorciada, separada} solo porque así quedó numerado, sin relación real entre esas categorías).</w:t>
      </w:r>
    </w:p>
    <w:p>
      <w:pPr>
        <w:spacing w:after="160" w:line="300"/>
      </w:pPr>
      <w:r>
        <w:rPr>
          <w:b w:val="false"/>
          <w:bCs w:val="false"/>
          <w:i w:val="false"/>
          <w:iCs w:val="false"/>
        </w:rPr>
        <w:t xml:space="preserve">Qué cambiar: aplicar el One-Hot Encoding de V501 de forma uniforme a los 5 modelos (Random Forest, Gradient Boosting, XGBoost, SVM, KNN), no solo a KNN/SVM. Esto expande V501 en varias columnas binarias para todos los modelos por igual. Hacer esta corrida junto con C3, sobre el mismo dataset ya corregido.</w:t>
      </w:r>
    </w:p>
    <w:p>
      <w:pPr>
        <w:spacing w:after="160" w:line="300"/>
      </w:pPr>
      <w:r>
        <w:rPr>
          <w:b w:val="false"/>
          <w:bCs w:val="false"/>
          <w:i w:val="false"/>
          <w:iCs w:val="false"/>
        </w:rPr>
        <w:t xml:space="preserve">Qué reportar de vuelta: las Tablas 5, 6, 7 y 8 recalculadas con esta corrección incluida (mismo formato que las actuales).</w:t>
      </w:r>
    </w:p>
    <w:p>
      <w:pPr>
        <w:pStyle w:val="Heading2"/>
        <w:spacing w:after="120" w:before="260"/>
      </w:pPr>
      <w:r>
        <w:t xml:space="preserve">C1 — Comparación "4 variables Boruta-confirmadas" vs. "Top-10 híbrido"</w:t>
      </w:r>
    </w:p>
    <w:p>
      <w:pPr>
        <w:spacing w:after="160" w:line="300"/>
      </w:pPr>
      <w:r>
        <w:rPr>
          <w:b w:val="false"/>
          <w:bCs w:val="false"/>
          <w:i w:val="false"/>
          <w:iCs w:val="false"/>
        </w:rPr>
        <w:t xml:space="preserve">Contexto: HE1 afirma que el criterio híbrido de selección (10 variables) mantiene una capacidad predictiva igual o superior a usar solo las 4 variables que Boruta confirmó de forma puramente estadística (V040, V222, IMC, V190). Esta afirmación necesita evidencia empírica para sostenerse.</w:t>
      </w:r>
    </w:p>
    <w:p>
      <w:pPr>
        <w:spacing w:after="160" w:line="300"/>
      </w:pPr>
      <w:r>
        <w:rPr>
          <w:b w:val="false"/>
          <w:bCs w:val="false"/>
          <w:i w:val="false"/>
          <w:iCs w:val="false"/>
        </w:rPr>
        <w:t xml:space="preserve">Qué hacer: reentrenar los mismos 5 modelos (Random Forest, XGBoost, Gradient Boosting, SVM, KNN), con el mismo procedimiento ya usado (SMOTE-NC, validación cruzada 5-fold, optimización de hiperparámetros, evaluación sobre el mismo conjunto de prueba), pero usando ÚNICAMENTE las 4 variables confirmadas por Boruta como variables de entrada, en vez de las 10 del criterio híbrido. Nota: correr esto sobre el dataset ya corregido por C3 (sin M14, con el join arreglado), porque el set de 10 variables híbridas cambia si M14 sale.</w:t>
      </w:r>
    </w:p>
    <w:p>
      <w:pPr>
        <w:spacing w:after="160" w:line="300"/>
      </w:pPr>
      <w:r>
        <w:rPr>
          <w:b w:val="false"/>
          <w:bCs w:val="false"/>
          <w:i w:val="false"/>
          <w:iCs w:val="false"/>
        </w:rPr>
        <w:t xml:space="preserve">Qué reportar de vuelta: una tabla con AUROC, F1-Score, Recall y Precision de los 5 modelos entrenados solo con las 4 variables Boruta, para comparar directamente contra los resultados ya existentes del Top-10.</w:t>
      </w:r>
    </w:p>
    <w:p>
      <w:pPr>
        <w:pStyle w:val="Heading2"/>
        <w:spacing w:after="120" w:before="260"/>
      </w:pPr>
      <w:r>
        <w:t xml:space="preserve">C2 — SMOTE-NC en los 5 modelos (no solo Random Forest)</w:t>
      </w:r>
    </w:p>
    <w:p>
      <w:pPr>
        <w:spacing w:after="160" w:line="300"/>
      </w:pPr>
      <w:r>
        <w:rPr>
          <w:b w:val="false"/>
          <w:bCs w:val="false"/>
          <w:i w:val="false"/>
          <w:iCs w:val="false"/>
        </w:rPr>
        <w:t xml:space="preserve">Contexto: el experimento actual que compara desempeño sin/con SMOTE-NC (Tabla 4) solo se hizo con Random Forest (Recall 0→0.482, F1 0→0.184, pero AUROC 0.621→0.597 y PR-AUC 0.128→0.115, es decir, efecto mixto). HE2 generaliza esta conclusión a los 5 modelos, pero eso no se ha probado.</w:t>
      </w:r>
    </w:p>
    <w:p>
      <w:pPr>
        <w:spacing w:after="160" w:line="300"/>
      </w:pPr>
      <w:r>
        <w:rPr>
          <w:b w:val="false"/>
          <w:bCs w:val="false"/>
          <w:i w:val="false"/>
          <w:iCs w:val="false"/>
        </w:rPr>
        <w:t xml:space="preserve">Qué hacer: repetir exactamente el mismo experimento (mismo modelo entrenado sin SMOTE-NC y con SMOTE-NC, evaluado sobre el mismo conjunto de prueba real) para XGBoost, Gradient Boosting, SVM y KNN. Correr sobre el dataset ya corregido por C3.</w:t>
      </w:r>
    </w:p>
    <w:p>
      <w:pPr>
        <w:spacing w:after="160" w:line="300"/>
      </w:pPr>
      <w:r>
        <w:rPr>
          <w:b w:val="false"/>
          <w:bCs w:val="false"/>
          <w:i w:val="false"/>
          <w:iCs w:val="false"/>
        </w:rPr>
        <w:t xml:space="preserve">Qué reportar de vuelta: una tabla igual a la Tabla 4 actual pero con las 5 filas (los 5 modelos) en vez de solo Random Forest, cada uno con su versión sin/con SMOTE-NC.</w:t>
      </w:r>
    </w:p>
    <w:p>
      <w:pPr>
        <w:pStyle w:val="Heading1"/>
        <w:spacing w:after="120" w:before="260"/>
      </w:pPr>
      <w:r>
        <w:t xml:space="preserve">Parte III — Pendiente de firma</w:t>
      </w:r>
    </w:p>
    <w:p>
      <w:pPr>
        <w:pStyle w:val="Heading2"/>
        <w:spacing w:after="120" w:before="260"/>
      </w:pPr>
      <w:r>
        <w:t xml:space="preserve">F1 — Validación del instrumento por juicio de expertos</w:t>
      </w:r>
    </w:p>
    <w:p>
      <w:pPr>
        <w:spacing w:after="160" w:line="300"/>
      </w:pPr>
      <w:r>
        <w:rPr>
          <w:b w:val="false"/>
          <w:bCs w:val="false"/>
          <w:i w:val="false"/>
          <w:iCs w:val="false"/>
        </w:rPr>
        <w:t xml:space="preserve">Dos profesores están revisando la Ficha de Validación del Instrumento (la que evalúa, con puntuación 1-4 en Pertinencia/Relevancia/Claridad, los indicadores de OE1 a OE5 y VD ya definidos en la Matriz de Operacionalización). Se espera recibirla firmada mañana.</w:t>
      </w:r>
    </w:p>
    <w:p>
      <w:pPr>
        <w:spacing w:after="160" w:line="300"/>
      </w:pPr>
      <w:r>
        <w:rPr>
          <w:b w:val="false"/>
          <w:bCs w:val="false"/>
          <w:i w:val="false"/>
          <w:iCs w:val="false"/>
        </w:rPr>
        <w:t xml:space="preserve">Al recibirla: (1) adjuntar ambas fichas firmadas como el Anexo de Validación por Juicio de Expertos, reemplazando la plantilla en blanco. (2) Revisar el "Dictamen del experto" que marcó cada uno — si ambos marcan "aplicable sin modificaciones" o "con modificaciones menores", no hace falta nada más. Si alguno marca "requiere modificaciones importantes" o "no recomendable", hay que resolver esa observación puntual antes de cerrar T14. (3) Opcional: agregar una frase de cierre en 4.8 resumiendo el resultado del dictamen.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2026-08-24T05:08:45.078Z</dcterms:created>
  <dcterms:modified xsi:type="dcterms:W3CDTF">2026-08-24T05:08:45.093Z</dcterms:modified>
</cp:coreProperties>
</file>

<file path=docProps/custom.xml><?xml version="1.0" encoding="utf-8"?>
<Properties xmlns="http://schemas.openxmlformats.org/officeDocument/2006/custom-properties" xmlns:vt="http://schemas.openxmlformats.org/officeDocument/2006/docPropsVTypes"/>
</file>