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45CAF" w14:textId="77777777" w:rsidR="00D25E2D" w:rsidRDefault="00D25E2D">
      <w:pPr>
        <w:spacing w:after="300"/>
        <w:jc w:val="center"/>
        <w:rPr>
          <w:rFonts w:ascii="Arial" w:eastAsia="Calibri" w:hAnsi="Arial" w:cs="Arial"/>
          <w:b/>
          <w:bCs/>
          <w:sz w:val="22"/>
          <w:szCs w:val="22"/>
        </w:rPr>
      </w:pPr>
      <w:r>
        <w:fldChar w:fldCharType="begin"/>
      </w:r>
      <w:r>
        <w:instrText xml:space="preserve"> INCLUDEPICTURE "https://encrypted-tbn0.gstatic.com/images?q=tbn:ANd9GcT2cR1JJPTREmAMqc3FWYPSlVQgiFZugOfRCXGCS3IkgR_045ttSzuec8-g&amp;s=10"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D97FE79" wp14:editId="5CD011CD">
            <wp:extent cx="2628900" cy="577829"/>
            <wp:effectExtent l="0" t="0" r="0" b="0"/>
            <wp:docPr id="1572733141" name="Imagen 1" descr="UTP - Universidad Tecnológica del Perú | Huancay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TP - Universidad Tecnológica del Perú | Huancay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26" b="39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13" cy="595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fldChar w:fldCharType="end"/>
      </w:r>
    </w:p>
    <w:p w14:paraId="6DC49C2F" w14:textId="77777777" w:rsidR="00F737BD" w:rsidRPr="00A36317" w:rsidRDefault="005D2A12">
      <w:pPr>
        <w:spacing w:after="300"/>
        <w:jc w:val="center"/>
        <w:rPr>
          <w:rFonts w:ascii="Arial" w:hAnsi="Arial" w:cs="Arial"/>
          <w:sz w:val="22"/>
          <w:szCs w:val="22"/>
        </w:rPr>
      </w:pPr>
      <w:r w:rsidRPr="00A36317">
        <w:rPr>
          <w:rFonts w:ascii="Arial" w:eastAsia="Calibri" w:hAnsi="Arial" w:cs="Arial"/>
          <w:b/>
          <w:bCs/>
          <w:sz w:val="22"/>
          <w:szCs w:val="22"/>
        </w:rPr>
        <w:t>VALIDACIÓN DE INSTRUMENTOS DE INVESTIGACIÓN POR JUICIO DE EXPERTOS</w:t>
      </w:r>
    </w:p>
    <w:p w14:paraId="2AA8A585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 xml:space="preserve">Lima, ____ de ______________ </w:t>
      </w:r>
      <w:proofErr w:type="spellStart"/>
      <w:r w:rsidRPr="009325D3">
        <w:rPr>
          <w:rFonts w:ascii="Arial" w:eastAsia="Calibri" w:hAnsi="Arial" w:cs="Arial"/>
          <w:sz w:val="18"/>
          <w:szCs w:val="18"/>
        </w:rPr>
        <w:t>de</w:t>
      </w:r>
      <w:proofErr w:type="spellEnd"/>
      <w:r w:rsidRPr="009325D3">
        <w:rPr>
          <w:rFonts w:ascii="Arial" w:eastAsia="Calibri" w:hAnsi="Arial" w:cs="Arial"/>
          <w:sz w:val="18"/>
          <w:szCs w:val="18"/>
        </w:rPr>
        <w:t xml:space="preserve"> 2026</w:t>
      </w:r>
    </w:p>
    <w:p w14:paraId="22E2AF44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Ingeniero(a):</w:t>
      </w:r>
    </w:p>
    <w:p w14:paraId="6D6A9646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____________________________________________</w:t>
      </w:r>
    </w:p>
    <w:p w14:paraId="2D13DBB7" w14:textId="77777777" w:rsidR="009325D3" w:rsidRPr="009325D3" w:rsidRDefault="005D2A12">
      <w:pPr>
        <w:spacing w:after="160"/>
        <w:rPr>
          <w:rFonts w:ascii="Arial" w:eastAsia="Calibri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 xml:space="preserve">Presente. </w:t>
      </w:r>
      <w:r w:rsidR="009325D3">
        <w:rPr>
          <w:rFonts w:ascii="Arial" w:eastAsia="Calibri" w:hAnsi="Arial" w:cs="Arial"/>
          <w:sz w:val="18"/>
          <w:szCs w:val="18"/>
        </w:rPr>
        <w:t>–</w:t>
      </w:r>
    </w:p>
    <w:p w14:paraId="6DE0BEB0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b/>
          <w:bCs/>
          <w:sz w:val="18"/>
          <w:szCs w:val="18"/>
        </w:rPr>
        <w:t>Asunto: Solicitud de validación de instrumento de investigación por juicio de expertos</w:t>
      </w:r>
    </w:p>
    <w:p w14:paraId="62006384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De mi mayor consideración:</w:t>
      </w:r>
    </w:p>
    <w:p w14:paraId="43F6A947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Es grato dirigirme a usted para expresarle mi cordial saludo y, a la vez, solicitar su valiosa colaboración como experto(a) en la validación del instrumento de recolección/registro de datos que se utilizará en el desarrollo de la investigación titulada:</w:t>
      </w:r>
    </w:p>
    <w:p w14:paraId="68C8D8F7" w14:textId="77777777" w:rsidR="00F737BD" w:rsidRPr="009325D3" w:rsidRDefault="00D25E2D" w:rsidP="00D25E2D">
      <w:pPr>
        <w:spacing w:after="200"/>
        <w:jc w:val="center"/>
        <w:rPr>
          <w:rFonts w:ascii="Arial" w:eastAsia="Calibri" w:hAnsi="Arial" w:cs="Arial"/>
          <w:b/>
          <w:bCs/>
          <w:i/>
          <w:iCs/>
          <w:sz w:val="18"/>
          <w:szCs w:val="18"/>
        </w:rPr>
      </w:pPr>
      <w:bookmarkStart w:id="0" w:name="OLE_LINK1"/>
      <w:r w:rsidRPr="009325D3">
        <w:rPr>
          <w:rFonts w:ascii="Arial" w:eastAsia="Calibri" w:hAnsi="Arial" w:cs="Arial"/>
          <w:b/>
          <w:bCs/>
          <w:i/>
          <w:iCs/>
          <w:sz w:val="18"/>
          <w:szCs w:val="18"/>
        </w:rPr>
        <w:t>“Modelamiento predictivo y explicable mediante Machine Learning para la estimación del riesgo de pérdida gestacional en mujeres peruanas de 15 a 49 años a partir de factores sociodemográficos y de salud (ENDES 2022-2025)</w:t>
      </w:r>
      <w:bookmarkEnd w:id="0"/>
      <w:r w:rsidRPr="009325D3">
        <w:rPr>
          <w:rFonts w:ascii="Arial" w:eastAsia="Calibri" w:hAnsi="Arial" w:cs="Arial"/>
          <w:b/>
          <w:bCs/>
          <w:i/>
          <w:iCs/>
          <w:sz w:val="18"/>
          <w:szCs w:val="18"/>
        </w:rPr>
        <w:t>”</w:t>
      </w:r>
    </w:p>
    <w:p w14:paraId="7C386334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Dada su formación académica y experiencia profesional, considero que su opinión constituye un aporte fundamental para garantizar la validez de contenido del instrumento adjunto, el cual será empleado para la operacionalización de variables y el procesamiento de la base de datos de la Encuesta Demográfica y de Salud Familiar (ENDES 2022-2025) mediante algoritmos de Machine Learning.</w:t>
      </w:r>
    </w:p>
    <w:p w14:paraId="1A42BC2D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Para dicho fin, se adjunta el siguiente expediente de validación:</w:t>
      </w:r>
    </w:p>
    <w:p w14:paraId="0D39CE9C" w14:textId="77777777" w:rsidR="00F737BD" w:rsidRPr="009325D3" w:rsidRDefault="005D2A12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Carta de presentación.</w:t>
      </w:r>
    </w:p>
    <w:p w14:paraId="7DB7FC5A" w14:textId="77777777" w:rsidR="00F737BD" w:rsidRPr="009325D3" w:rsidRDefault="005D2A12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Ficha de datos del experto.</w:t>
      </w:r>
    </w:p>
    <w:p w14:paraId="1659060E" w14:textId="77777777" w:rsidR="009325D3" w:rsidRPr="009325D3" w:rsidRDefault="009325D3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Matriz de Confusión</w:t>
      </w:r>
    </w:p>
    <w:p w14:paraId="7049F637" w14:textId="77777777" w:rsidR="00F737BD" w:rsidRPr="009325D3" w:rsidRDefault="005D2A12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Matriz de operacionalización de las variables</w:t>
      </w:r>
      <w:r w:rsidR="008C0DEE">
        <w:rPr>
          <w:rFonts w:ascii="Arial" w:eastAsia="Calibri" w:hAnsi="Arial" w:cs="Arial"/>
          <w:sz w:val="18"/>
          <w:szCs w:val="18"/>
        </w:rPr>
        <w:t>.</w:t>
      </w:r>
    </w:p>
    <w:p w14:paraId="60777F7C" w14:textId="77777777" w:rsidR="00F737BD" w:rsidRPr="009325D3" w:rsidRDefault="005D2A12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Certificado de validez de contenido del instrumento (evaluación ítem por ítem).</w:t>
      </w:r>
    </w:p>
    <w:p w14:paraId="63629A47" w14:textId="77777777" w:rsidR="00F737BD" w:rsidRPr="009325D3" w:rsidRDefault="005D2A12">
      <w:pPr>
        <w:pStyle w:val="Prrafodelista"/>
        <w:numPr>
          <w:ilvl w:val="0"/>
          <w:numId w:val="1"/>
        </w:numPr>
        <w:spacing w:after="8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Instrumento de validación de la metodología de desarrollo (escala de valoración general).</w:t>
      </w:r>
    </w:p>
    <w:p w14:paraId="58C574A7" w14:textId="77777777" w:rsidR="009325D3" w:rsidRPr="009325D3" w:rsidRDefault="009325D3" w:rsidP="009325D3">
      <w:pPr>
        <w:pStyle w:val="Prrafodelista"/>
        <w:spacing w:after="80"/>
        <w:ind w:left="720"/>
        <w:rPr>
          <w:rFonts w:ascii="Arial" w:hAnsi="Arial" w:cs="Arial"/>
          <w:sz w:val="18"/>
          <w:szCs w:val="18"/>
        </w:rPr>
      </w:pPr>
    </w:p>
    <w:p w14:paraId="2A1902DC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En la cual solicito consignar su valoración y firma.</w:t>
      </w:r>
    </w:p>
    <w:p w14:paraId="1C8F83BF" w14:textId="77777777" w:rsidR="00F737BD" w:rsidRPr="009325D3" w:rsidRDefault="005D2A12">
      <w:pPr>
        <w:spacing w:after="160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Agradeciendo de antemano su gentil apoyo, quedo a la espera de sus valiosos aportes y observaciones.</w:t>
      </w:r>
    </w:p>
    <w:p w14:paraId="48BDF759" w14:textId="77777777" w:rsidR="00F737BD" w:rsidRDefault="005D2A12">
      <w:pPr>
        <w:spacing w:after="160"/>
        <w:rPr>
          <w:rFonts w:ascii="Arial" w:eastAsia="Calibri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Atentamente</w:t>
      </w:r>
      <w:r w:rsidR="00D25E2D" w:rsidRPr="009325D3">
        <w:rPr>
          <w:rFonts w:ascii="Arial" w:eastAsia="Calibri" w:hAnsi="Arial" w:cs="Arial"/>
          <w:sz w:val="18"/>
          <w:szCs w:val="18"/>
        </w:rPr>
        <w:t>,</w:t>
      </w:r>
    </w:p>
    <w:p w14:paraId="3AC6FDAE" w14:textId="77777777" w:rsidR="009325D3" w:rsidRDefault="009325D3">
      <w:pPr>
        <w:spacing w:after="160"/>
        <w:rPr>
          <w:rFonts w:ascii="Arial" w:eastAsia="Calibri" w:hAnsi="Arial" w:cs="Arial"/>
          <w:sz w:val="18"/>
          <w:szCs w:val="18"/>
        </w:rPr>
      </w:pPr>
    </w:p>
    <w:p w14:paraId="7EFEC8B6" w14:textId="77777777" w:rsidR="009325D3" w:rsidRPr="009325D3" w:rsidRDefault="009325D3">
      <w:pPr>
        <w:spacing w:after="160"/>
        <w:rPr>
          <w:rFonts w:ascii="Arial" w:hAnsi="Arial" w:cs="Arial"/>
          <w:sz w:val="18"/>
          <w:szCs w:val="18"/>
        </w:rPr>
      </w:pPr>
    </w:p>
    <w:p w14:paraId="0F66D96B" w14:textId="77777777" w:rsidR="00F737BD" w:rsidRPr="009325D3" w:rsidRDefault="005D2A12" w:rsidP="00A36317">
      <w:pPr>
        <w:spacing w:after="160"/>
        <w:jc w:val="center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____________________________________________</w:t>
      </w:r>
    </w:p>
    <w:p w14:paraId="77AF958A" w14:textId="77777777" w:rsidR="00F737BD" w:rsidRPr="009325D3" w:rsidRDefault="00D25E2D" w:rsidP="00A36317">
      <w:pPr>
        <w:spacing w:after="160"/>
        <w:jc w:val="center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Karla Jange Zarate</w:t>
      </w:r>
    </w:p>
    <w:p w14:paraId="2608CDC3" w14:textId="77777777" w:rsidR="00F737BD" w:rsidRDefault="00D25E2D" w:rsidP="00A36317">
      <w:pPr>
        <w:spacing w:after="160"/>
        <w:jc w:val="center"/>
        <w:rPr>
          <w:rFonts w:ascii="Arial" w:eastAsia="Calibri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72690658</w:t>
      </w:r>
    </w:p>
    <w:p w14:paraId="3ACA8AC8" w14:textId="77777777" w:rsidR="009325D3" w:rsidRDefault="009325D3" w:rsidP="00A36317">
      <w:pPr>
        <w:spacing w:after="160"/>
        <w:jc w:val="center"/>
        <w:rPr>
          <w:rFonts w:ascii="Arial" w:eastAsia="Calibri" w:hAnsi="Arial" w:cs="Arial"/>
          <w:sz w:val="18"/>
          <w:szCs w:val="18"/>
        </w:rPr>
      </w:pPr>
    </w:p>
    <w:p w14:paraId="073AE570" w14:textId="77777777" w:rsidR="009325D3" w:rsidRPr="009325D3" w:rsidRDefault="009325D3" w:rsidP="00A36317">
      <w:pPr>
        <w:spacing w:after="160"/>
        <w:jc w:val="center"/>
        <w:rPr>
          <w:rFonts w:ascii="Arial" w:hAnsi="Arial" w:cs="Arial"/>
          <w:sz w:val="18"/>
          <w:szCs w:val="18"/>
        </w:rPr>
      </w:pPr>
    </w:p>
    <w:p w14:paraId="7980B7CD" w14:textId="77777777" w:rsidR="00F737BD" w:rsidRPr="009325D3" w:rsidRDefault="005D2A12" w:rsidP="00A36317">
      <w:pPr>
        <w:spacing w:after="160"/>
        <w:jc w:val="center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____________________________________________</w:t>
      </w:r>
    </w:p>
    <w:p w14:paraId="5A182390" w14:textId="77777777" w:rsidR="00F737BD" w:rsidRPr="009325D3" w:rsidRDefault="00D25E2D" w:rsidP="00A36317">
      <w:pPr>
        <w:spacing w:after="160"/>
        <w:jc w:val="center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 xml:space="preserve">Michael </w:t>
      </w:r>
      <w:proofErr w:type="spellStart"/>
      <w:r w:rsidRPr="009325D3">
        <w:rPr>
          <w:rFonts w:ascii="Arial" w:eastAsia="Calibri" w:hAnsi="Arial" w:cs="Arial"/>
          <w:sz w:val="18"/>
          <w:szCs w:val="18"/>
        </w:rPr>
        <w:t>Aragon</w:t>
      </w:r>
      <w:proofErr w:type="spellEnd"/>
      <w:r w:rsidRPr="009325D3">
        <w:rPr>
          <w:rFonts w:ascii="Arial" w:eastAsia="Calibri" w:hAnsi="Arial" w:cs="Arial"/>
          <w:sz w:val="18"/>
          <w:szCs w:val="18"/>
        </w:rPr>
        <w:t xml:space="preserve"> Encarnacion</w:t>
      </w:r>
    </w:p>
    <w:p w14:paraId="6B194152" w14:textId="77777777" w:rsidR="00F737BD" w:rsidRPr="009325D3" w:rsidRDefault="005D2A12" w:rsidP="005D60E9">
      <w:pPr>
        <w:spacing w:after="160"/>
        <w:jc w:val="center"/>
        <w:rPr>
          <w:rFonts w:ascii="Arial" w:hAnsi="Arial" w:cs="Arial"/>
          <w:sz w:val="18"/>
          <w:szCs w:val="18"/>
        </w:rPr>
      </w:pPr>
      <w:r w:rsidRPr="009325D3">
        <w:rPr>
          <w:rFonts w:ascii="Arial" w:eastAsia="Calibri" w:hAnsi="Arial" w:cs="Arial"/>
          <w:sz w:val="18"/>
          <w:szCs w:val="18"/>
        </w:rPr>
        <w:t>DNI</w:t>
      </w:r>
    </w:p>
    <w:p w14:paraId="42EBEA37" w14:textId="77777777" w:rsidR="00F737BD" w:rsidRPr="00A36317" w:rsidRDefault="005D2A12">
      <w:pPr>
        <w:pStyle w:val="Ttulo1"/>
        <w:spacing w:before="300" w:after="200"/>
        <w:rPr>
          <w:rFonts w:ascii="Arial" w:hAnsi="Arial" w:cs="Arial"/>
          <w:color w:val="auto"/>
        </w:rPr>
      </w:pPr>
      <w:r w:rsidRPr="00A36317">
        <w:rPr>
          <w:rFonts w:ascii="Arial" w:eastAsia="Calibri" w:hAnsi="Arial" w:cs="Arial"/>
          <w:b/>
          <w:bCs/>
          <w:color w:val="auto"/>
          <w:sz w:val="26"/>
          <w:szCs w:val="26"/>
        </w:rPr>
        <w:lastRenderedPageBreak/>
        <w:t>1. Ficha de datos del experto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F737BD" w:rsidRPr="00A36317" w14:paraId="26F77B37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50A88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Apellidos y nombres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1F958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  <w:tr w:rsidR="00F737BD" w:rsidRPr="00A36317" w14:paraId="0E6263FD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EA313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Grado académico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315A7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  <w:tr w:rsidR="00F737BD" w:rsidRPr="00A36317" w14:paraId="55F9E353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29CDA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Especialidad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3D06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  <w:tr w:rsidR="00F737BD" w:rsidRPr="00A36317" w14:paraId="1291E15E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2C051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Cargo / institución donde labora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8C31D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  <w:tr w:rsidR="00F737BD" w:rsidRPr="00A36317" w14:paraId="234B1E33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7E9C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Años de experiencia profesional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E7A3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  <w:tr w:rsidR="00F737BD" w:rsidRPr="00A36317" w14:paraId="64839E5B" w14:textId="77777777" w:rsidTr="00A36317">
        <w:tc>
          <w:tcPr>
            <w:tcW w:w="3500" w:type="dxa"/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6289" w14:textId="77777777" w:rsidR="00F737BD" w:rsidRPr="00A36317" w:rsidRDefault="005D2A12">
            <w:pPr>
              <w:rPr>
                <w:rFonts w:ascii="Arial" w:hAnsi="Arial" w:cs="Arial"/>
              </w:rPr>
            </w:pPr>
            <w:r w:rsidRPr="00A36317">
              <w:rPr>
                <w:rFonts w:ascii="Arial" w:eastAsia="Calibri" w:hAnsi="Arial" w:cs="Arial"/>
                <w:b/>
                <w:bCs/>
                <w:sz w:val="18"/>
                <w:szCs w:val="18"/>
              </w:rPr>
              <w:t>Correo electrónico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ACEFE" w14:textId="77777777" w:rsidR="00F737BD" w:rsidRPr="00A36317" w:rsidRDefault="00F737BD">
            <w:pPr>
              <w:rPr>
                <w:rFonts w:ascii="Arial" w:hAnsi="Arial" w:cs="Arial"/>
              </w:rPr>
            </w:pPr>
          </w:p>
        </w:tc>
      </w:tr>
    </w:tbl>
    <w:p w14:paraId="285EF478" w14:textId="77777777" w:rsidR="00F737BD" w:rsidRPr="00A36317" w:rsidRDefault="005D2A12">
      <w:pPr>
        <w:pStyle w:val="Ttulo1"/>
        <w:spacing w:before="300" w:after="200"/>
        <w:rPr>
          <w:rFonts w:ascii="Arial" w:hAnsi="Arial" w:cs="Arial"/>
          <w:color w:val="auto"/>
        </w:rPr>
      </w:pPr>
      <w:r w:rsidRPr="00A36317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2. </w:t>
      </w:r>
      <w:r w:rsidR="000465BD">
        <w:rPr>
          <w:rFonts w:ascii="Arial" w:eastAsia="Calibri" w:hAnsi="Arial" w:cs="Arial"/>
          <w:b/>
          <w:bCs/>
          <w:color w:val="auto"/>
          <w:sz w:val="26"/>
          <w:szCs w:val="26"/>
        </w:rPr>
        <w:t>Instrumentos</w:t>
      </w:r>
      <w:r w:rsidR="008C0DEE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 </w:t>
      </w:r>
      <w:r w:rsidR="000465BD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objeto de </w:t>
      </w:r>
      <w:r w:rsidRPr="00A36317">
        <w:rPr>
          <w:rFonts w:ascii="Arial" w:eastAsia="Calibri" w:hAnsi="Arial" w:cs="Arial"/>
          <w:b/>
          <w:bCs/>
          <w:color w:val="auto"/>
          <w:sz w:val="26"/>
          <w:szCs w:val="26"/>
        </w:rPr>
        <w:t>Validación</w:t>
      </w:r>
    </w:p>
    <w:p w14:paraId="5DD574DC" w14:textId="77777777" w:rsidR="005E27BB" w:rsidRPr="005E27BB" w:rsidRDefault="005E27BB" w:rsidP="005E27BB">
      <w:pPr>
        <w:jc w:val="both"/>
        <w:rPr>
          <w:rFonts w:ascii="Arial" w:hAnsi="Arial" w:cs="Arial"/>
          <w:sz w:val="22"/>
          <w:szCs w:val="22"/>
        </w:rPr>
      </w:pPr>
      <w:r w:rsidRPr="005E27BB">
        <w:rPr>
          <w:rFonts w:ascii="Arial" w:hAnsi="Arial" w:cs="Arial"/>
          <w:sz w:val="22"/>
          <w:szCs w:val="22"/>
        </w:rPr>
        <w:t xml:space="preserve">A continuación, se presentan </w:t>
      </w:r>
      <w:r w:rsidRPr="00AC0CD1">
        <w:rPr>
          <w:rFonts w:ascii="Arial" w:hAnsi="Arial" w:cs="Arial"/>
          <w:sz w:val="22"/>
          <w:szCs w:val="22"/>
        </w:rPr>
        <w:t>los dos instrumentos objeto de validación:</w:t>
      </w:r>
      <w:r w:rsidRPr="005E27BB">
        <w:rPr>
          <w:rFonts w:ascii="Arial" w:hAnsi="Arial" w:cs="Arial"/>
          <w:sz w:val="22"/>
          <w:szCs w:val="22"/>
        </w:rPr>
        <w:t xml:space="preserve"> (a) la matriz de operacionalización de las variables, que define cómo se registran y codifican las variables sociodemográficas y de salud a partir de la base de datos ENDES 2022-2025, con su dimensión, indicador, código de la variable fuente y escala de medición; y (b) la matriz de confusión, como instrumento de medición de la variable dependiente del estudio (la capacidad predictiva del modelo). Se solicita evaluar la pertinencia, relevancia y claridad de cada uno.</w:t>
      </w:r>
    </w:p>
    <w:p w14:paraId="60F110E2" w14:textId="77777777" w:rsidR="00A36317" w:rsidRPr="009325D3" w:rsidRDefault="00A36317">
      <w:pPr>
        <w:spacing w:after="160"/>
        <w:rPr>
          <w:rFonts w:ascii="Arial" w:eastAsia="Calibri" w:hAnsi="Arial" w:cs="Arial"/>
          <w:b/>
          <w:bCs/>
          <w:sz w:val="22"/>
          <w:szCs w:val="22"/>
          <w:u w:val="single"/>
        </w:rPr>
      </w:pPr>
    </w:p>
    <w:p w14:paraId="1B219CB3" w14:textId="77777777" w:rsidR="006E2FB3" w:rsidRPr="00533B8F" w:rsidRDefault="005D2A12">
      <w:pPr>
        <w:spacing w:after="160"/>
        <w:rPr>
          <w:rFonts w:ascii="Arial" w:eastAsia="Calibri" w:hAnsi="Arial" w:cs="Arial"/>
          <w:i/>
          <w:iCs/>
          <w:sz w:val="17"/>
          <w:szCs w:val="17"/>
        </w:rPr>
      </w:pPr>
      <w:r w:rsidRPr="00A36317">
        <w:rPr>
          <w:rFonts w:ascii="Arial" w:eastAsia="Calibri" w:hAnsi="Arial" w:cs="Arial"/>
          <w:i/>
          <w:iCs/>
          <w:sz w:val="17"/>
          <w:szCs w:val="17"/>
        </w:rPr>
        <w:t>Fuente de datos: Encuesta Demográfica y de Salud Familiar (ENDES), Instituto Nacional de Estadística e Informática (INEI), años 2022-2025.</w:t>
      </w:r>
    </w:p>
    <w:p w14:paraId="73853666" w14:textId="77777777" w:rsidR="006E2FB3" w:rsidRPr="00533B8F" w:rsidRDefault="009325D3">
      <w:pPr>
        <w:spacing w:after="160"/>
        <w:rPr>
          <w:rFonts w:ascii="Arial" w:eastAsia="Calibri" w:hAnsi="Arial" w:cs="Arial"/>
          <w:i/>
          <w:iCs/>
          <w:sz w:val="17"/>
          <w:szCs w:val="17"/>
        </w:rPr>
      </w:pPr>
      <w:r>
        <w:rPr>
          <w:rFonts w:ascii="Arial" w:eastAsia="Calibri" w:hAnsi="Arial" w:cs="Arial"/>
          <w:i/>
          <w:iCs/>
          <w:sz w:val="17"/>
          <w:szCs w:val="17"/>
        </w:rPr>
        <w:t>Ver Anexo [1-3]</w:t>
      </w:r>
    </w:p>
    <w:p w14:paraId="5884C9CF" w14:textId="77777777" w:rsidR="00F737BD" w:rsidRPr="00A36317" w:rsidRDefault="005D2A12" w:rsidP="009325D3">
      <w:pPr>
        <w:rPr>
          <w:rFonts w:ascii="Arial" w:hAnsi="Arial" w:cs="Arial"/>
        </w:rPr>
      </w:pPr>
      <w:r w:rsidRPr="00A36317">
        <w:rPr>
          <w:rFonts w:ascii="Arial" w:eastAsia="Calibri" w:hAnsi="Arial" w:cs="Arial"/>
          <w:b/>
          <w:bCs/>
          <w:sz w:val="26"/>
          <w:szCs w:val="26"/>
        </w:rPr>
        <w:t xml:space="preserve">3. </w:t>
      </w:r>
      <w:r w:rsidR="00FA2081">
        <w:rPr>
          <w:rFonts w:ascii="Arial" w:eastAsia="Calibri" w:hAnsi="Arial" w:cs="Arial"/>
          <w:b/>
          <w:bCs/>
          <w:sz w:val="26"/>
          <w:szCs w:val="26"/>
        </w:rPr>
        <w:t>Validación</w:t>
      </w:r>
      <w:r w:rsidRPr="00A36317">
        <w:rPr>
          <w:rFonts w:ascii="Arial" w:eastAsia="Calibri" w:hAnsi="Arial" w:cs="Arial"/>
          <w:b/>
          <w:bCs/>
          <w:sz w:val="26"/>
          <w:szCs w:val="26"/>
        </w:rPr>
        <w:t xml:space="preserve"> de instrumento</w:t>
      </w:r>
    </w:p>
    <w:p w14:paraId="793EF39F" w14:textId="77777777" w:rsidR="009325D3" w:rsidRDefault="00A36317">
      <w:pPr>
        <w:spacing w:after="160"/>
      </w:pPr>
      <w:r>
        <w:rPr>
          <w:rFonts w:ascii="Arial" w:eastAsia="Calibri" w:hAnsi="Arial" w:cs="Arial"/>
          <w:sz w:val="22"/>
          <w:szCs w:val="22"/>
        </w:rPr>
        <w:t>Evaluar</w:t>
      </w:r>
      <w:r w:rsidR="005D2A12" w:rsidRPr="00A36317">
        <w:rPr>
          <w:rFonts w:ascii="Arial" w:eastAsia="Calibri" w:hAnsi="Arial" w:cs="Arial"/>
          <w:sz w:val="22"/>
          <w:szCs w:val="22"/>
        </w:rPr>
        <w:t xml:space="preserve"> cada indicador (ítem) del instrumento marcando en las columnas</w:t>
      </w:r>
    </w:p>
    <w:p w14:paraId="7F150A67" w14:textId="77777777" w:rsidR="00F737BD" w:rsidRDefault="009325D3">
      <w:pPr>
        <w:spacing w:after="160"/>
        <w:rPr>
          <w:rFonts w:ascii="Arial" w:eastAsia="Calibri" w:hAnsi="Arial" w:cs="Arial"/>
          <w:sz w:val="22"/>
          <w:szCs w:val="22"/>
        </w:rPr>
      </w:pPr>
      <w:r w:rsidRPr="009325D3">
        <w:rPr>
          <w:rFonts w:ascii="Arial" w:eastAsia="Calibri" w:hAnsi="Arial" w:cs="Arial"/>
          <w:sz w:val="22"/>
          <w:szCs w:val="22"/>
        </w:rPr>
        <w:t>Criterios: Calificar de 1 a 5 (1 = Muy Deficiente, 2 = Deficiente, 3 = Regular, 4 = Bueno, 5 = Excelente) o marcar Sí/No según formato institucional</w:t>
      </w:r>
    </w:p>
    <w:p w14:paraId="653D0422" w14:textId="77777777" w:rsidR="00FA2081" w:rsidRPr="00FA2081" w:rsidRDefault="00FA2081" w:rsidP="00FA2081">
      <w:pPr>
        <w:spacing w:after="160"/>
        <w:jc w:val="center"/>
        <w:rPr>
          <w:rFonts w:ascii="Arial" w:eastAsia="Calibri" w:hAnsi="Arial" w:cs="Arial"/>
          <w:b/>
          <w:bCs/>
          <w:sz w:val="22"/>
          <w:szCs w:val="22"/>
        </w:rPr>
      </w:pPr>
      <w:r w:rsidRPr="00FA2081">
        <w:rPr>
          <w:rFonts w:ascii="Arial" w:eastAsia="Calibri" w:hAnsi="Arial" w:cs="Arial"/>
          <w:b/>
          <w:bCs/>
          <w:sz w:val="22"/>
          <w:szCs w:val="22"/>
        </w:rPr>
        <w:t xml:space="preserve">Evaluación de </w:t>
      </w:r>
      <w:r>
        <w:rPr>
          <w:rFonts w:ascii="Arial" w:eastAsia="Calibri" w:hAnsi="Arial" w:cs="Arial"/>
          <w:b/>
          <w:bCs/>
          <w:sz w:val="22"/>
          <w:szCs w:val="22"/>
        </w:rPr>
        <w:t>Instrumento</w:t>
      </w:r>
    </w:p>
    <w:tbl>
      <w:tblPr>
        <w:tblW w:w="0" w:type="auto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2"/>
        <w:gridCol w:w="1586"/>
        <w:gridCol w:w="1143"/>
        <w:gridCol w:w="1134"/>
        <w:gridCol w:w="1078"/>
        <w:gridCol w:w="1420"/>
      </w:tblGrid>
      <w:tr w:rsidR="009325D3" w:rsidRPr="009325D3" w14:paraId="08338930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469C9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Ítem / Indicador Metodológico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EB3144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Dimensión Evaluada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CDD140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Claridad (1-5)</w:t>
            </w: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14C09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Pertinencia (1-5)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EA932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Relevancia (1-5)</w:t>
            </w: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DB848" w14:textId="77777777" w:rsidR="009325D3" w:rsidRPr="009325D3" w:rsidRDefault="009325D3" w:rsidP="009325D3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9325D3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Observaciones</w:t>
            </w:r>
          </w:p>
        </w:tc>
      </w:tr>
      <w:tr w:rsidR="005E27BB" w:rsidRPr="009325D3" w14:paraId="5AB9AC88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2A08C" w14:textId="532C4EF0" w:rsidR="005E27BB" w:rsidRPr="009325D3" w:rsidRDefault="00390F65" w:rsidP="005E27BB">
            <w:pPr>
              <w:jc w:val="center"/>
              <w:rPr>
                <w:rFonts w:ascii="Arial" w:eastAsia="Calibri" w:hAnsi="Arial" w:cs="Arial"/>
                <w:sz w:val="15"/>
                <w:szCs w:val="15"/>
              </w:rPr>
            </w:pPr>
            <w:r w:rsidRPr="00390F65">
              <w:rPr>
                <w:rFonts w:ascii="Arial" w:eastAsia="Calibri" w:hAnsi="Arial" w:cs="Arial"/>
                <w:sz w:val="15"/>
                <w:szCs w:val="15"/>
              </w:rPr>
              <w:t>Claridad y pertinencia de los indicadores de la dimensión sociodemográfica (edad, nivel educativo, área de residencia, índice de riqueza, altitud del conglomerado, estado civil).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75F7D9" w14:textId="5BEA662B" w:rsidR="005E27BB" w:rsidRPr="009325D3" w:rsidRDefault="00A35924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A35924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Matriz de operacionalización — Dimensión 1: Optimización del espacio de características (indicadores sociodemográficos)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B20345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3433D2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B5039E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86F7C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</w:tr>
      <w:tr w:rsidR="005E27BB" w:rsidRPr="009325D3" w14:paraId="5BC7AD1A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CB7FF" w14:textId="7312565E" w:rsidR="005E27BB" w:rsidRPr="009325D3" w:rsidRDefault="00390F65" w:rsidP="005E27BB">
            <w:pPr>
              <w:jc w:val="center"/>
              <w:rPr>
                <w:rFonts w:ascii="Arial" w:eastAsia="Calibri" w:hAnsi="Arial" w:cs="Arial"/>
                <w:sz w:val="15"/>
                <w:szCs w:val="15"/>
              </w:rPr>
            </w:pPr>
            <w:r w:rsidRPr="00390F65">
              <w:rPr>
                <w:rFonts w:ascii="Arial" w:eastAsia="Calibri" w:hAnsi="Arial" w:cs="Arial"/>
                <w:sz w:val="15"/>
                <w:szCs w:val="15"/>
              </w:rPr>
              <w:t>Claridad y pertinencia de los indicadores de la dimensión de hábitos de salud y antecedentes obstétricos (IMC, diagnóstico de diabetes, consumo de tabaco y alcohol, controles prenatales, paridad, uso de anticonceptivos, intervalo intergenésico).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B7C45" w14:textId="19D7DDD9" w:rsidR="005E27BB" w:rsidRPr="009325D3" w:rsidRDefault="00A35924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A35924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Matriz de operacionalización — Dimensión 1: Optimización del espacio de características (indicadores de salud)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B1340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E29DD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8ABD3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5486E5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</w:tr>
      <w:tr w:rsidR="005E27BB" w:rsidRPr="009325D3" w14:paraId="66C2439E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8AD66" w14:textId="7DB764D5" w:rsidR="005E27BB" w:rsidRPr="009325D3" w:rsidRDefault="00390F65" w:rsidP="005E27BB">
            <w:pPr>
              <w:jc w:val="center"/>
              <w:rPr>
                <w:rFonts w:ascii="Arial" w:eastAsia="Calibri" w:hAnsi="Arial" w:cs="Arial"/>
                <w:sz w:val="15"/>
                <w:szCs w:val="15"/>
              </w:rPr>
            </w:pPr>
            <w:r w:rsidRPr="00390F65">
              <w:rPr>
                <w:rFonts w:ascii="Arial" w:eastAsia="Calibri" w:hAnsi="Arial" w:cs="Arial"/>
                <w:sz w:val="15"/>
                <w:szCs w:val="15"/>
              </w:rPr>
              <w:t>Adecuación de la operacionalización de la variable dependiente (pérdida gestacional involuntaria, derivada de las variables obstétricas V228 y V233).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0DDC5" w14:textId="1A2F05E2" w:rsidR="005E27BB" w:rsidRPr="009325D3" w:rsidRDefault="00A35924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A35924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Matriz de operacionalización — Variable Dependiente: Desenlace / Estado Gestacional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8C5DA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8B1CA2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61D90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8E552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</w:tr>
      <w:tr w:rsidR="005E27BB" w:rsidRPr="009325D3" w14:paraId="4DE4C845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8F384" w14:textId="2C95B950" w:rsidR="005E27BB" w:rsidRPr="009325D3" w:rsidRDefault="00390F65" w:rsidP="005E27BB">
            <w:pPr>
              <w:jc w:val="center"/>
              <w:rPr>
                <w:rFonts w:ascii="Arial" w:eastAsia="Calibri" w:hAnsi="Arial" w:cs="Arial"/>
                <w:sz w:val="15"/>
                <w:szCs w:val="15"/>
              </w:rPr>
            </w:pPr>
            <w:r w:rsidRPr="00390F65">
              <w:rPr>
                <w:rFonts w:ascii="Arial" w:eastAsia="Calibri" w:hAnsi="Arial" w:cs="Arial"/>
                <w:sz w:val="15"/>
                <w:szCs w:val="15"/>
              </w:rPr>
              <w:t>Claridad y pertinencia de la estructura de la matriz de confusión (verdaderos/falsos positivos y negativos) como instrumento de medición del desempeño predictivo.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2F71A" w14:textId="7945DF6E" w:rsidR="005E27BB" w:rsidRPr="009325D3" w:rsidRDefault="00A35924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A35924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Matriz de Confusión — Instrumento de Evaluación (Estructura)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1E8CB8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93474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E1629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1522CD" w14:textId="77777777" w:rsidR="005E27BB" w:rsidRPr="009325D3" w:rsidRDefault="005E27BB" w:rsidP="005E27BB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</w:tr>
      <w:tr w:rsidR="00390F65" w:rsidRPr="009325D3" w14:paraId="523057F4" w14:textId="77777777" w:rsidTr="005E27BB">
        <w:tc>
          <w:tcPr>
            <w:tcW w:w="2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3E8F0" w14:textId="1653BE7B" w:rsidR="00390F65" w:rsidRPr="009325D3" w:rsidRDefault="00390F65" w:rsidP="00390F65">
            <w:pPr>
              <w:jc w:val="center"/>
              <w:rPr>
                <w:rFonts w:ascii="Arial" w:eastAsia="Calibri" w:hAnsi="Arial" w:cs="Arial"/>
                <w:sz w:val="15"/>
                <w:szCs w:val="15"/>
              </w:rPr>
            </w:pPr>
            <w:r w:rsidRPr="00390F65">
              <w:rPr>
                <w:rFonts w:ascii="Arial" w:eastAsia="Calibri" w:hAnsi="Arial" w:cs="Arial"/>
                <w:sz w:val="15"/>
                <w:szCs w:val="15"/>
              </w:rPr>
              <w:lastRenderedPageBreak/>
              <w:t>Adecuación de las métricas derivadas de la matriz de confusión (Sensibilidad/Recall, Precisión, F1-Score, AUC) como indicadores de la capacidad predictiva del modelo.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3247" w14:textId="020CC4E9" w:rsidR="00390F65" w:rsidRPr="009325D3" w:rsidRDefault="00A35924" w:rsidP="00390F65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  <w:r w:rsidRPr="00A35924">
              <w:rPr>
                <w:rFonts w:ascii="Arial" w:eastAsia="Calibri" w:hAnsi="Arial" w:cs="Arial"/>
                <w:b/>
                <w:bCs/>
                <w:sz w:val="15"/>
                <w:szCs w:val="15"/>
              </w:rPr>
              <w:t>Matriz de Confusión — Instrumento de Evaluación (Métricas derivadas)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1A7A3" w14:textId="77777777" w:rsidR="00390F65" w:rsidRPr="009325D3" w:rsidRDefault="00390F65" w:rsidP="00390F65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8C387" w14:textId="77777777" w:rsidR="00390F65" w:rsidRPr="009325D3" w:rsidRDefault="00390F65" w:rsidP="00390F65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1C511" w14:textId="77777777" w:rsidR="00390F65" w:rsidRPr="009325D3" w:rsidRDefault="00390F65" w:rsidP="00390F65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1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211C5" w14:textId="77777777" w:rsidR="00390F65" w:rsidRPr="009325D3" w:rsidRDefault="00390F65" w:rsidP="00390F65">
            <w:pPr>
              <w:jc w:val="center"/>
              <w:rPr>
                <w:rFonts w:ascii="Arial" w:eastAsia="Calibri" w:hAnsi="Arial" w:cs="Arial"/>
                <w:b/>
                <w:bCs/>
                <w:sz w:val="15"/>
                <w:szCs w:val="15"/>
              </w:rPr>
            </w:pPr>
          </w:p>
        </w:tc>
      </w:tr>
    </w:tbl>
    <w:p w14:paraId="23AB1DFC" w14:textId="77777777" w:rsidR="009325D3" w:rsidRDefault="009325D3">
      <w:pPr>
        <w:spacing w:after="160"/>
        <w:rPr>
          <w:rFonts w:ascii="Arial" w:eastAsia="Calibri" w:hAnsi="Arial" w:cs="Arial"/>
          <w:b/>
          <w:bCs/>
          <w:sz w:val="16"/>
          <w:szCs w:val="16"/>
        </w:rPr>
      </w:pPr>
    </w:p>
    <w:p w14:paraId="76AA0710" w14:textId="77777777" w:rsidR="00F737BD" w:rsidRPr="00FA2081" w:rsidRDefault="005D2A12" w:rsidP="00FA2081">
      <w:pPr>
        <w:pStyle w:val="Ttulo1"/>
        <w:spacing w:before="300" w:after="200"/>
        <w:rPr>
          <w:rFonts w:ascii="Arial" w:hAnsi="Arial" w:cs="Arial"/>
          <w:color w:val="auto"/>
        </w:rPr>
      </w:pPr>
      <w:r w:rsidRPr="00A36317">
        <w:rPr>
          <w:rFonts w:ascii="Arial" w:eastAsia="Calibri" w:hAnsi="Arial" w:cs="Arial"/>
          <w:b/>
          <w:bCs/>
          <w:color w:val="auto"/>
          <w:sz w:val="26"/>
          <w:szCs w:val="26"/>
        </w:rPr>
        <w:t xml:space="preserve">4. </w:t>
      </w:r>
      <w:r w:rsidR="00FA2081" w:rsidRPr="00FA2081">
        <w:rPr>
          <w:rFonts w:ascii="Arial" w:eastAsia="Calibri" w:hAnsi="Arial" w:cs="Arial"/>
          <w:b/>
          <w:bCs/>
          <w:color w:val="auto"/>
          <w:sz w:val="26"/>
          <w:szCs w:val="26"/>
        </w:rPr>
        <w:t>Validación de la Metodología de Desarrollo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4"/>
        <w:gridCol w:w="1267"/>
        <w:gridCol w:w="1134"/>
        <w:gridCol w:w="993"/>
        <w:gridCol w:w="1417"/>
        <w:gridCol w:w="1276"/>
      </w:tblGrid>
      <w:tr w:rsidR="00FA2081" w:rsidRPr="00FA2081" w14:paraId="77D331D1" w14:textId="77777777" w:rsidTr="00FA2081">
        <w:tc>
          <w:tcPr>
            <w:tcW w:w="3264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DEBB1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Criterios de Evaluación Metodológica</w:t>
            </w:r>
          </w:p>
        </w:tc>
        <w:tc>
          <w:tcPr>
            <w:tcW w:w="1267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7E14F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Deficiente (1)</w:t>
            </w:r>
          </w:p>
        </w:tc>
        <w:tc>
          <w:tcPr>
            <w:tcW w:w="1134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7B5ED9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Regular (2)</w:t>
            </w:r>
          </w:p>
        </w:tc>
        <w:tc>
          <w:tcPr>
            <w:tcW w:w="993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2B226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Bueno (3)</w:t>
            </w:r>
          </w:p>
        </w:tc>
        <w:tc>
          <w:tcPr>
            <w:tcW w:w="1417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95DCF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Muy Bueno (4)</w:t>
            </w:r>
          </w:p>
        </w:tc>
        <w:tc>
          <w:tcPr>
            <w:tcW w:w="1276" w:type="dxa"/>
            <w:shd w:val="clear" w:color="auto" w:fill="D9F2D0" w:themeFill="accent6" w:themeFillTint="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0874B" w14:textId="77777777" w:rsidR="00FA2081" w:rsidRPr="00FA2081" w:rsidRDefault="00FA2081" w:rsidP="00FA208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Style w:val="Fuerte"/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Excelente (5)</w:t>
            </w:r>
          </w:p>
        </w:tc>
      </w:tr>
      <w:tr w:rsidR="00FA2081" w:rsidRPr="00FA2081" w14:paraId="5CD0485C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B1C81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Rigor Teórico: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La fundamentación de Machine Learning y técnicas XAI está sustentada conceptual y matemáticamente.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6B30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E0AF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D8805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F7C3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ECC7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2081" w:rsidRPr="00FA2081" w14:paraId="667B38B0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4E8DC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Consistencia Metodológica: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Existe correspondencia biunívoca entre problemas, objetivos, hipótesis y las 5 fases del pipeline.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607EE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FE4A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C01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8439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771F2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2081" w:rsidRPr="00FA2081" w14:paraId="171FE1F0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AA7BC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Idoneidad de Datos: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La base secundaria ENDES (INEI) y los filtros obstétricos aplicados son adecuados para el objetivo.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8B14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11F16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57E5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2E247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A1D3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2081" w:rsidRPr="00FA2081" w14:paraId="0255E5D1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B7633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Tratamiento Algorítmico: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La secuencia metodológica (Boruta -&gt; SMOTE-NC -&gt; </w:t>
            </w:r>
            <w:proofErr w:type="gramStart"/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Benchmark </w:t>
            </w:r>
            <w:r w:rsidRPr="00FA2081">
              <w:rPr>
                <w:rStyle w:val="math-inline"/>
                <w:rFonts w:ascii="Arial" w:hAnsi="Arial" w:cs="Arial"/>
              </w:rPr>
              <w:t xml:space="preserve"> -</w:t>
            </w:r>
            <w:proofErr w:type="gramEnd"/>
            <w:r w:rsidRPr="00FA2081">
              <w:rPr>
                <w:rStyle w:val="math-inline"/>
                <w:rFonts w:ascii="Arial" w:hAnsi="Arial" w:cs="Arial"/>
              </w:rPr>
              <w:t xml:space="preserve">&gt; 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XAI) es reproducible y válida.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25D57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3B224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D942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C8C12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793C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2081" w:rsidRPr="00FA2081" w14:paraId="69186017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2F6F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Interpretabilidad: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Las técnicas </w:t>
            </w:r>
            <w:proofErr w:type="spellStart"/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post-hoc</w:t>
            </w:r>
            <w:proofErr w:type="spellEnd"/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(TreeSHAP / LIME) aportan explicabilidad clínica suficiente a los modelos de caja negra.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8B1F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EDEB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3190C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4E8E8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D662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FA2081" w:rsidRPr="00FA2081" w14:paraId="27B46DA6" w14:textId="77777777" w:rsidTr="00FA2081">
        <w:tc>
          <w:tcPr>
            <w:tcW w:w="32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B412C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  <w:r w:rsidRPr="00FA2081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Aplicabilidad:</w:t>
            </w:r>
            <w:r w:rsidRPr="00FA2081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 xml:space="preserve"> La propuesta genera valor para el soporte de decisiones en salud pública y prevención gestacional.</w:t>
            </w:r>
          </w:p>
        </w:tc>
        <w:tc>
          <w:tcPr>
            <w:tcW w:w="126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027A1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CFB84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E159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1C4D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59150" w14:textId="77777777" w:rsidR="00FA2081" w:rsidRPr="00FA2081" w:rsidRDefault="00FA2081" w:rsidP="00FA208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FDF4D00" w14:textId="77777777" w:rsidR="00F737BD" w:rsidRDefault="00F737BD">
      <w:pPr>
        <w:spacing w:after="160"/>
        <w:rPr>
          <w:rFonts w:ascii="Arial" w:hAnsi="Arial" w:cs="Arial"/>
        </w:rPr>
      </w:pPr>
    </w:p>
    <w:p w14:paraId="4499E5B9" w14:textId="77777777" w:rsidR="00DE15A6" w:rsidRDefault="00DE15A6" w:rsidP="00DE15A6">
      <w:pPr>
        <w:spacing w:after="1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54EE0F1" wp14:editId="5F30F541">
            <wp:extent cx="2524125" cy="344529"/>
            <wp:effectExtent l="114300" t="50800" r="66675" b="113030"/>
            <wp:docPr id="11470946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4603" name="Imagen 11470946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255" cy="36133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Tablanormal2"/>
        <w:tblW w:w="0" w:type="auto"/>
        <w:jc w:val="center"/>
        <w:tblLook w:val="04A0" w:firstRow="1" w:lastRow="0" w:firstColumn="1" w:lastColumn="0" w:noHBand="0" w:noVBand="1"/>
      </w:tblPr>
      <w:tblGrid>
        <w:gridCol w:w="1568"/>
        <w:gridCol w:w="1088"/>
        <w:gridCol w:w="2359"/>
        <w:gridCol w:w="2938"/>
      </w:tblGrid>
      <w:tr w:rsidR="00DE15A6" w:rsidRPr="006D0A09" w14:paraId="0065E68D" w14:textId="77777777" w:rsidTr="006D0A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EB330" w14:textId="77777777" w:rsidR="00DE15A6" w:rsidRPr="006D0A09" w:rsidRDefault="00DE15A6" w:rsidP="00DE15A6">
            <w:pPr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Rango de Puntaje</w:t>
            </w:r>
          </w:p>
        </w:tc>
        <w:tc>
          <w:tcPr>
            <w:tcW w:w="0" w:type="auto"/>
            <w:hideMark/>
          </w:tcPr>
          <w:p w14:paraId="51FD0F21" w14:textId="77777777" w:rsidR="00DE15A6" w:rsidRPr="006D0A09" w:rsidRDefault="00DE15A6" w:rsidP="00DE1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Porcentaje</w:t>
            </w:r>
          </w:p>
        </w:tc>
        <w:tc>
          <w:tcPr>
            <w:tcW w:w="0" w:type="auto"/>
            <w:hideMark/>
          </w:tcPr>
          <w:p w14:paraId="743A44E5" w14:textId="77777777" w:rsidR="00DE15A6" w:rsidRPr="006D0A09" w:rsidRDefault="00DE15A6" w:rsidP="00DE1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Nivel de Validez</w:t>
            </w:r>
          </w:p>
        </w:tc>
        <w:tc>
          <w:tcPr>
            <w:tcW w:w="0" w:type="auto"/>
            <w:hideMark/>
          </w:tcPr>
          <w:p w14:paraId="7A71F235" w14:textId="77777777" w:rsidR="00DE15A6" w:rsidRPr="006D0A09" w:rsidRDefault="00DE15A6" w:rsidP="00DE15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Decisión del Experto</w:t>
            </w:r>
          </w:p>
        </w:tc>
      </w:tr>
      <w:tr w:rsidR="00DE15A6" w:rsidRPr="006D0A09" w14:paraId="7DE6FCD9" w14:textId="77777777" w:rsidTr="006D0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A561C" w14:textId="77777777" w:rsidR="00DE15A6" w:rsidRPr="006D0A09" w:rsidRDefault="00DE15A6" w:rsidP="00DE15A6">
            <w:pPr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25 – 30puntos</w:t>
            </w:r>
          </w:p>
        </w:tc>
        <w:tc>
          <w:tcPr>
            <w:tcW w:w="0" w:type="auto"/>
            <w:hideMark/>
          </w:tcPr>
          <w:p w14:paraId="1ED6546E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81% - 100%</w:t>
            </w:r>
          </w:p>
        </w:tc>
        <w:tc>
          <w:tcPr>
            <w:tcW w:w="0" w:type="auto"/>
            <w:hideMark/>
          </w:tcPr>
          <w:p w14:paraId="1F71C32D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Validez Muy Alta / Excelente</w:t>
            </w:r>
          </w:p>
        </w:tc>
        <w:tc>
          <w:tcPr>
            <w:tcW w:w="0" w:type="auto"/>
            <w:hideMark/>
          </w:tcPr>
          <w:p w14:paraId="6A594633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Aplicable sin modificaciones</w:t>
            </w:r>
          </w:p>
        </w:tc>
      </w:tr>
      <w:tr w:rsidR="00DE15A6" w:rsidRPr="006D0A09" w14:paraId="4617EFDA" w14:textId="77777777" w:rsidTr="006D0A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F075F" w14:textId="77777777" w:rsidR="00DE15A6" w:rsidRPr="006D0A09" w:rsidRDefault="00DE15A6" w:rsidP="00DE15A6">
            <w:pPr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19 – 24puntos</w:t>
            </w:r>
          </w:p>
        </w:tc>
        <w:tc>
          <w:tcPr>
            <w:tcW w:w="0" w:type="auto"/>
            <w:hideMark/>
          </w:tcPr>
          <w:p w14:paraId="214A88C7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61% - 80%</w:t>
            </w:r>
          </w:p>
        </w:tc>
        <w:tc>
          <w:tcPr>
            <w:tcW w:w="0" w:type="auto"/>
            <w:hideMark/>
          </w:tcPr>
          <w:p w14:paraId="436DF5C9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Validez Aceptable</w:t>
            </w:r>
          </w:p>
        </w:tc>
        <w:tc>
          <w:tcPr>
            <w:tcW w:w="0" w:type="auto"/>
            <w:hideMark/>
          </w:tcPr>
          <w:p w14:paraId="6C7B0266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Aplicable con modificaciones menores</w:t>
            </w:r>
          </w:p>
        </w:tc>
      </w:tr>
      <w:tr w:rsidR="00DE15A6" w:rsidRPr="006D0A09" w14:paraId="1D61C057" w14:textId="77777777" w:rsidTr="006D0A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94E25" w14:textId="77777777" w:rsidR="00DE15A6" w:rsidRPr="006D0A09" w:rsidRDefault="00DE15A6" w:rsidP="00DE15A6">
            <w:pPr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13 – 18puntos</w:t>
            </w:r>
          </w:p>
        </w:tc>
        <w:tc>
          <w:tcPr>
            <w:tcW w:w="0" w:type="auto"/>
            <w:hideMark/>
          </w:tcPr>
          <w:p w14:paraId="4017B403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41% - 60%</w:t>
            </w:r>
          </w:p>
        </w:tc>
        <w:tc>
          <w:tcPr>
            <w:tcW w:w="0" w:type="auto"/>
            <w:hideMark/>
          </w:tcPr>
          <w:p w14:paraId="6861B75F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Validez Regular</w:t>
            </w:r>
          </w:p>
        </w:tc>
        <w:tc>
          <w:tcPr>
            <w:tcW w:w="0" w:type="auto"/>
            <w:hideMark/>
          </w:tcPr>
          <w:p w14:paraId="07C4A104" w14:textId="77777777" w:rsidR="00DE15A6" w:rsidRPr="006D0A09" w:rsidRDefault="00DE15A6" w:rsidP="00DE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Requiere reformulación</w:t>
            </w:r>
          </w:p>
        </w:tc>
      </w:tr>
      <w:tr w:rsidR="00DE15A6" w:rsidRPr="006D0A09" w14:paraId="5BD13A51" w14:textId="77777777" w:rsidTr="006D0A0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C91B0" w14:textId="77777777" w:rsidR="00DE15A6" w:rsidRPr="006D0A09" w:rsidRDefault="00DE15A6" w:rsidP="00DE15A6">
            <w:pPr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&lt;= 12puntos</w:t>
            </w:r>
          </w:p>
        </w:tc>
        <w:tc>
          <w:tcPr>
            <w:tcW w:w="0" w:type="auto"/>
            <w:hideMark/>
          </w:tcPr>
          <w:p w14:paraId="450DDCBC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&lt;= 40%</w:t>
            </w:r>
          </w:p>
        </w:tc>
        <w:tc>
          <w:tcPr>
            <w:tcW w:w="0" w:type="auto"/>
            <w:hideMark/>
          </w:tcPr>
          <w:p w14:paraId="3FDA034B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b/>
                <w:bCs/>
                <w:color w:val="1F1F1F"/>
                <w:sz w:val="16"/>
                <w:szCs w:val="16"/>
                <w:bdr w:val="none" w:sz="0" w:space="0" w:color="auto" w:frame="1"/>
              </w:rPr>
              <w:t>No Válido / Deficiente</w:t>
            </w:r>
          </w:p>
        </w:tc>
        <w:tc>
          <w:tcPr>
            <w:tcW w:w="0" w:type="auto"/>
            <w:hideMark/>
          </w:tcPr>
          <w:p w14:paraId="29BD3CC6" w14:textId="77777777" w:rsidR="00DE15A6" w:rsidRPr="006D0A09" w:rsidRDefault="00DE15A6" w:rsidP="00DE15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6"/>
                <w:szCs w:val="16"/>
              </w:rPr>
            </w:pPr>
            <w:r w:rsidRPr="006D0A09">
              <w:rPr>
                <w:rFonts w:ascii="Arial" w:hAnsi="Arial" w:cs="Arial"/>
                <w:color w:val="1F1F1F"/>
                <w:sz w:val="16"/>
                <w:szCs w:val="16"/>
                <w:bdr w:val="none" w:sz="0" w:space="0" w:color="auto" w:frame="1"/>
              </w:rPr>
              <w:t>No aplicable</w:t>
            </w:r>
          </w:p>
        </w:tc>
      </w:tr>
    </w:tbl>
    <w:p w14:paraId="04B70CB9" w14:textId="77777777" w:rsidR="00DE15A6" w:rsidRPr="00A36317" w:rsidRDefault="00DE15A6">
      <w:pPr>
        <w:spacing w:after="160"/>
        <w:rPr>
          <w:rFonts w:ascii="Arial" w:hAnsi="Arial" w:cs="Arial"/>
        </w:rPr>
      </w:pPr>
    </w:p>
    <w:p w14:paraId="7D6FB9C5" w14:textId="77777777" w:rsidR="00FA2081" w:rsidRPr="00FA2081" w:rsidRDefault="00FA2081" w:rsidP="00FA2081">
      <w:pPr>
        <w:spacing w:after="160"/>
        <w:ind w:left="360"/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 xml:space="preserve">[ </w:t>
      </w:r>
      <w:proofErr w:type="gramStart"/>
      <w:r>
        <w:rPr>
          <w:rFonts w:ascii="Arial" w:eastAsia="Calibri" w:hAnsi="Arial" w:cs="Arial"/>
          <w:sz w:val="22"/>
          <w:szCs w:val="22"/>
        </w:rPr>
        <w:t xml:space="preserve">  </w:t>
      </w:r>
      <w:r w:rsidRPr="00FA2081">
        <w:rPr>
          <w:rFonts w:ascii="Arial" w:eastAsia="Calibri" w:hAnsi="Arial" w:cs="Arial"/>
          <w:sz w:val="22"/>
          <w:szCs w:val="22"/>
        </w:rPr>
        <w:t>]</w:t>
      </w:r>
      <w:proofErr w:type="gramEnd"/>
      <w:r w:rsidRPr="00FA2081">
        <w:rPr>
          <w:rFonts w:ascii="Arial" w:eastAsia="Calibri" w:hAnsi="Arial" w:cs="Arial"/>
          <w:sz w:val="22"/>
          <w:szCs w:val="22"/>
        </w:rPr>
        <w:t xml:space="preserve"> </w:t>
      </w:r>
      <w:r w:rsidRPr="00FA2081">
        <w:rPr>
          <w:rFonts w:ascii="Arial" w:eastAsia="Calibri" w:hAnsi="Arial" w:cs="Arial"/>
          <w:b/>
          <w:bCs/>
          <w:sz w:val="22"/>
          <w:szCs w:val="22"/>
        </w:rPr>
        <w:t>Aplicable sin modificacione</w:t>
      </w:r>
      <w:r w:rsidR="00DE15A6">
        <w:rPr>
          <w:rFonts w:ascii="Arial" w:eastAsia="Calibri" w:hAnsi="Arial" w:cs="Arial"/>
          <w:b/>
          <w:bCs/>
          <w:sz w:val="22"/>
          <w:szCs w:val="22"/>
        </w:rPr>
        <w:t>s</w:t>
      </w:r>
    </w:p>
    <w:p w14:paraId="4236ACFB" w14:textId="77777777" w:rsidR="00FA2081" w:rsidRPr="00FA2081" w:rsidRDefault="00FA2081" w:rsidP="00FA2081">
      <w:pPr>
        <w:spacing w:after="160"/>
        <w:ind w:left="360"/>
        <w:rPr>
          <w:rFonts w:ascii="Arial" w:eastAsia="Calibri" w:hAnsi="Arial" w:cs="Arial"/>
          <w:sz w:val="22"/>
          <w:szCs w:val="22"/>
        </w:rPr>
      </w:pPr>
      <w:r w:rsidRPr="00FA2081">
        <w:rPr>
          <w:rFonts w:ascii="Arial" w:eastAsia="Calibri" w:hAnsi="Arial" w:cs="Arial"/>
          <w:sz w:val="22"/>
          <w:szCs w:val="22"/>
        </w:rPr>
        <w:t>[</w:t>
      </w:r>
      <w:r>
        <w:rPr>
          <w:rFonts w:ascii="Arial" w:eastAsia="Calibri" w:hAnsi="Arial" w:cs="Arial"/>
          <w:sz w:val="22"/>
          <w:szCs w:val="22"/>
        </w:rPr>
        <w:t xml:space="preserve"> </w:t>
      </w:r>
      <w:proofErr w:type="gramStart"/>
      <w:r w:rsidRPr="00FA2081">
        <w:rPr>
          <w:rFonts w:ascii="Arial" w:eastAsia="Calibri" w:hAnsi="Arial" w:cs="Arial"/>
          <w:sz w:val="22"/>
          <w:szCs w:val="22"/>
        </w:rPr>
        <w:t xml:space="preserve"> </w:t>
      </w:r>
      <w:r>
        <w:rPr>
          <w:rFonts w:ascii="Arial" w:eastAsia="Calibri" w:hAnsi="Arial" w:cs="Arial"/>
          <w:sz w:val="22"/>
          <w:szCs w:val="22"/>
        </w:rPr>
        <w:t xml:space="preserve"> </w:t>
      </w:r>
      <w:r w:rsidRPr="00FA2081">
        <w:rPr>
          <w:rFonts w:ascii="Arial" w:eastAsia="Calibri" w:hAnsi="Arial" w:cs="Arial"/>
          <w:sz w:val="22"/>
          <w:szCs w:val="22"/>
        </w:rPr>
        <w:t>]</w:t>
      </w:r>
      <w:proofErr w:type="gramEnd"/>
      <w:r w:rsidRPr="00FA2081">
        <w:rPr>
          <w:rFonts w:ascii="Arial" w:eastAsia="Calibri" w:hAnsi="Arial" w:cs="Arial"/>
          <w:sz w:val="22"/>
          <w:szCs w:val="22"/>
        </w:rPr>
        <w:t xml:space="preserve"> </w:t>
      </w:r>
      <w:r w:rsidRPr="00FA2081">
        <w:rPr>
          <w:rFonts w:ascii="Arial" w:eastAsia="Calibri" w:hAnsi="Arial" w:cs="Arial"/>
          <w:b/>
          <w:bCs/>
          <w:sz w:val="22"/>
          <w:szCs w:val="22"/>
        </w:rPr>
        <w:t>Aplicable con modificaciones menores</w:t>
      </w:r>
    </w:p>
    <w:p w14:paraId="4697011C" w14:textId="77777777" w:rsidR="00FA2081" w:rsidRDefault="00FA2081" w:rsidP="00FA2081">
      <w:pPr>
        <w:spacing w:after="160"/>
        <w:ind w:left="360"/>
        <w:rPr>
          <w:rFonts w:ascii="Arial" w:eastAsia="Calibri" w:hAnsi="Arial" w:cs="Arial"/>
          <w:b/>
          <w:bCs/>
          <w:sz w:val="22"/>
          <w:szCs w:val="22"/>
        </w:rPr>
      </w:pPr>
      <w:r w:rsidRPr="00FA2081">
        <w:rPr>
          <w:rFonts w:ascii="Arial" w:eastAsia="Calibri" w:hAnsi="Arial" w:cs="Arial"/>
          <w:sz w:val="22"/>
          <w:szCs w:val="22"/>
        </w:rPr>
        <w:t>[</w:t>
      </w:r>
      <w:r>
        <w:rPr>
          <w:rFonts w:ascii="Arial" w:eastAsia="Calibri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Calibri" w:hAnsi="Arial" w:cs="Arial"/>
          <w:sz w:val="22"/>
          <w:szCs w:val="22"/>
        </w:rPr>
        <w:t xml:space="preserve"> </w:t>
      </w:r>
      <w:r w:rsidRPr="00FA2081">
        <w:rPr>
          <w:rFonts w:ascii="Arial" w:eastAsia="Calibri" w:hAnsi="Arial" w:cs="Arial"/>
          <w:sz w:val="22"/>
          <w:szCs w:val="22"/>
        </w:rPr>
        <w:t xml:space="preserve"> ]</w:t>
      </w:r>
      <w:proofErr w:type="gramEnd"/>
      <w:r w:rsidRPr="00FA2081">
        <w:rPr>
          <w:rFonts w:ascii="Arial" w:eastAsia="Calibri" w:hAnsi="Arial" w:cs="Arial"/>
          <w:sz w:val="22"/>
          <w:szCs w:val="22"/>
        </w:rPr>
        <w:t xml:space="preserve"> </w:t>
      </w:r>
      <w:r w:rsidRPr="00FA2081">
        <w:rPr>
          <w:rFonts w:ascii="Arial" w:eastAsia="Calibri" w:hAnsi="Arial" w:cs="Arial"/>
          <w:b/>
          <w:bCs/>
          <w:sz w:val="22"/>
          <w:szCs w:val="22"/>
        </w:rPr>
        <w:t>No aplicable</w:t>
      </w:r>
    </w:p>
    <w:p w14:paraId="2A12668A" w14:textId="77777777" w:rsidR="00FA2081" w:rsidRPr="00FA2081" w:rsidRDefault="00FA2081" w:rsidP="00FA2081">
      <w:pPr>
        <w:spacing w:after="160"/>
        <w:ind w:left="360"/>
        <w:rPr>
          <w:rFonts w:ascii="Arial" w:eastAsia="Calibri" w:hAnsi="Arial" w:cs="Arial"/>
          <w:sz w:val="22"/>
          <w:szCs w:val="22"/>
        </w:rPr>
      </w:pPr>
    </w:p>
    <w:p w14:paraId="1EF48E08" w14:textId="77777777" w:rsidR="00FA2081" w:rsidRDefault="00FA2081" w:rsidP="00FA2081">
      <w:pPr>
        <w:spacing w:after="160"/>
        <w:rPr>
          <w:rFonts w:ascii="Arial" w:eastAsia="Calibri" w:hAnsi="Arial" w:cs="Arial"/>
          <w:b/>
          <w:bCs/>
          <w:sz w:val="22"/>
          <w:szCs w:val="22"/>
        </w:rPr>
      </w:pPr>
      <w:r w:rsidRPr="00FA2081">
        <w:rPr>
          <w:rFonts w:ascii="Arial" w:eastAsia="Calibri" w:hAnsi="Arial" w:cs="Arial"/>
          <w:b/>
          <w:bCs/>
          <w:sz w:val="22"/>
          <w:szCs w:val="22"/>
        </w:rPr>
        <w:t>Observaciones / Recomendaciones:</w:t>
      </w:r>
    </w:p>
    <w:p w14:paraId="26F990D7" w14:textId="77777777" w:rsid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4F3649F8" w14:textId="77777777" w:rsid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70C07BF8" w14:textId="77777777" w:rsid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2360C0DF" w14:textId="77777777" w:rsid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51D3F484" w14:textId="77777777" w:rsid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4B584D0F" w14:textId="77777777" w:rsidR="00FA2081" w:rsidRP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159121E0" w14:textId="77777777" w:rsidR="00FA2081" w:rsidRPr="00FA2081" w:rsidRDefault="00FA2081" w:rsidP="00FA2081">
      <w:pPr>
        <w:spacing w:after="160"/>
        <w:rPr>
          <w:rFonts w:ascii="Arial" w:eastAsia="Calibri" w:hAnsi="Arial" w:cs="Arial"/>
          <w:sz w:val="22"/>
          <w:szCs w:val="22"/>
        </w:rPr>
      </w:pPr>
      <w:r w:rsidRPr="00FA2081">
        <w:rPr>
          <w:rFonts w:ascii="Arial" w:eastAsia="Calibri" w:hAnsi="Arial" w:cs="Arial"/>
          <w:b/>
          <w:bCs/>
          <w:sz w:val="22"/>
          <w:szCs w:val="22"/>
        </w:rPr>
        <w:t>Firma del Experto:</w:t>
      </w:r>
      <w:r w:rsidRPr="00FA2081">
        <w:rPr>
          <w:rFonts w:ascii="Arial" w:eastAsia="Calibri" w:hAnsi="Arial" w:cs="Arial"/>
          <w:sz w:val="22"/>
          <w:szCs w:val="22"/>
        </w:rPr>
        <w:t xml:space="preserve"> ___________________________</w:t>
      </w:r>
    </w:p>
    <w:p w14:paraId="7BCD57A7" w14:textId="77777777" w:rsidR="00FA2081" w:rsidRPr="00DE15A6" w:rsidRDefault="00FA2081">
      <w:pPr>
        <w:spacing w:after="160"/>
        <w:rPr>
          <w:rFonts w:ascii="Arial" w:eastAsia="Calibri" w:hAnsi="Arial" w:cs="Arial"/>
          <w:sz w:val="22"/>
          <w:szCs w:val="22"/>
        </w:rPr>
      </w:pPr>
      <w:r w:rsidRPr="00FA2081">
        <w:rPr>
          <w:rFonts w:ascii="Arial" w:eastAsia="Calibri" w:hAnsi="Arial" w:cs="Arial"/>
          <w:b/>
          <w:bCs/>
          <w:sz w:val="22"/>
          <w:szCs w:val="22"/>
        </w:rPr>
        <w:t>Fecha:</w:t>
      </w:r>
      <w:r w:rsidRPr="00FA2081">
        <w:rPr>
          <w:rFonts w:ascii="Arial" w:eastAsia="Calibri" w:hAnsi="Arial" w:cs="Arial"/>
          <w:sz w:val="22"/>
          <w:szCs w:val="22"/>
        </w:rPr>
        <w:t xml:space="preserve"> _____ / _____ / 2026</w:t>
      </w:r>
    </w:p>
    <w:p w14:paraId="0FA8943D" w14:textId="77777777" w:rsidR="00F737BD" w:rsidRPr="00A36317" w:rsidRDefault="005D2A12">
      <w:pPr>
        <w:pStyle w:val="Ttulo1"/>
        <w:spacing w:before="300" w:after="200"/>
        <w:rPr>
          <w:rFonts w:ascii="Arial" w:hAnsi="Arial" w:cs="Arial"/>
          <w:color w:val="auto"/>
        </w:rPr>
      </w:pPr>
      <w:r w:rsidRPr="00A36317">
        <w:rPr>
          <w:rFonts w:ascii="Arial" w:eastAsia="Calibri" w:hAnsi="Arial" w:cs="Arial"/>
          <w:b/>
          <w:bCs/>
          <w:color w:val="auto"/>
          <w:sz w:val="26"/>
          <w:szCs w:val="26"/>
        </w:rPr>
        <w:t>5. Constancia de validación</w:t>
      </w:r>
    </w:p>
    <w:p w14:paraId="514B914C" w14:textId="77777777" w:rsidR="00F737BD" w:rsidRPr="00A36317" w:rsidRDefault="005D2A12">
      <w:pPr>
        <w:spacing w:after="160"/>
        <w:rPr>
          <w:rFonts w:ascii="Arial" w:hAnsi="Arial" w:cs="Arial"/>
        </w:rPr>
      </w:pPr>
      <w:r w:rsidRPr="00A36317">
        <w:rPr>
          <w:rFonts w:ascii="Arial" w:eastAsia="Calibri" w:hAnsi="Arial" w:cs="Arial"/>
          <w:sz w:val="22"/>
          <w:szCs w:val="22"/>
        </w:rPr>
        <w:t>Quien suscribe, en calidad de experto(a) validador(a), certifica haber revisado el instrumento de investigación</w:t>
      </w:r>
      <w:r w:rsidR="00FA2081">
        <w:rPr>
          <w:rFonts w:ascii="Arial" w:eastAsia="Calibri" w:hAnsi="Arial" w:cs="Arial"/>
          <w:sz w:val="22"/>
          <w:szCs w:val="22"/>
        </w:rPr>
        <w:t xml:space="preserve"> y la metodología de desarrollo</w:t>
      </w:r>
      <w:r w:rsidRPr="00A36317">
        <w:rPr>
          <w:rFonts w:ascii="Arial" w:eastAsia="Calibri" w:hAnsi="Arial" w:cs="Arial"/>
          <w:sz w:val="22"/>
          <w:szCs w:val="22"/>
        </w:rPr>
        <w:t xml:space="preserve"> correspondiente al estudio antes mencionado, dejando constancia de </w:t>
      </w:r>
      <w:r w:rsidR="00FA2081">
        <w:rPr>
          <w:rFonts w:ascii="Arial" w:eastAsia="Calibri" w:hAnsi="Arial" w:cs="Arial"/>
          <w:sz w:val="22"/>
          <w:szCs w:val="22"/>
        </w:rPr>
        <w:t>ambos instrumentos</w:t>
      </w:r>
      <w:r w:rsidRPr="00A36317">
        <w:rPr>
          <w:rFonts w:ascii="Arial" w:eastAsia="Calibri" w:hAnsi="Arial" w:cs="Arial"/>
          <w:sz w:val="22"/>
          <w:szCs w:val="22"/>
        </w:rPr>
        <w:t xml:space="preserve"> reúne</w:t>
      </w:r>
      <w:r w:rsidR="00FA2081">
        <w:rPr>
          <w:rFonts w:ascii="Arial" w:eastAsia="Calibri" w:hAnsi="Arial" w:cs="Arial"/>
          <w:sz w:val="22"/>
          <w:szCs w:val="22"/>
        </w:rPr>
        <w:t xml:space="preserve">n </w:t>
      </w:r>
      <w:r w:rsidRPr="00A36317">
        <w:rPr>
          <w:rFonts w:ascii="Arial" w:eastAsia="Calibri" w:hAnsi="Arial" w:cs="Arial"/>
          <w:sz w:val="22"/>
          <w:szCs w:val="22"/>
        </w:rPr>
        <w:t>las condiciones metodológicas suficientes para ser aplicad</w:t>
      </w:r>
      <w:r w:rsidR="00FA2081">
        <w:rPr>
          <w:rFonts w:ascii="Arial" w:eastAsia="Calibri" w:hAnsi="Arial" w:cs="Arial"/>
          <w:sz w:val="22"/>
          <w:szCs w:val="22"/>
        </w:rPr>
        <w:t>as</w:t>
      </w:r>
      <w:r w:rsidRPr="00A36317">
        <w:rPr>
          <w:rFonts w:ascii="Arial" w:eastAsia="Calibri" w:hAnsi="Arial" w:cs="Arial"/>
          <w:sz w:val="22"/>
          <w:szCs w:val="22"/>
        </w:rPr>
        <w:t>.</w:t>
      </w:r>
    </w:p>
    <w:p w14:paraId="5B11DFBB" w14:textId="77777777" w:rsidR="00F737BD" w:rsidRPr="00A36317" w:rsidRDefault="005D2A12">
      <w:pPr>
        <w:spacing w:after="160"/>
        <w:rPr>
          <w:rFonts w:ascii="Arial" w:hAnsi="Arial" w:cs="Arial"/>
        </w:rPr>
      </w:pPr>
      <w:r w:rsidRPr="00A36317">
        <w:rPr>
          <w:rFonts w:ascii="Arial" w:eastAsia="Calibri" w:hAnsi="Arial" w:cs="Arial"/>
          <w:sz w:val="22"/>
          <w:szCs w:val="22"/>
        </w:rPr>
        <w:t xml:space="preserve">Lima, ____ de ______________ </w:t>
      </w:r>
      <w:proofErr w:type="spellStart"/>
      <w:r w:rsidRPr="00A36317">
        <w:rPr>
          <w:rFonts w:ascii="Arial" w:eastAsia="Calibri" w:hAnsi="Arial" w:cs="Arial"/>
          <w:sz w:val="22"/>
          <w:szCs w:val="22"/>
        </w:rPr>
        <w:t>de</w:t>
      </w:r>
      <w:proofErr w:type="spellEnd"/>
      <w:r w:rsidRPr="00A36317">
        <w:rPr>
          <w:rFonts w:ascii="Arial" w:eastAsia="Calibri" w:hAnsi="Arial" w:cs="Arial"/>
          <w:sz w:val="22"/>
          <w:szCs w:val="22"/>
        </w:rPr>
        <w:t xml:space="preserve"> 2026</w:t>
      </w:r>
    </w:p>
    <w:p w14:paraId="57C101F1" w14:textId="77777777" w:rsidR="00F737BD" w:rsidRDefault="00F737BD">
      <w:pPr>
        <w:spacing w:after="160"/>
        <w:rPr>
          <w:rFonts w:ascii="Arial" w:hAnsi="Arial" w:cs="Arial"/>
        </w:rPr>
      </w:pPr>
    </w:p>
    <w:p w14:paraId="227461CE" w14:textId="77777777" w:rsidR="00DE15A6" w:rsidRPr="00A36317" w:rsidRDefault="00DE15A6">
      <w:pPr>
        <w:spacing w:after="160"/>
        <w:rPr>
          <w:rFonts w:ascii="Arial" w:hAnsi="Arial" w:cs="Arial"/>
        </w:rPr>
      </w:pPr>
    </w:p>
    <w:p w14:paraId="65D8DAD9" w14:textId="77777777" w:rsidR="00F737BD" w:rsidRPr="00A36317" w:rsidRDefault="005D2A12">
      <w:pPr>
        <w:spacing w:after="160"/>
        <w:rPr>
          <w:rFonts w:ascii="Arial" w:hAnsi="Arial" w:cs="Arial"/>
        </w:rPr>
      </w:pPr>
      <w:r w:rsidRPr="00A36317">
        <w:rPr>
          <w:rFonts w:ascii="Arial" w:eastAsia="Calibri" w:hAnsi="Arial" w:cs="Arial"/>
          <w:sz w:val="22"/>
          <w:szCs w:val="22"/>
        </w:rPr>
        <w:t>____________________________________________</w:t>
      </w:r>
    </w:p>
    <w:p w14:paraId="4B50ADD1" w14:textId="77777777" w:rsidR="00F737BD" w:rsidRPr="00A36317" w:rsidRDefault="005D2A12">
      <w:pPr>
        <w:spacing w:after="160"/>
        <w:rPr>
          <w:rFonts w:ascii="Arial" w:hAnsi="Arial" w:cs="Arial"/>
        </w:rPr>
      </w:pPr>
      <w:r w:rsidRPr="00A36317">
        <w:rPr>
          <w:rFonts w:ascii="Arial" w:eastAsia="Calibri" w:hAnsi="Arial" w:cs="Arial"/>
          <w:sz w:val="22"/>
          <w:szCs w:val="22"/>
        </w:rPr>
        <w:t>Firma del experto validador</w:t>
      </w:r>
    </w:p>
    <w:p w14:paraId="712915D9" w14:textId="77777777" w:rsidR="00F737BD" w:rsidRPr="00A36317" w:rsidRDefault="005D2A12">
      <w:pPr>
        <w:spacing w:after="160"/>
        <w:rPr>
          <w:rFonts w:ascii="Arial" w:hAnsi="Arial" w:cs="Arial"/>
        </w:rPr>
      </w:pPr>
      <w:r w:rsidRPr="00A36317">
        <w:rPr>
          <w:rFonts w:ascii="Arial" w:eastAsia="Calibri" w:hAnsi="Arial" w:cs="Arial"/>
          <w:sz w:val="22"/>
          <w:szCs w:val="22"/>
        </w:rPr>
        <w:t>DNI:</w:t>
      </w:r>
    </w:p>
    <w:p w14:paraId="50380763" w14:textId="77777777" w:rsidR="00F737BD" w:rsidRDefault="005D2A12">
      <w:pPr>
        <w:spacing w:after="160"/>
        <w:rPr>
          <w:rFonts w:ascii="Arial" w:eastAsia="Calibri" w:hAnsi="Arial" w:cs="Arial"/>
          <w:sz w:val="22"/>
          <w:szCs w:val="22"/>
        </w:rPr>
      </w:pPr>
      <w:proofErr w:type="spellStart"/>
      <w:r w:rsidRPr="00A36317">
        <w:rPr>
          <w:rFonts w:ascii="Arial" w:eastAsia="Calibri" w:hAnsi="Arial" w:cs="Arial"/>
          <w:sz w:val="22"/>
          <w:szCs w:val="22"/>
        </w:rPr>
        <w:t>N°</w:t>
      </w:r>
      <w:proofErr w:type="spellEnd"/>
      <w:r w:rsidRPr="00A36317">
        <w:rPr>
          <w:rFonts w:ascii="Arial" w:eastAsia="Calibri" w:hAnsi="Arial" w:cs="Arial"/>
          <w:sz w:val="22"/>
          <w:szCs w:val="22"/>
        </w:rPr>
        <w:t xml:space="preserve"> de Colegiatura</w:t>
      </w:r>
      <w:r w:rsidR="00A36317">
        <w:rPr>
          <w:rFonts w:ascii="Arial" w:eastAsia="Calibri" w:hAnsi="Arial" w:cs="Arial"/>
          <w:sz w:val="22"/>
          <w:szCs w:val="22"/>
        </w:rPr>
        <w:t>:</w:t>
      </w:r>
    </w:p>
    <w:p w14:paraId="10804DFD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253CA167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2208B2A1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42B98588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62449157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7B8895C3" w14:textId="77777777" w:rsidR="00DE15A6" w:rsidRDefault="00DE15A6">
      <w:pPr>
        <w:spacing w:after="160"/>
        <w:rPr>
          <w:rFonts w:ascii="Arial" w:eastAsia="Calibri" w:hAnsi="Arial" w:cs="Arial"/>
          <w:sz w:val="22"/>
          <w:szCs w:val="22"/>
        </w:rPr>
      </w:pPr>
    </w:p>
    <w:p w14:paraId="41E64DE7" w14:textId="77777777" w:rsidR="00DE15A6" w:rsidRDefault="00DE15A6">
      <w:pPr>
        <w:rPr>
          <w:rFonts w:ascii="Arial" w:eastAsia="Calibri" w:hAnsi="Arial" w:cs="Arial"/>
          <w:sz w:val="22"/>
          <w:szCs w:val="22"/>
        </w:rPr>
      </w:pPr>
    </w:p>
    <w:p w14:paraId="3B477EB2" w14:textId="77777777" w:rsidR="006D0A09" w:rsidRDefault="006D0A09">
      <w:pPr>
        <w:rPr>
          <w:rFonts w:ascii="Arial" w:eastAsia="Calibri" w:hAnsi="Arial" w:cs="Arial"/>
          <w:sz w:val="22"/>
          <w:szCs w:val="22"/>
        </w:rPr>
        <w:sectPr w:rsidR="006D0A09" w:rsidSect="00DE15A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0D43C18" w14:textId="77777777" w:rsidR="006D0A09" w:rsidRDefault="006D0A09" w:rsidP="006D0A09">
      <w:pPr>
        <w:tabs>
          <w:tab w:val="left" w:pos="4770"/>
        </w:tabs>
        <w:rPr>
          <w:rFonts w:ascii="Arial" w:eastAsia="Calibri" w:hAnsi="Arial" w:cs="Arial"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lastRenderedPageBreak/>
        <w:t>ANEXO 1 – MATRIZ DE CONSISTENCIA</w:t>
      </w:r>
    </w:p>
    <w:p w14:paraId="29123EDC" w14:textId="77777777" w:rsidR="006D0A09" w:rsidRDefault="006D0A09" w:rsidP="006D0A09">
      <w:pPr>
        <w:tabs>
          <w:tab w:val="left" w:pos="4770"/>
        </w:tabs>
        <w:rPr>
          <w:rFonts w:ascii="Arial" w:eastAsia="Calibri" w:hAnsi="Arial" w:cs="Arial"/>
          <w:sz w:val="22"/>
          <w:szCs w:val="22"/>
        </w:rPr>
      </w:pPr>
    </w:p>
    <w:tbl>
      <w:tblPr>
        <w:tblStyle w:val="Tablanormal5"/>
        <w:tblW w:w="15412" w:type="dxa"/>
        <w:tblLook w:val="04A0" w:firstRow="1" w:lastRow="0" w:firstColumn="1" w:lastColumn="0" w:noHBand="0" w:noVBand="1"/>
      </w:tblPr>
      <w:tblGrid>
        <w:gridCol w:w="2552"/>
        <w:gridCol w:w="2693"/>
        <w:gridCol w:w="2835"/>
        <w:gridCol w:w="2103"/>
        <w:gridCol w:w="1299"/>
        <w:gridCol w:w="2268"/>
        <w:gridCol w:w="1662"/>
      </w:tblGrid>
      <w:tr w:rsidR="006D0A09" w:rsidRPr="00850324" w14:paraId="19775B8D" w14:textId="77777777" w:rsidTr="00B521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vAlign w:val="center"/>
            <w:hideMark/>
          </w:tcPr>
          <w:p w14:paraId="3C02451B" w14:textId="77777777" w:rsidR="006D0A09" w:rsidRPr="00850324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Problema (PE)</w:t>
            </w:r>
          </w:p>
        </w:tc>
        <w:tc>
          <w:tcPr>
            <w:tcW w:w="2693" w:type="dxa"/>
            <w:vAlign w:val="center"/>
            <w:hideMark/>
          </w:tcPr>
          <w:p w14:paraId="3E21E5B7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Objetivo (OE)</w:t>
            </w:r>
          </w:p>
        </w:tc>
        <w:tc>
          <w:tcPr>
            <w:tcW w:w="2835" w:type="dxa"/>
            <w:vAlign w:val="center"/>
            <w:hideMark/>
          </w:tcPr>
          <w:p w14:paraId="35766D35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Hipótesis (HE)</w:t>
            </w:r>
          </w:p>
        </w:tc>
        <w:tc>
          <w:tcPr>
            <w:tcW w:w="2103" w:type="dxa"/>
            <w:vAlign w:val="center"/>
            <w:hideMark/>
          </w:tcPr>
          <w:p w14:paraId="1B4847EC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Variable y Rol</w:t>
            </w:r>
          </w:p>
        </w:tc>
        <w:tc>
          <w:tcPr>
            <w:tcW w:w="1299" w:type="dxa"/>
            <w:vAlign w:val="center"/>
            <w:hideMark/>
          </w:tcPr>
          <w:p w14:paraId="3EFBEF04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Dimensión</w:t>
            </w:r>
          </w:p>
        </w:tc>
        <w:tc>
          <w:tcPr>
            <w:tcW w:w="2268" w:type="dxa"/>
            <w:vAlign w:val="center"/>
            <w:hideMark/>
          </w:tcPr>
          <w:p w14:paraId="620D54D4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Indicadores y Métricas ENDES</w:t>
            </w:r>
          </w:p>
        </w:tc>
        <w:tc>
          <w:tcPr>
            <w:tcW w:w="1662" w:type="dxa"/>
          </w:tcPr>
          <w:p w14:paraId="347C23D4" w14:textId="77777777" w:rsidR="006D0A09" w:rsidRPr="00850324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</w:pPr>
            <w:r>
              <w:rPr>
                <w:rFonts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Metodología</w:t>
            </w:r>
          </w:p>
        </w:tc>
      </w:tr>
      <w:tr w:rsidR="006D0A09" w:rsidRPr="00850324" w14:paraId="7652CCFE" w14:textId="77777777" w:rsidTr="00B5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12FFFA68" w14:textId="77777777" w:rsidR="006D0A09" w:rsidRPr="008C25E6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C25E6">
              <w:rPr>
                <w:rFonts w:ascii="Arial" w:hAnsi="Arial" w:cs="Arial"/>
                <w:color w:val="000000"/>
                <w:sz w:val="15"/>
                <w:szCs w:val="15"/>
              </w:rPr>
              <w:t>¿De qué manera el modelamiento predictivo y explicable mediante Machine Learning a partir de factores sociodemográficos y de salud permite estimar el riesgo de pérdida gestacional en mujeres peruanas de 15 a 49 años registradas en la ENDES 2022-2025?</w:t>
            </w:r>
          </w:p>
        </w:tc>
        <w:tc>
          <w:tcPr>
            <w:tcW w:w="2693" w:type="dxa"/>
            <w:vAlign w:val="center"/>
            <w:hideMark/>
          </w:tcPr>
          <w:p w14:paraId="01361485" w14:textId="77777777" w:rsidR="006D0A09" w:rsidRPr="008C25E6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C25E6">
              <w:rPr>
                <w:rFonts w:ascii="Arial" w:hAnsi="Arial" w:cs="Arial"/>
                <w:color w:val="000000"/>
                <w:sz w:val="15"/>
                <w:szCs w:val="15"/>
              </w:rPr>
              <w:t>Desarrollar y evaluar un modelo predictivo y explicable mediante Machine Learning basado en factores sociodemográficos y de salud para la estimación del riesgo de pérdida gestacional en mujeres peruanas de 15 a 49 años a partir de la ENDES 2022-2025.</w:t>
            </w:r>
          </w:p>
        </w:tc>
        <w:tc>
          <w:tcPr>
            <w:tcW w:w="2835" w:type="dxa"/>
            <w:vAlign w:val="center"/>
            <w:hideMark/>
          </w:tcPr>
          <w:p w14:paraId="12BDD04A" w14:textId="77777777" w:rsidR="006D0A09" w:rsidRPr="008C25E6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C25E6">
              <w:rPr>
                <w:rFonts w:ascii="Arial" w:hAnsi="Arial" w:cs="Arial"/>
                <w:color w:val="000000"/>
                <w:sz w:val="15"/>
                <w:szCs w:val="15"/>
              </w:rPr>
              <w:t>El modelamiento predictivo y explicable mediante Machine Learning basado en factores sociodemográficos y de salud presenta una capacidad de discriminación estadísticamente significativa para estimar el riesgo de pérdida gestacional en mujeres peruanas de 15 a 49 años a partir de la ENDES 2022-2025.</w:t>
            </w:r>
          </w:p>
        </w:tc>
        <w:tc>
          <w:tcPr>
            <w:tcW w:w="2103" w:type="dxa"/>
            <w:vAlign w:val="center"/>
            <w:hideMark/>
          </w:tcPr>
          <w:p w14:paraId="16EC738A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 Modelamiento predictivo y XAI.</w:t>
            </w:r>
          </w:p>
          <w:p w14:paraId="08192D2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  <w:p w14:paraId="48E5A28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V.D.: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 Estimación del riesgo de pérdida gestacional involuntaria.</w:t>
            </w:r>
          </w:p>
        </w:tc>
        <w:tc>
          <w:tcPr>
            <w:tcW w:w="1299" w:type="dxa"/>
            <w:vAlign w:val="center"/>
            <w:hideMark/>
          </w:tcPr>
          <w:p w14:paraId="2C98A1BF" w14:textId="77777777" w:rsidR="006D0A09" w:rsidRPr="001828DC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sz w:val="15"/>
                <w:szCs w:val="15"/>
              </w:rPr>
            </w:pPr>
            <w:r>
              <w:rPr>
                <w:rFonts w:cs="Arial"/>
                <w:sz w:val="15"/>
                <w:szCs w:val="15"/>
              </w:rPr>
              <w:t xml:space="preserve">Detalle de </w:t>
            </w:r>
            <w:proofErr w:type="spellStart"/>
            <w:r>
              <w:rPr>
                <w:rFonts w:cs="Arial"/>
                <w:sz w:val="15"/>
                <w:szCs w:val="15"/>
              </w:rPr>
              <w:t>dimesiones</w:t>
            </w:r>
            <w:proofErr w:type="spellEnd"/>
          </w:p>
        </w:tc>
        <w:tc>
          <w:tcPr>
            <w:tcW w:w="2268" w:type="dxa"/>
            <w:vAlign w:val="center"/>
            <w:hideMark/>
          </w:tcPr>
          <w:p w14:paraId="7681DAE0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>
              <w:rPr>
                <w:rFonts w:cs="Arial"/>
                <w:color w:val="1F1F1F"/>
                <w:sz w:val="15"/>
                <w:szCs w:val="15"/>
              </w:rPr>
              <w:t>Ver detalle de indicadores</w:t>
            </w:r>
          </w:p>
        </w:tc>
        <w:tc>
          <w:tcPr>
            <w:tcW w:w="1662" w:type="dxa"/>
          </w:tcPr>
          <w:p w14:paraId="6EB6AFF2" w14:textId="77777777" w:rsidR="006D0A09" w:rsidRPr="00297886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Metodología:</w:t>
            </w:r>
          </w:p>
          <w:p w14:paraId="7188B86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Tipo: Aplicada</w:t>
            </w:r>
          </w:p>
          <w:p w14:paraId="2516E0AC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Nivel: Predictivo / XAI</w:t>
            </w:r>
          </w:p>
          <w:p w14:paraId="79B5E233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Enfoque: Cuantitativo</w:t>
            </w:r>
          </w:p>
          <w:p w14:paraId="51B3B5D0" w14:textId="77777777" w:rsidR="006D0A09" w:rsidRPr="00297886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  <w:tr w:rsidR="006D0A09" w:rsidRPr="00850324" w14:paraId="007EB2D9" w14:textId="77777777" w:rsidTr="00B5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618F23B5" w14:textId="77777777" w:rsidR="006D0A09" w:rsidRPr="00162D75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1:¿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De qué manera la técnica de selección de características Boruta optimiza el espacio dimensional identificando los factores sociodemográficos y de salud más relevantes de la ENDES?</w:t>
            </w:r>
          </w:p>
        </w:tc>
        <w:tc>
          <w:tcPr>
            <w:tcW w:w="2693" w:type="dxa"/>
            <w:vAlign w:val="center"/>
            <w:hideMark/>
          </w:tcPr>
          <w:p w14:paraId="4B59C546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OE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1:Implementar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y evaluar el algoritmo Boruta para la selección de características relevantes a partir del conjunto de variables sociodemográficas y de salud de la ENDES.</w:t>
            </w:r>
          </w:p>
        </w:tc>
        <w:tc>
          <w:tcPr>
            <w:tcW w:w="2835" w:type="dxa"/>
            <w:vAlign w:val="center"/>
            <w:hideMark/>
          </w:tcPr>
          <w:p w14:paraId="4DF1E532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HE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1:El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algoritmo Boruta selecciona un subconjunto estadísticamente significativo de factores sociodemográficos y clínicos, reduciendo la dimensionalidad y eliminando el ruido sin pérdida de capacidad predictiva.</w:t>
            </w:r>
          </w:p>
        </w:tc>
        <w:tc>
          <w:tcPr>
            <w:tcW w:w="2103" w:type="dxa"/>
            <w:vAlign w:val="center"/>
            <w:hideMark/>
          </w:tcPr>
          <w:p w14:paraId="53F2960A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 (E1):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Preprocesamiento y selección (Boruta)</w:t>
            </w:r>
          </w:p>
        </w:tc>
        <w:tc>
          <w:tcPr>
            <w:tcW w:w="1299" w:type="dxa"/>
            <w:vAlign w:val="center"/>
            <w:hideMark/>
          </w:tcPr>
          <w:p w14:paraId="1C72E689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Optimización del espacio de características</w:t>
            </w:r>
          </w:p>
        </w:tc>
        <w:tc>
          <w:tcPr>
            <w:tcW w:w="2268" w:type="dxa"/>
            <w:vAlign w:val="center"/>
            <w:hideMark/>
          </w:tcPr>
          <w:p w14:paraId="7F02D4A1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Variables confirmadas, tentativas y rechazadas</w:t>
            </w:r>
          </w:p>
          <w:p w14:paraId="2AA433E7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• Z-Score vs. Shadow </w:t>
            </w:r>
            <w:proofErr w:type="spell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Features</w:t>
            </w:r>
            <w:proofErr w:type="spellEnd"/>
          </w:p>
          <w:p w14:paraId="7867F1DE" w14:textId="77777777" w:rsidR="006D0A09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Variables ENDES: V012, V106, V025, V190, V040, V501, QS900/901, QS109, QS200-210, M14, V201, V302/313, V222</w:t>
            </w:r>
          </w:p>
          <w:p w14:paraId="46B6C064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662" w:type="dxa"/>
          </w:tcPr>
          <w:p w14:paraId="6BFFA826" w14:textId="77777777" w:rsidR="006D0A09" w:rsidRPr="00D375A1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• </w:t>
            </w:r>
            <w:r w:rsidRPr="00D375A1">
              <w:rPr>
                <w:rFonts w:cs="Arial"/>
                <w:color w:val="1F1F1F"/>
                <w:sz w:val="15"/>
                <w:szCs w:val="15"/>
              </w:rPr>
              <w:t>Diseño: No experimental, observacional, transversal y retrospectivo</w:t>
            </w:r>
          </w:p>
          <w:p w14:paraId="49E2A241" w14:textId="77777777" w:rsidR="006D0A09" w:rsidRPr="00D375A1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• </w:t>
            </w:r>
            <w:r w:rsidRPr="000C4659">
              <w:rPr>
                <w:rFonts w:cs="Arial"/>
                <w:color w:val="1F1F1F"/>
                <w:sz w:val="15"/>
                <w:szCs w:val="15"/>
              </w:rPr>
              <w:t>Línea: IA y Ciencia de Datos aplicada a la Salud</w:t>
            </w:r>
          </w:p>
          <w:p w14:paraId="1677798C" w14:textId="77777777" w:rsidR="006D0A09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  <w:tr w:rsidR="006D0A09" w:rsidRPr="00850324" w14:paraId="003B2458" w14:textId="77777777" w:rsidTr="00B5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179FF125" w14:textId="77777777" w:rsidR="006D0A09" w:rsidRPr="00162D75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2:¿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Cómo influye la aplicación de sobremuestreo sintético mediante SMOTE-NC en el conjunto de entrenamiento en la reducción del sesgo de clase y la sensibilidad del modelo?</w:t>
            </w:r>
          </w:p>
        </w:tc>
        <w:tc>
          <w:tcPr>
            <w:tcW w:w="2693" w:type="dxa"/>
            <w:vAlign w:val="center"/>
            <w:hideMark/>
          </w:tcPr>
          <w:p w14:paraId="6DF2E8C3" w14:textId="77777777" w:rsidR="006D0A09" w:rsidRPr="00162D75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OE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2:Evaluar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el impacto del balanceo sintético mediante SMOTE-NC en el conjunto de entrenamiento para la mejora de la sensibilidad (Recall) y la mitigación del sesgo de clase.</w:t>
            </w:r>
          </w:p>
        </w:tc>
        <w:tc>
          <w:tcPr>
            <w:tcW w:w="2835" w:type="dxa"/>
            <w:vAlign w:val="center"/>
            <w:hideMark/>
          </w:tcPr>
          <w:p w14:paraId="1AD881C2" w14:textId="77777777" w:rsidR="006D0A09" w:rsidRPr="00162D75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HE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2:El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balanceo de clases mediante SMOTE-NC en el set de entrenamiento incrementa significativamente la sensibilidad (Recall) y el F1-Score frente al entrenamiento con clases desbalanceadas.</w:t>
            </w:r>
          </w:p>
        </w:tc>
        <w:tc>
          <w:tcPr>
            <w:tcW w:w="2103" w:type="dxa"/>
            <w:vAlign w:val="center"/>
            <w:hideMark/>
          </w:tcPr>
          <w:p w14:paraId="7EF6A38C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 (E2):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Balanceo sintético (SMOTE-NC)</w:t>
            </w:r>
          </w:p>
        </w:tc>
        <w:tc>
          <w:tcPr>
            <w:tcW w:w="1299" w:type="dxa"/>
            <w:vAlign w:val="center"/>
            <w:hideMark/>
          </w:tcPr>
          <w:p w14:paraId="56ED3B47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Tratamiento del desbalance de clases</w:t>
            </w:r>
          </w:p>
        </w:tc>
        <w:tc>
          <w:tcPr>
            <w:tcW w:w="2268" w:type="dxa"/>
            <w:vAlign w:val="center"/>
            <w:hideMark/>
          </w:tcPr>
          <w:p w14:paraId="6607F1BA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Tasa de sobremuestreo (N:1)</w:t>
            </w:r>
          </w:p>
          <w:p w14:paraId="59D14BBA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Recall en clase minoritaria (Con vs. Sin SMOTE-NC)</w:t>
            </w:r>
          </w:p>
          <w:p w14:paraId="4D5312A2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F1-Score (Macro / Ponderado)</w:t>
            </w:r>
          </w:p>
          <w:p w14:paraId="06FEB88E" w14:textId="77777777" w:rsidR="006D0A09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Curva PR-AUC</w:t>
            </w:r>
          </w:p>
          <w:p w14:paraId="74FAE20B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662" w:type="dxa"/>
          </w:tcPr>
          <w:p w14:paraId="57BEC49E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Población y Muestra:</w:t>
            </w:r>
          </w:p>
          <w:p w14:paraId="4C89CEB8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Mujeres 15-49 años (ENDES 2022-2025)</w:t>
            </w:r>
          </w:p>
          <w:p w14:paraId="5DCC433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Fuente secundaria: Base de datos INEI</w:t>
            </w:r>
          </w:p>
        </w:tc>
      </w:tr>
      <w:tr w:rsidR="006D0A09" w:rsidRPr="00850324" w14:paraId="034A641B" w14:textId="77777777" w:rsidTr="00B5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77EE0082" w14:textId="77777777" w:rsidR="006D0A09" w:rsidRPr="00162D75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3:¿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Qué algoritmo de Machine Learning (Random Forest, XGBoost, Gradient Boosting, SVM, KNN) presenta el mejor rendimiento predictivo en la estimación del riesgo gestacional?</w:t>
            </w:r>
          </w:p>
        </w:tc>
        <w:tc>
          <w:tcPr>
            <w:tcW w:w="2693" w:type="dxa"/>
            <w:vAlign w:val="center"/>
            <w:hideMark/>
          </w:tcPr>
          <w:p w14:paraId="00967271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OE3:</w:t>
            </w: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br/>
              <w:t>Comparar el rendimiento predictivo de algoritmos basados en ensambles frente a modelos tradicionales mediante AUROC, F1-Score, Sensibilidad y Precisión para seleccionar el modelo óptimo.</w:t>
            </w:r>
          </w:p>
        </w:tc>
        <w:tc>
          <w:tcPr>
            <w:tcW w:w="2835" w:type="dxa"/>
            <w:vAlign w:val="center"/>
            <w:hideMark/>
          </w:tcPr>
          <w:p w14:paraId="26B11A9D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HE3:</w:t>
            </w: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br/>
              <w:t>Los algoritmos basados en ensambles (XGBoost, Random Forest, Gradient Boosting) superan de manera estadísticamente significativa en AUROC y F1-Score a los modelos tradicionales (SVM, KNN).</w:t>
            </w:r>
          </w:p>
        </w:tc>
        <w:tc>
          <w:tcPr>
            <w:tcW w:w="2103" w:type="dxa"/>
            <w:vAlign w:val="center"/>
            <w:hideMark/>
          </w:tcPr>
          <w:p w14:paraId="7356D066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 (E3):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Algoritmos de Machine Learning</w:t>
            </w:r>
          </w:p>
        </w:tc>
        <w:tc>
          <w:tcPr>
            <w:tcW w:w="1299" w:type="dxa"/>
            <w:vAlign w:val="center"/>
            <w:hideMark/>
          </w:tcPr>
          <w:p w14:paraId="6485DCD0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Eficiencia y rendimiento predictivo</w:t>
            </w:r>
          </w:p>
        </w:tc>
        <w:tc>
          <w:tcPr>
            <w:tcW w:w="2268" w:type="dxa"/>
            <w:vAlign w:val="center"/>
            <w:hideMark/>
          </w:tcPr>
          <w:p w14:paraId="7E75149D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AUROC (Área bajo la curva ROC)</w:t>
            </w:r>
          </w:p>
          <w:p w14:paraId="6CA4D14E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F1-Score (Macro / Ponderado)</w:t>
            </w:r>
          </w:p>
          <w:p w14:paraId="09FE8A5C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Sensibilidad / Recall y Precisión</w:t>
            </w:r>
          </w:p>
          <w:p w14:paraId="050EA9FE" w14:textId="77777777" w:rsidR="006D0A09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Matriz de Confusión y k-</w:t>
            </w:r>
            <w:proofErr w:type="spell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fold</w:t>
            </w:r>
            <w:proofErr w:type="spellEnd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 CV</w:t>
            </w:r>
          </w:p>
          <w:p w14:paraId="1E9C1C17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662" w:type="dxa"/>
          </w:tcPr>
          <w:p w14:paraId="65EE5547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  <w:tr w:rsidR="006D0A09" w:rsidRPr="00850324" w14:paraId="745CF0AB" w14:textId="77777777" w:rsidTr="00B5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57EF1515" w14:textId="77777777" w:rsidR="006D0A09" w:rsidRPr="00162D75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4:¿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Cuál es la importancia global y el sentido de contribución de las variables sociodemográficas y de salud en las predicciones del modelo óptimo según TreeSHAP?</w:t>
            </w:r>
          </w:p>
        </w:tc>
        <w:tc>
          <w:tcPr>
            <w:tcW w:w="2693" w:type="dxa"/>
            <w:vAlign w:val="center"/>
            <w:hideMark/>
          </w:tcPr>
          <w:p w14:paraId="0A08A618" w14:textId="77777777" w:rsidR="006D0A09" w:rsidRPr="00162D75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OE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4:Determinar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la importancia global y la dirección del impacto de las variables predictoras mediante la técnica TreeSHAP (</w:t>
            </w:r>
            <w:proofErr w:type="spell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Beeswarm</w:t>
            </w:r>
            <w:proofErr w:type="spell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/ </w:t>
            </w:r>
            <w:proofErr w:type="spell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Summary</w:t>
            </w:r>
            <w:proofErr w:type="spell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</w:t>
            </w:r>
            <w:proofErr w:type="spell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Plot</w:t>
            </w:r>
            <w:proofErr w:type="spell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) en el modelo óptimo.</w:t>
            </w:r>
          </w:p>
        </w:tc>
        <w:tc>
          <w:tcPr>
            <w:tcW w:w="2835" w:type="dxa"/>
            <w:vAlign w:val="center"/>
            <w:hideMark/>
          </w:tcPr>
          <w:p w14:paraId="08D89A93" w14:textId="77777777" w:rsidR="006D0A09" w:rsidRPr="00162D75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HE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4:Los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valores TreeSHAP permiten jerarquizar con rigor matemático las variables sociodemográficas y de salud determinantes según su contribución promedio al riesgo gestacional.</w:t>
            </w:r>
          </w:p>
        </w:tc>
        <w:tc>
          <w:tcPr>
            <w:tcW w:w="2103" w:type="dxa"/>
            <w:vAlign w:val="center"/>
            <w:hideMark/>
          </w:tcPr>
          <w:p w14:paraId="78AEA130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 (E4):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Explicabilidad Global (TreeSHAP)</w:t>
            </w:r>
          </w:p>
        </w:tc>
        <w:tc>
          <w:tcPr>
            <w:tcW w:w="1299" w:type="dxa"/>
            <w:vAlign w:val="center"/>
            <w:hideMark/>
          </w:tcPr>
          <w:p w14:paraId="5E6A999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Interpretabilidad global</w:t>
            </w:r>
          </w:p>
        </w:tc>
        <w:tc>
          <w:tcPr>
            <w:tcW w:w="2268" w:type="dxa"/>
            <w:vAlign w:val="center"/>
            <w:hideMark/>
          </w:tcPr>
          <w:p w14:paraId="3A92DFBE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• Valores medios: </w:t>
            </w:r>
            <w:proofErr w:type="gram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mean(</w:t>
            </w:r>
            <w:proofErr w:type="gramEnd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|SHAP value|)</w:t>
            </w:r>
          </w:p>
          <w:p w14:paraId="2F9E441B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• Dispersión en SHAP </w:t>
            </w:r>
            <w:proofErr w:type="spell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Beeswarm</w:t>
            </w:r>
            <w:proofErr w:type="spellEnd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 xml:space="preserve"> </w:t>
            </w:r>
            <w:proofErr w:type="spell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plot</w:t>
            </w:r>
            <w:proofErr w:type="spellEnd"/>
          </w:p>
          <w:p w14:paraId="65A78F9B" w14:textId="77777777" w:rsidR="006D0A09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Jerarquía: Factores de salud vs. Sociodemográficos</w:t>
            </w:r>
          </w:p>
          <w:p w14:paraId="683D184E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662" w:type="dxa"/>
          </w:tcPr>
          <w:p w14:paraId="0ADA50DD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  <w:tr w:rsidR="006D0A09" w:rsidRPr="00850324" w14:paraId="2AB58335" w14:textId="77777777" w:rsidTr="00B521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2C89CDC7" w14:textId="77777777" w:rsidR="006D0A09" w:rsidRPr="00162D75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PE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5:¿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De qué manera las técnicas de explicabilidad local (LIME y SHAP Waterfall) permiten la atribución e interpretación del riesgo en instancias individuales específicas?</w:t>
            </w:r>
          </w:p>
        </w:tc>
        <w:tc>
          <w:tcPr>
            <w:tcW w:w="2693" w:type="dxa"/>
            <w:vAlign w:val="center"/>
            <w:hideMark/>
          </w:tcPr>
          <w:p w14:paraId="3DA8164C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OE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5:Analizar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la atribución local del riesgo gestacional en perfiles individuales mediante explicaciones de caja negra con LIME y gráficos SHAP Waterfall.</w:t>
            </w:r>
          </w:p>
        </w:tc>
        <w:tc>
          <w:tcPr>
            <w:tcW w:w="2835" w:type="dxa"/>
            <w:vAlign w:val="center"/>
            <w:hideMark/>
          </w:tcPr>
          <w:p w14:paraId="746C34A1" w14:textId="77777777" w:rsidR="006D0A09" w:rsidRPr="00162D75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HE</w:t>
            </w:r>
            <w:proofErr w:type="gramStart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>5:Las</w:t>
            </w:r>
            <w:proofErr w:type="gramEnd"/>
            <w:r w:rsidRPr="00162D75">
              <w:rPr>
                <w:rFonts w:ascii="Arial" w:hAnsi="Arial" w:cs="Arial"/>
                <w:color w:val="000000"/>
                <w:sz w:val="15"/>
                <w:szCs w:val="15"/>
              </w:rPr>
              <w:t xml:space="preserve"> técnicas LIME y SHAP Waterfall permiten descomponer y justificar con precisión las predicciones individuales del modelo para la interpretación de casos clínicos específicos.</w:t>
            </w:r>
          </w:p>
        </w:tc>
        <w:tc>
          <w:tcPr>
            <w:tcW w:w="2103" w:type="dxa"/>
            <w:vAlign w:val="center"/>
            <w:hideMark/>
          </w:tcPr>
          <w:p w14:paraId="762BE837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V.I. (E5):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Explicabilidad Local (LIME / SHAP)</w:t>
            </w:r>
          </w:p>
        </w:tc>
        <w:tc>
          <w:tcPr>
            <w:tcW w:w="1299" w:type="dxa"/>
            <w:vAlign w:val="center"/>
            <w:hideMark/>
          </w:tcPr>
          <w:p w14:paraId="0D787D32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Atribución individual del riesgo</w:t>
            </w:r>
          </w:p>
        </w:tc>
        <w:tc>
          <w:tcPr>
            <w:tcW w:w="2268" w:type="dxa"/>
            <w:vAlign w:val="center"/>
            <w:hideMark/>
          </w:tcPr>
          <w:p w14:paraId="62679A57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Coeficientes de atribución LIME</w:t>
            </w:r>
          </w:p>
          <w:p w14:paraId="3B98D7C5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Valores aditivos SHAP Waterfall (</w:t>
            </w:r>
            <w:proofErr w:type="spellStart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phi_i</w:t>
            </w:r>
            <w:proofErr w:type="spellEnd"/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)</w:t>
            </w:r>
          </w:p>
          <w:p w14:paraId="719A6413" w14:textId="77777777" w:rsidR="006D0A09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Probabilidad estimada vs. base E[f(x)]</w:t>
            </w:r>
          </w:p>
          <w:p w14:paraId="4AFE1FFE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662" w:type="dxa"/>
          </w:tcPr>
          <w:p w14:paraId="121E2D1E" w14:textId="77777777" w:rsidR="006D0A09" w:rsidRPr="00850324" w:rsidRDefault="006D0A09" w:rsidP="00B5215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  <w:tr w:rsidR="006D0A09" w:rsidRPr="00850324" w14:paraId="0307CDB0" w14:textId="77777777" w:rsidTr="00B521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107761A6" w14:textId="77777777" w:rsidR="006D0A09" w:rsidRPr="00850324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693" w:type="dxa"/>
            <w:vAlign w:val="center"/>
            <w:hideMark/>
          </w:tcPr>
          <w:p w14:paraId="4EE9C52A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835" w:type="dxa"/>
            <w:vAlign w:val="center"/>
            <w:hideMark/>
          </w:tcPr>
          <w:p w14:paraId="793DCE5F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103" w:type="dxa"/>
            <w:vAlign w:val="center"/>
            <w:hideMark/>
          </w:tcPr>
          <w:p w14:paraId="532304DA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V.D.:</w:t>
            </w: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 xml:space="preserve"> Estimación del Riesgo de Pérdida Gestacional</w:t>
            </w:r>
          </w:p>
        </w:tc>
        <w:tc>
          <w:tcPr>
            <w:tcW w:w="1299" w:type="dxa"/>
            <w:vAlign w:val="center"/>
            <w:hideMark/>
          </w:tcPr>
          <w:p w14:paraId="017E003B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Desenlace / Estado Gestacional</w:t>
            </w:r>
          </w:p>
        </w:tc>
        <w:tc>
          <w:tcPr>
            <w:tcW w:w="2268" w:type="dxa"/>
            <w:vAlign w:val="center"/>
            <w:hideMark/>
          </w:tcPr>
          <w:p w14:paraId="59DB9386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Target binario de pérdida temprana: (0 = No, 1 = Sí)</w:t>
            </w:r>
          </w:p>
          <w:p w14:paraId="57B76F72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50324">
              <w:rPr>
                <w:rFonts w:ascii="Arial" w:hAnsi="Arial" w:cs="Arial"/>
                <w:color w:val="1F1F1F"/>
                <w:sz w:val="15"/>
                <w:szCs w:val="15"/>
              </w:rPr>
              <w:t>• Variables ENDES de desenlace: V228 y V233</w:t>
            </w:r>
          </w:p>
        </w:tc>
        <w:tc>
          <w:tcPr>
            <w:tcW w:w="1662" w:type="dxa"/>
          </w:tcPr>
          <w:p w14:paraId="333B3FB5" w14:textId="77777777" w:rsidR="006D0A09" w:rsidRPr="00850324" w:rsidRDefault="006D0A09" w:rsidP="00B521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1F1F1F"/>
                <w:sz w:val="15"/>
                <w:szCs w:val="15"/>
              </w:rPr>
            </w:pPr>
          </w:p>
        </w:tc>
      </w:tr>
    </w:tbl>
    <w:p w14:paraId="5D6A7EA0" w14:textId="77777777" w:rsidR="006D0A09" w:rsidRDefault="006D0A09" w:rsidP="006D0A09">
      <w:pPr>
        <w:tabs>
          <w:tab w:val="left" w:pos="4770"/>
        </w:tabs>
        <w:rPr>
          <w:rFonts w:ascii="Arial" w:eastAsia="Calibri" w:hAnsi="Arial" w:cs="Arial"/>
          <w:sz w:val="22"/>
          <w:szCs w:val="22"/>
        </w:rPr>
      </w:pPr>
    </w:p>
    <w:p w14:paraId="5988A7FA" w14:textId="77777777" w:rsidR="00DE15A6" w:rsidRDefault="00DE15A6">
      <w:pPr>
        <w:rPr>
          <w:rFonts w:ascii="Arial" w:eastAsia="Calibri" w:hAnsi="Arial" w:cs="Arial"/>
          <w:sz w:val="22"/>
          <w:szCs w:val="22"/>
        </w:rPr>
      </w:pPr>
      <w:r w:rsidRPr="006D0A09">
        <w:rPr>
          <w:rFonts w:ascii="Arial" w:eastAsia="Calibri" w:hAnsi="Arial" w:cs="Arial"/>
          <w:sz w:val="22"/>
          <w:szCs w:val="22"/>
        </w:rPr>
        <w:br w:type="page"/>
      </w:r>
      <w:r w:rsidR="006D0A09">
        <w:rPr>
          <w:rFonts w:ascii="Arial" w:eastAsia="Calibri" w:hAnsi="Arial" w:cs="Arial"/>
          <w:sz w:val="22"/>
          <w:szCs w:val="22"/>
        </w:rPr>
        <w:lastRenderedPageBreak/>
        <w:t>ANEXO 2 – MATRIZ DE OPERACIONALIZACIÓN DE VARIABLES</w:t>
      </w:r>
    </w:p>
    <w:p w14:paraId="6AA10938" w14:textId="77777777" w:rsidR="006D0A09" w:rsidRDefault="006D0A09">
      <w:pPr>
        <w:rPr>
          <w:rFonts w:ascii="Arial" w:eastAsia="Calibri" w:hAnsi="Arial" w:cs="Arial"/>
          <w:sz w:val="22"/>
          <w:szCs w:val="22"/>
        </w:rPr>
      </w:pPr>
    </w:p>
    <w:tbl>
      <w:tblPr>
        <w:tblStyle w:val="Tablanormal3"/>
        <w:tblW w:w="15593" w:type="dxa"/>
        <w:jc w:val="center"/>
        <w:tblLook w:val="04A0" w:firstRow="1" w:lastRow="0" w:firstColumn="1" w:lastColumn="0" w:noHBand="0" w:noVBand="1"/>
      </w:tblPr>
      <w:tblGrid>
        <w:gridCol w:w="2552"/>
        <w:gridCol w:w="1560"/>
        <w:gridCol w:w="2551"/>
        <w:gridCol w:w="2268"/>
        <w:gridCol w:w="2268"/>
        <w:gridCol w:w="2295"/>
        <w:gridCol w:w="2099"/>
      </w:tblGrid>
      <w:tr w:rsidR="006D0A09" w:rsidRPr="008D0ECC" w14:paraId="06B2D25C" w14:textId="77777777" w:rsidTr="00153C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vAlign w:val="center"/>
            <w:hideMark/>
          </w:tcPr>
          <w:p w14:paraId="3EEB9CA9" w14:textId="77777777" w:rsidR="006D0A09" w:rsidRPr="006B3FD9" w:rsidRDefault="006D0A09" w:rsidP="00B5215E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Variable y Rol</w:t>
            </w:r>
          </w:p>
        </w:tc>
        <w:tc>
          <w:tcPr>
            <w:tcW w:w="1560" w:type="dxa"/>
            <w:vAlign w:val="center"/>
            <w:hideMark/>
          </w:tcPr>
          <w:p w14:paraId="6FE5C7C6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Dimensión</w:t>
            </w:r>
          </w:p>
        </w:tc>
        <w:tc>
          <w:tcPr>
            <w:tcW w:w="2551" w:type="dxa"/>
            <w:vAlign w:val="center"/>
            <w:hideMark/>
          </w:tcPr>
          <w:p w14:paraId="5D2DE29A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Definición Operacional</w:t>
            </w:r>
          </w:p>
        </w:tc>
        <w:tc>
          <w:tcPr>
            <w:tcW w:w="2268" w:type="dxa"/>
            <w:vAlign w:val="center"/>
            <w:hideMark/>
          </w:tcPr>
          <w:p w14:paraId="445B0889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Indicador / Parámetro</w:t>
            </w:r>
          </w:p>
        </w:tc>
        <w:tc>
          <w:tcPr>
            <w:tcW w:w="2268" w:type="dxa"/>
            <w:vAlign w:val="center"/>
            <w:hideMark/>
          </w:tcPr>
          <w:p w14:paraId="73633A65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Código ENDES / Métrica</w:t>
            </w:r>
          </w:p>
        </w:tc>
        <w:tc>
          <w:tcPr>
            <w:tcW w:w="2295" w:type="dxa"/>
            <w:vAlign w:val="center"/>
            <w:hideMark/>
          </w:tcPr>
          <w:p w14:paraId="40C43199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Escala de Medición</w:t>
            </w:r>
          </w:p>
        </w:tc>
        <w:tc>
          <w:tcPr>
            <w:tcW w:w="2099" w:type="dxa"/>
            <w:vAlign w:val="center"/>
            <w:hideMark/>
          </w:tcPr>
          <w:p w14:paraId="41AF8CA1" w14:textId="77777777" w:rsidR="006D0A09" w:rsidRPr="006B3FD9" w:rsidRDefault="006D0A09" w:rsidP="00B521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6B3FD9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Instrumento / Fuente</w:t>
            </w:r>
          </w:p>
        </w:tc>
      </w:tr>
      <w:tr w:rsidR="00153CA0" w:rsidRPr="008D0ECC" w14:paraId="30C5546A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53CCD0B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b w:val="0"/>
                <w:bCs w:val="0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VARIABLE INDEPENDIENTE</w:t>
            </w:r>
            <w:r>
              <w:rPr>
                <w:rFonts w:ascii="Arial" w:hAnsi="Arial" w:cs="Arial"/>
                <w:sz w:val="15"/>
                <w:szCs w:val="15"/>
              </w:rPr>
              <w:t>:</w:t>
            </w:r>
            <w:r w:rsidRPr="00153CA0">
              <w:rPr>
                <w:rFonts w:ascii="Arial" w:hAnsi="Arial" w:cs="Arial"/>
                <w:sz w:val="15"/>
                <w:szCs w:val="15"/>
              </w:rPr>
              <w:br/>
            </w:r>
            <w:r w:rsidRPr="00153CA0">
              <w:rPr>
                <w:rFonts w:ascii="Arial" w:hAnsi="Arial" w:cs="Arial"/>
                <w:b w:val="0"/>
                <w:bCs w:val="0"/>
                <w:sz w:val="13"/>
                <w:szCs w:val="13"/>
              </w:rPr>
              <w:t xml:space="preserve">MODELAMIENTO </w:t>
            </w:r>
            <w:r>
              <w:rPr>
                <w:rFonts w:ascii="Arial" w:hAnsi="Arial" w:cs="Arial"/>
                <w:b w:val="0"/>
                <w:bCs w:val="0"/>
                <w:sz w:val="13"/>
                <w:szCs w:val="13"/>
              </w:rPr>
              <w:t>P</w:t>
            </w:r>
            <w:r w:rsidRPr="00153CA0">
              <w:rPr>
                <w:rFonts w:ascii="Arial" w:hAnsi="Arial" w:cs="Arial"/>
                <w:b w:val="0"/>
                <w:bCs w:val="0"/>
                <w:sz w:val="13"/>
                <w:szCs w:val="13"/>
              </w:rPr>
              <w:t>REDICTIVO y Explicable mediante Machine Learning</w:t>
            </w:r>
          </w:p>
        </w:tc>
        <w:tc>
          <w:tcPr>
            <w:tcW w:w="1560" w:type="dxa"/>
          </w:tcPr>
          <w:p w14:paraId="5892EC9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Dim. 1: Optimización del espacio de características (Boruta)</w:t>
            </w:r>
          </w:p>
        </w:tc>
        <w:tc>
          <w:tcPr>
            <w:tcW w:w="2551" w:type="dxa"/>
          </w:tcPr>
          <w:p w14:paraId="178C707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Atributo sociodemográfico o de salud registrado por la entrevistada, utilizado como insumo del modelo</w:t>
            </w:r>
          </w:p>
        </w:tc>
        <w:tc>
          <w:tcPr>
            <w:tcW w:w="2268" w:type="dxa"/>
          </w:tcPr>
          <w:p w14:paraId="01C47EB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Edad</w:t>
            </w:r>
          </w:p>
        </w:tc>
        <w:tc>
          <w:tcPr>
            <w:tcW w:w="2268" w:type="dxa"/>
          </w:tcPr>
          <w:p w14:paraId="6A3E36B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V012</w:t>
            </w:r>
          </w:p>
        </w:tc>
        <w:tc>
          <w:tcPr>
            <w:tcW w:w="2295" w:type="dxa"/>
          </w:tcPr>
          <w:p w14:paraId="6FC66E4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(15-49 años)</w:t>
            </w:r>
          </w:p>
        </w:tc>
        <w:tc>
          <w:tcPr>
            <w:tcW w:w="2099" w:type="dxa"/>
            <w:hideMark/>
          </w:tcPr>
          <w:p w14:paraId="2A80F860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54CADC52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D4442AC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5EBE83F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</w:rPr>
            </w:pPr>
          </w:p>
        </w:tc>
        <w:tc>
          <w:tcPr>
            <w:tcW w:w="2551" w:type="dxa"/>
          </w:tcPr>
          <w:p w14:paraId="4DDA9A5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268" w:type="dxa"/>
          </w:tcPr>
          <w:p w14:paraId="5660BBA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Nivel educativo</w:t>
            </w:r>
          </w:p>
        </w:tc>
        <w:tc>
          <w:tcPr>
            <w:tcW w:w="2268" w:type="dxa"/>
          </w:tcPr>
          <w:p w14:paraId="580ABACC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V106</w:t>
            </w:r>
          </w:p>
        </w:tc>
        <w:tc>
          <w:tcPr>
            <w:tcW w:w="2295" w:type="dxa"/>
          </w:tcPr>
          <w:p w14:paraId="2EACFD8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Ordinal (0=Sin educación a 3=Superior)</w:t>
            </w:r>
          </w:p>
        </w:tc>
        <w:tc>
          <w:tcPr>
            <w:tcW w:w="2099" w:type="dxa"/>
            <w:hideMark/>
          </w:tcPr>
          <w:p w14:paraId="3D85E5B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2545DA40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5732822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2DD75AD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</w:rPr>
            </w:pPr>
          </w:p>
        </w:tc>
        <w:tc>
          <w:tcPr>
            <w:tcW w:w="2551" w:type="dxa"/>
          </w:tcPr>
          <w:p w14:paraId="39C5F188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268" w:type="dxa"/>
          </w:tcPr>
          <w:p w14:paraId="79CFC40C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Área de residencia</w:t>
            </w:r>
          </w:p>
        </w:tc>
        <w:tc>
          <w:tcPr>
            <w:tcW w:w="2268" w:type="dxa"/>
          </w:tcPr>
          <w:p w14:paraId="32A0F1CD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V025</w:t>
            </w:r>
          </w:p>
        </w:tc>
        <w:tc>
          <w:tcPr>
            <w:tcW w:w="2295" w:type="dxa"/>
          </w:tcPr>
          <w:p w14:paraId="63691F9C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(1=Urbano, 2=Rural)</w:t>
            </w:r>
          </w:p>
        </w:tc>
        <w:tc>
          <w:tcPr>
            <w:tcW w:w="2099" w:type="dxa"/>
            <w:hideMark/>
          </w:tcPr>
          <w:p w14:paraId="52EE9137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4FC776AC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3D298FA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41436C7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</w:rPr>
            </w:pPr>
          </w:p>
        </w:tc>
        <w:tc>
          <w:tcPr>
            <w:tcW w:w="2551" w:type="dxa"/>
          </w:tcPr>
          <w:p w14:paraId="52A5BDB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268" w:type="dxa"/>
          </w:tcPr>
          <w:p w14:paraId="3B6B17A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Índice de riqueza</w:t>
            </w:r>
          </w:p>
        </w:tc>
        <w:tc>
          <w:tcPr>
            <w:tcW w:w="2268" w:type="dxa"/>
          </w:tcPr>
          <w:p w14:paraId="167822A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V190</w:t>
            </w:r>
          </w:p>
        </w:tc>
        <w:tc>
          <w:tcPr>
            <w:tcW w:w="2295" w:type="dxa"/>
          </w:tcPr>
          <w:p w14:paraId="19D68CE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Ordinal (1=Más pobre a 5=Más rico)</w:t>
            </w:r>
          </w:p>
        </w:tc>
        <w:tc>
          <w:tcPr>
            <w:tcW w:w="2099" w:type="dxa"/>
            <w:hideMark/>
          </w:tcPr>
          <w:p w14:paraId="56E950A4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6E29731D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2208F2F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2621CAB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</w:rPr>
            </w:pPr>
          </w:p>
        </w:tc>
        <w:tc>
          <w:tcPr>
            <w:tcW w:w="2551" w:type="dxa"/>
          </w:tcPr>
          <w:p w14:paraId="796B1470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2268" w:type="dxa"/>
          </w:tcPr>
          <w:p w14:paraId="1BFC08D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Altitud del conglomerado</w:t>
            </w:r>
          </w:p>
        </w:tc>
        <w:tc>
          <w:tcPr>
            <w:tcW w:w="2268" w:type="dxa"/>
          </w:tcPr>
          <w:p w14:paraId="2EEC1F8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V040</w:t>
            </w:r>
          </w:p>
        </w:tc>
        <w:tc>
          <w:tcPr>
            <w:tcW w:w="2295" w:type="dxa"/>
          </w:tcPr>
          <w:p w14:paraId="338389A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(msnm)</w:t>
            </w:r>
          </w:p>
        </w:tc>
        <w:tc>
          <w:tcPr>
            <w:tcW w:w="2099" w:type="dxa"/>
            <w:hideMark/>
          </w:tcPr>
          <w:p w14:paraId="58451AF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57577EC0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7320E81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66634526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0960BE4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5F70DD8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Estado civil</w:t>
            </w:r>
          </w:p>
        </w:tc>
        <w:tc>
          <w:tcPr>
            <w:tcW w:w="2268" w:type="dxa"/>
          </w:tcPr>
          <w:p w14:paraId="07F01456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V501</w:t>
            </w:r>
          </w:p>
        </w:tc>
        <w:tc>
          <w:tcPr>
            <w:tcW w:w="2295" w:type="dxa"/>
          </w:tcPr>
          <w:p w14:paraId="2048DDD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(0=Nunca unida a 5=Separada)</w:t>
            </w:r>
          </w:p>
        </w:tc>
        <w:tc>
          <w:tcPr>
            <w:tcW w:w="2099" w:type="dxa"/>
          </w:tcPr>
          <w:p w14:paraId="26745116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4285A8E3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2A669B6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55323C6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03448B6C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77A56AB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Uso de anticonceptivos (alguna vez)</w:t>
            </w:r>
          </w:p>
        </w:tc>
        <w:tc>
          <w:tcPr>
            <w:tcW w:w="2268" w:type="dxa"/>
          </w:tcPr>
          <w:p w14:paraId="1FFB454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V302</w:t>
            </w:r>
          </w:p>
        </w:tc>
        <w:tc>
          <w:tcPr>
            <w:tcW w:w="2295" w:type="dxa"/>
          </w:tcPr>
          <w:p w14:paraId="059D5CBC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(0=No, 1=Sí)</w:t>
            </w:r>
          </w:p>
        </w:tc>
        <w:tc>
          <w:tcPr>
            <w:tcW w:w="2099" w:type="dxa"/>
          </w:tcPr>
          <w:p w14:paraId="00FB44A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69DEE91A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CACEDBA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3128AEA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00C1B582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225CF879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Uso actual de anticonceptivos</w:t>
            </w:r>
          </w:p>
        </w:tc>
        <w:tc>
          <w:tcPr>
            <w:tcW w:w="2268" w:type="dxa"/>
          </w:tcPr>
          <w:p w14:paraId="63B4EEE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V313</w:t>
            </w:r>
          </w:p>
        </w:tc>
        <w:tc>
          <w:tcPr>
            <w:tcW w:w="2295" w:type="dxa"/>
          </w:tcPr>
          <w:p w14:paraId="2F3F15E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Ordinal (0=No usa a 3=Método moderno)</w:t>
            </w:r>
          </w:p>
        </w:tc>
        <w:tc>
          <w:tcPr>
            <w:tcW w:w="2099" w:type="dxa"/>
          </w:tcPr>
          <w:p w14:paraId="22386DF4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4942C3F2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7A184E1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7A737DE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3BB31DA1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6184813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Intervalo intergenésico</w:t>
            </w:r>
          </w:p>
        </w:tc>
        <w:tc>
          <w:tcPr>
            <w:tcW w:w="2268" w:type="dxa"/>
          </w:tcPr>
          <w:p w14:paraId="335E82C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V222</w:t>
            </w:r>
          </w:p>
        </w:tc>
        <w:tc>
          <w:tcPr>
            <w:tcW w:w="2295" w:type="dxa"/>
          </w:tcPr>
          <w:p w14:paraId="4BCD18E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discreta (meses)</w:t>
            </w:r>
          </w:p>
        </w:tc>
        <w:tc>
          <w:tcPr>
            <w:tcW w:w="2099" w:type="dxa"/>
          </w:tcPr>
          <w:p w14:paraId="1640A691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58105BED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163E864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10D7172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269EF574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3B3B19E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Paridad</w:t>
            </w:r>
          </w:p>
        </w:tc>
        <w:tc>
          <w:tcPr>
            <w:tcW w:w="2268" w:type="dxa"/>
          </w:tcPr>
          <w:p w14:paraId="655DF76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V201</w:t>
            </w:r>
          </w:p>
        </w:tc>
        <w:tc>
          <w:tcPr>
            <w:tcW w:w="2295" w:type="dxa"/>
          </w:tcPr>
          <w:p w14:paraId="60E8281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discreta (n.º de hijos)</w:t>
            </w:r>
          </w:p>
        </w:tc>
        <w:tc>
          <w:tcPr>
            <w:tcW w:w="2099" w:type="dxa"/>
          </w:tcPr>
          <w:p w14:paraId="4557E59C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207743CF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6A36D2A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469FA47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757582F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382ECCE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Tabaco (últimos 12 meses)</w:t>
            </w:r>
          </w:p>
        </w:tc>
        <w:tc>
          <w:tcPr>
            <w:tcW w:w="2268" w:type="dxa"/>
          </w:tcPr>
          <w:p w14:paraId="767754D0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QS200</w:t>
            </w:r>
          </w:p>
        </w:tc>
        <w:tc>
          <w:tcPr>
            <w:tcW w:w="2295" w:type="dxa"/>
          </w:tcPr>
          <w:p w14:paraId="5AFDB7C8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52805630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1AFD7A10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1A7123E9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017B4E9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7283432F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30B548B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Tabaco (frecuencia diaria)</w:t>
            </w:r>
          </w:p>
        </w:tc>
        <w:tc>
          <w:tcPr>
            <w:tcW w:w="2268" w:type="dxa"/>
          </w:tcPr>
          <w:p w14:paraId="35B3E71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QS202</w:t>
            </w:r>
          </w:p>
        </w:tc>
        <w:tc>
          <w:tcPr>
            <w:tcW w:w="2295" w:type="dxa"/>
          </w:tcPr>
          <w:p w14:paraId="51B5C0F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44B97D0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00E7C6B8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9408478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0B269C1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633F673D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1268682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Tabaco (cantidad diaria)</w:t>
            </w:r>
          </w:p>
        </w:tc>
        <w:tc>
          <w:tcPr>
            <w:tcW w:w="2268" w:type="dxa"/>
          </w:tcPr>
          <w:p w14:paraId="4A715818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QS205C</w:t>
            </w:r>
          </w:p>
        </w:tc>
        <w:tc>
          <w:tcPr>
            <w:tcW w:w="2295" w:type="dxa"/>
          </w:tcPr>
          <w:p w14:paraId="794D711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discreta (cigarrillos/día)</w:t>
            </w:r>
          </w:p>
        </w:tc>
        <w:tc>
          <w:tcPr>
            <w:tcW w:w="2099" w:type="dxa"/>
          </w:tcPr>
          <w:p w14:paraId="2AF7D65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4E00B5E0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56BF29E7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7EB7716F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5E87B7E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17A7914F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Alcohol (alguna vez)</w:t>
            </w:r>
          </w:p>
        </w:tc>
        <w:tc>
          <w:tcPr>
            <w:tcW w:w="2268" w:type="dxa"/>
          </w:tcPr>
          <w:p w14:paraId="127E3C7F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QS206</w:t>
            </w:r>
          </w:p>
        </w:tc>
        <w:tc>
          <w:tcPr>
            <w:tcW w:w="2295" w:type="dxa"/>
          </w:tcPr>
          <w:p w14:paraId="0FE3A1D7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2AC47672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0FAB5509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C4E30A3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2EACA40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301D469C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6E2A8CA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Alcohol (últimos 12 meses)</w:t>
            </w:r>
          </w:p>
        </w:tc>
        <w:tc>
          <w:tcPr>
            <w:tcW w:w="2268" w:type="dxa"/>
          </w:tcPr>
          <w:p w14:paraId="71622B5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QS208</w:t>
            </w:r>
          </w:p>
        </w:tc>
        <w:tc>
          <w:tcPr>
            <w:tcW w:w="2295" w:type="dxa"/>
          </w:tcPr>
          <w:p w14:paraId="5E26B38D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0DC3128D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2169F8F9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AE9FB62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3D5DB286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4E9682F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7F2A1D3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Alcohol (frecuencia ≥12 días/año)</w:t>
            </w:r>
          </w:p>
        </w:tc>
        <w:tc>
          <w:tcPr>
            <w:tcW w:w="2268" w:type="dxa"/>
          </w:tcPr>
          <w:p w14:paraId="0DB05DC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QS209</w:t>
            </w:r>
          </w:p>
        </w:tc>
        <w:tc>
          <w:tcPr>
            <w:tcW w:w="2295" w:type="dxa"/>
          </w:tcPr>
          <w:p w14:paraId="420AE3E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36D4EBE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5526BDC4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798120F3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69DA08D4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6C91A54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2A7E5CBA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Alcohol (últimos 30 días)</w:t>
            </w:r>
          </w:p>
        </w:tc>
        <w:tc>
          <w:tcPr>
            <w:tcW w:w="2268" w:type="dxa"/>
          </w:tcPr>
          <w:p w14:paraId="4CB80D6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QS210</w:t>
            </w:r>
          </w:p>
        </w:tc>
        <w:tc>
          <w:tcPr>
            <w:tcW w:w="2295" w:type="dxa"/>
          </w:tcPr>
          <w:p w14:paraId="4BE8283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2=No)</w:t>
            </w:r>
          </w:p>
        </w:tc>
        <w:tc>
          <w:tcPr>
            <w:tcW w:w="2099" w:type="dxa"/>
          </w:tcPr>
          <w:p w14:paraId="245B144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0294D101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4A4AE257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35DA1127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09D0CE14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2A7E7EA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Peso (insumo IMC)</w:t>
            </w:r>
          </w:p>
        </w:tc>
        <w:tc>
          <w:tcPr>
            <w:tcW w:w="2268" w:type="dxa"/>
          </w:tcPr>
          <w:p w14:paraId="51CCA427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QS900</w:t>
            </w:r>
          </w:p>
        </w:tc>
        <w:tc>
          <w:tcPr>
            <w:tcW w:w="2295" w:type="dxa"/>
          </w:tcPr>
          <w:p w14:paraId="32C258D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continua (kg)</w:t>
            </w:r>
          </w:p>
        </w:tc>
        <w:tc>
          <w:tcPr>
            <w:tcW w:w="2099" w:type="dxa"/>
          </w:tcPr>
          <w:p w14:paraId="64D60BF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57F06879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222CC89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2C0D6DF4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1A3FED61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21825D82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Talla (insumo IMC)</w:t>
            </w:r>
          </w:p>
        </w:tc>
        <w:tc>
          <w:tcPr>
            <w:tcW w:w="2268" w:type="dxa"/>
          </w:tcPr>
          <w:p w14:paraId="214A11B4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QS901</w:t>
            </w:r>
          </w:p>
        </w:tc>
        <w:tc>
          <w:tcPr>
            <w:tcW w:w="2295" w:type="dxa"/>
          </w:tcPr>
          <w:p w14:paraId="3195F930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continua (cm)</w:t>
            </w:r>
          </w:p>
        </w:tc>
        <w:tc>
          <w:tcPr>
            <w:tcW w:w="2099" w:type="dxa"/>
          </w:tcPr>
          <w:p w14:paraId="6185754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03DB05BD" w14:textId="77777777" w:rsidTr="00153C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3CE4E1B1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33B3272E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7AF2EE6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54B16F7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Diabetes/azúcar alta</w:t>
            </w:r>
          </w:p>
        </w:tc>
        <w:tc>
          <w:tcPr>
            <w:tcW w:w="2268" w:type="dxa"/>
          </w:tcPr>
          <w:p w14:paraId="360EE88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QS109</w:t>
            </w:r>
          </w:p>
        </w:tc>
        <w:tc>
          <w:tcPr>
            <w:tcW w:w="2295" w:type="dxa"/>
          </w:tcPr>
          <w:p w14:paraId="74FC3067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Nominal (1=Sí, 2=No, 8=No sabe)</w:t>
            </w:r>
          </w:p>
        </w:tc>
        <w:tc>
          <w:tcPr>
            <w:tcW w:w="2099" w:type="dxa"/>
          </w:tcPr>
          <w:p w14:paraId="09D9CEB1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de Salud ENDES (INEI)</w:t>
            </w:r>
          </w:p>
        </w:tc>
      </w:tr>
      <w:tr w:rsidR="00153CA0" w:rsidRPr="008D0ECC" w14:paraId="04AE4FAC" w14:textId="77777777" w:rsidTr="00153C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0477E84C" w14:textId="77777777" w:rsidR="00153CA0" w:rsidRPr="00153CA0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07176DC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</w:p>
        </w:tc>
        <w:tc>
          <w:tcPr>
            <w:tcW w:w="2551" w:type="dxa"/>
          </w:tcPr>
          <w:p w14:paraId="28DB0751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</w:p>
        </w:tc>
        <w:tc>
          <w:tcPr>
            <w:tcW w:w="2268" w:type="dxa"/>
          </w:tcPr>
          <w:p w14:paraId="75B485B7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Controles prenatales</w:t>
            </w:r>
          </w:p>
        </w:tc>
        <w:tc>
          <w:tcPr>
            <w:tcW w:w="2268" w:type="dxa"/>
          </w:tcPr>
          <w:p w14:paraId="297AAEC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M14</w:t>
            </w:r>
          </w:p>
        </w:tc>
        <w:tc>
          <w:tcPr>
            <w:tcW w:w="2295" w:type="dxa"/>
          </w:tcPr>
          <w:p w14:paraId="628FADF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discreta (n.º de controles)</w:t>
            </w:r>
          </w:p>
        </w:tc>
        <w:tc>
          <w:tcPr>
            <w:tcW w:w="2099" w:type="dxa"/>
          </w:tcPr>
          <w:p w14:paraId="3D125E0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Cuestionario Individual ENDES (INEI)</w:t>
            </w:r>
          </w:p>
        </w:tc>
      </w:tr>
      <w:tr w:rsidR="00153CA0" w:rsidRPr="008D0ECC" w14:paraId="6925033E" w14:textId="77777777" w:rsidTr="00C314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E332924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7BBE11A2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Dim. 2: Tratamiento del desbalance de clases (SMOTE-NC)</w:t>
            </w:r>
          </w:p>
        </w:tc>
        <w:tc>
          <w:tcPr>
            <w:tcW w:w="2551" w:type="dxa"/>
          </w:tcPr>
          <w:p w14:paraId="45B75F99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Mitigación del sesgo de clase mayoritaria mediante sobremuestreo sintético en el set de entrenamiento</w:t>
            </w:r>
          </w:p>
        </w:tc>
        <w:tc>
          <w:tcPr>
            <w:tcW w:w="2268" w:type="dxa"/>
          </w:tcPr>
          <w:p w14:paraId="26DB5237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Tasa de sobremuestreo sintético</w:t>
            </w:r>
          </w:p>
        </w:tc>
        <w:tc>
          <w:tcPr>
            <w:tcW w:w="2268" w:type="dxa"/>
          </w:tcPr>
          <w:p w14:paraId="46EDD575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Ratio N:1 (proporción de clases 0:1)</w:t>
            </w:r>
          </w:p>
        </w:tc>
        <w:tc>
          <w:tcPr>
            <w:tcW w:w="2295" w:type="dxa"/>
          </w:tcPr>
          <w:p w14:paraId="2D22BC4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proofErr w:type="gramStart"/>
            <w:r w:rsidRPr="00153CA0">
              <w:rPr>
                <w:sz w:val="15"/>
                <w:szCs w:val="15"/>
              </w:rPr>
              <w:t>Ratio numéric</w:t>
            </w:r>
            <w:r>
              <w:rPr>
                <w:sz w:val="15"/>
                <w:szCs w:val="15"/>
              </w:rPr>
              <w:t>o</w:t>
            </w:r>
            <w:proofErr w:type="gramEnd"/>
          </w:p>
        </w:tc>
        <w:tc>
          <w:tcPr>
            <w:tcW w:w="2099" w:type="dxa"/>
          </w:tcPr>
          <w:p w14:paraId="289EA4CD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Salida del pipeline de preprocesamiento (técnica: SMOTE-NC — ver Herramientas de Procesamiento, 4.9)</w:t>
            </w:r>
          </w:p>
        </w:tc>
      </w:tr>
      <w:tr w:rsidR="00153CA0" w:rsidRPr="008D0ECC" w14:paraId="5EBA2339" w14:textId="77777777" w:rsidTr="00C3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4BFA5942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5E3F1CD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Dim. 3: Eficiencia y rendimiento predictivo (Benchmark de 5 modelos)</w:t>
            </w:r>
          </w:p>
        </w:tc>
        <w:tc>
          <w:tcPr>
            <w:tcW w:w="2551" w:type="dxa"/>
          </w:tcPr>
          <w:p w14:paraId="3642DC45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Evaluación del desempeño comparativo de los 5 algoritmos evaluados (RF, XGBoost, GB, SVM, KNN)</w:t>
            </w:r>
          </w:p>
        </w:tc>
        <w:tc>
          <w:tcPr>
            <w:tcW w:w="2268" w:type="dxa"/>
          </w:tcPr>
          <w:p w14:paraId="3E090D52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AUROC, F1-Score, Recall, Precisión</w:t>
            </w:r>
          </w:p>
        </w:tc>
        <w:tc>
          <w:tcPr>
            <w:tcW w:w="2268" w:type="dxa"/>
          </w:tcPr>
          <w:p w14:paraId="7C50DCD9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Razón continua [0.0-1.0]</w:t>
            </w:r>
          </w:p>
        </w:tc>
        <w:tc>
          <w:tcPr>
            <w:tcW w:w="2295" w:type="dxa"/>
          </w:tcPr>
          <w:p w14:paraId="45357DC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Razón continua</w:t>
            </w:r>
          </w:p>
        </w:tc>
        <w:tc>
          <w:tcPr>
            <w:tcW w:w="2099" w:type="dxa"/>
          </w:tcPr>
          <w:p w14:paraId="3026E208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Salida del pipeline de evaluación (técnica: validación cruzada 5-fold — ver 4.9)</w:t>
            </w:r>
          </w:p>
        </w:tc>
      </w:tr>
      <w:tr w:rsidR="00153CA0" w:rsidRPr="008D0ECC" w14:paraId="32271A0C" w14:textId="77777777" w:rsidTr="00C3146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5E62524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092B8AFB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Dim. 4: Interpretabilidad global (TreeSHAP)</w:t>
            </w:r>
          </w:p>
        </w:tc>
        <w:tc>
          <w:tcPr>
            <w:tcW w:w="2551" w:type="dxa"/>
          </w:tcPr>
          <w:p w14:paraId="667F7BCC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Jerarquización global y sentido de contribución de los predictores en el modelo óptimo</w:t>
            </w:r>
          </w:p>
        </w:tc>
        <w:tc>
          <w:tcPr>
            <w:tcW w:w="2268" w:type="dxa"/>
          </w:tcPr>
          <w:p w14:paraId="43BD3F4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mean (|SHAP value|), dirección del impacto</w:t>
            </w:r>
          </w:p>
        </w:tc>
        <w:tc>
          <w:tcPr>
            <w:tcW w:w="2268" w:type="dxa"/>
          </w:tcPr>
          <w:p w14:paraId="4E31CF3A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Continuo real (ℝ)</w:t>
            </w:r>
          </w:p>
        </w:tc>
        <w:tc>
          <w:tcPr>
            <w:tcW w:w="2295" w:type="dxa"/>
          </w:tcPr>
          <w:p w14:paraId="67E7B9A3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Continuo real</w:t>
            </w:r>
          </w:p>
        </w:tc>
        <w:tc>
          <w:tcPr>
            <w:tcW w:w="2099" w:type="dxa"/>
          </w:tcPr>
          <w:p w14:paraId="3FC98CB0" w14:textId="77777777" w:rsidR="00153CA0" w:rsidRPr="00153CA0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Salida del pipeline de explicabilidad (técnica: TreeSHAP — ver 4.9)</w:t>
            </w:r>
          </w:p>
        </w:tc>
      </w:tr>
      <w:tr w:rsidR="00153CA0" w:rsidRPr="008D0ECC" w14:paraId="1FF4D76C" w14:textId="77777777" w:rsidTr="00C314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</w:tcPr>
          <w:p w14:paraId="211F1D98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</w:p>
        </w:tc>
        <w:tc>
          <w:tcPr>
            <w:tcW w:w="1560" w:type="dxa"/>
          </w:tcPr>
          <w:p w14:paraId="41BF24E3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5CF6FC0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Dim. 5: Atribución individual del riesgo (LIME / SHAP Waterfall)</w:t>
            </w:r>
          </w:p>
        </w:tc>
        <w:tc>
          <w:tcPr>
            <w:tcW w:w="2551" w:type="dxa"/>
          </w:tcPr>
          <w:p w14:paraId="0A301B33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729027E6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Justificación individual de predicciones en casos clínicos puntuales</w:t>
            </w:r>
          </w:p>
        </w:tc>
        <w:tc>
          <w:tcPr>
            <w:tcW w:w="2268" w:type="dxa"/>
          </w:tcPr>
          <w:p w14:paraId="1F57A17C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7FDAE07E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Coeficientes LIME, valores aditivos φᵢ</w:t>
            </w:r>
          </w:p>
        </w:tc>
        <w:tc>
          <w:tcPr>
            <w:tcW w:w="2268" w:type="dxa"/>
          </w:tcPr>
          <w:p w14:paraId="0AE348CC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4C6C79DF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Continuo real (ℝ)</w:t>
            </w:r>
          </w:p>
        </w:tc>
        <w:tc>
          <w:tcPr>
            <w:tcW w:w="2295" w:type="dxa"/>
          </w:tcPr>
          <w:p w14:paraId="788C4FF4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39E42BB7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Continuo real</w:t>
            </w:r>
          </w:p>
        </w:tc>
        <w:tc>
          <w:tcPr>
            <w:tcW w:w="2099" w:type="dxa"/>
          </w:tcPr>
          <w:p w14:paraId="016DF0DD" w14:textId="77777777" w:rsidR="00153CA0" w:rsidRPr="00153CA0" w:rsidRDefault="00153CA0" w:rsidP="00153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  <w:p w14:paraId="71BDF88B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sz w:val="15"/>
                <w:szCs w:val="15"/>
              </w:rPr>
              <w:t>Salida del pipeline de explicabilidad (técnica: LIME/SHAP — ver 4.9)</w:t>
            </w:r>
          </w:p>
        </w:tc>
      </w:tr>
      <w:tr w:rsidR="00153CA0" w:rsidRPr="008D0ECC" w14:paraId="3A997BBA" w14:textId="77777777" w:rsidTr="00153CA0">
        <w:trPr>
          <w:trHeight w:val="1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vAlign w:val="center"/>
            <w:hideMark/>
          </w:tcPr>
          <w:p w14:paraId="0EF9110C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D0ECC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VARIABLE DEPENDIENTE</w:t>
            </w:r>
            <w:r w:rsidRPr="008D0ECC">
              <w:rPr>
                <w:rFonts w:ascii="Arial" w:hAnsi="Arial" w:cs="Arial"/>
                <w:color w:val="1F1F1F"/>
                <w:sz w:val="15"/>
                <w:szCs w:val="15"/>
              </w:rPr>
              <w:br/>
            </w:r>
          </w:p>
          <w:p w14:paraId="040F9F6D" w14:textId="77777777" w:rsidR="00153CA0" w:rsidRPr="00807FEF" w:rsidRDefault="00153CA0" w:rsidP="00153CA0">
            <w:pPr>
              <w:jc w:val="center"/>
              <w:rPr>
                <w:rFonts w:ascii="Arial" w:hAnsi="Arial" w:cs="Arial"/>
                <w:b w:val="0"/>
                <w:bCs w:val="0"/>
                <w:color w:val="1F1F1F"/>
                <w:sz w:val="15"/>
                <w:szCs w:val="15"/>
              </w:rPr>
            </w:pPr>
            <w:r w:rsidRPr="00807FEF">
              <w:rPr>
                <w:rFonts w:ascii="Arial" w:hAnsi="Arial" w:cs="Arial"/>
                <w:b w:val="0"/>
                <w:bCs w:val="0"/>
                <w:color w:val="1F1F1F"/>
                <w:sz w:val="13"/>
                <w:szCs w:val="13"/>
              </w:rPr>
              <w:t>Estimación del Riesgo de Pérdida Gestacional</w:t>
            </w:r>
          </w:p>
        </w:tc>
        <w:tc>
          <w:tcPr>
            <w:tcW w:w="1560" w:type="dxa"/>
            <w:vAlign w:val="center"/>
            <w:hideMark/>
          </w:tcPr>
          <w:p w14:paraId="6663D690" w14:textId="77777777" w:rsidR="00153CA0" w:rsidRPr="008D0ECC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D0ECC"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  <w:t>Desenlace / Estado Gestacional</w:t>
            </w:r>
          </w:p>
        </w:tc>
        <w:tc>
          <w:tcPr>
            <w:tcW w:w="2551" w:type="dxa"/>
            <w:vAlign w:val="center"/>
            <w:hideMark/>
          </w:tcPr>
          <w:p w14:paraId="1F2B3479" w14:textId="77777777" w:rsidR="00153CA0" w:rsidRPr="008D0ECC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8D0ECC"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  <w:t>Ocurrencia reportada de pérdida gestacional temprana involuntaria (meses 1 a 5).</w:t>
            </w:r>
          </w:p>
        </w:tc>
        <w:tc>
          <w:tcPr>
            <w:tcW w:w="2268" w:type="dxa"/>
            <w:vAlign w:val="center"/>
            <w:hideMark/>
          </w:tcPr>
          <w:p w14:paraId="5788B77C" w14:textId="77777777" w:rsidR="00153CA0" w:rsidRPr="00014339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014339">
              <w:rPr>
                <w:rFonts w:ascii="Arial" w:hAnsi="Arial" w:cs="Arial"/>
                <w:sz w:val="15"/>
                <w:szCs w:val="15"/>
              </w:rPr>
              <w:t>Pérdida gestacional involuntaria temprana</w:t>
            </w:r>
          </w:p>
        </w:tc>
        <w:tc>
          <w:tcPr>
            <w:tcW w:w="2268" w:type="dxa"/>
            <w:vAlign w:val="center"/>
            <w:hideMark/>
          </w:tcPr>
          <w:p w14:paraId="32F3EC5C" w14:textId="77777777" w:rsidR="00153CA0" w:rsidRPr="00014339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014339">
              <w:rPr>
                <w:rFonts w:ascii="Arial" w:hAnsi="Arial" w:cs="Arial"/>
                <w:sz w:val="15"/>
                <w:szCs w:val="15"/>
              </w:rPr>
              <w:t>Target Binario (derivado de V228 y V233)</w:t>
            </w:r>
          </w:p>
        </w:tc>
        <w:tc>
          <w:tcPr>
            <w:tcW w:w="2295" w:type="dxa"/>
            <w:vAlign w:val="center"/>
            <w:hideMark/>
          </w:tcPr>
          <w:p w14:paraId="52BF56DE" w14:textId="77777777" w:rsidR="00153CA0" w:rsidRPr="0043647C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43647C">
              <w:rPr>
                <w:rFonts w:ascii="Arial" w:hAnsi="Arial" w:cs="Arial"/>
                <w:sz w:val="15"/>
                <w:szCs w:val="15"/>
              </w:rPr>
              <w:t>Nominal Dicotómica (0 = Sin pérdida, 1 = Pérdida temprana)</w:t>
            </w:r>
          </w:p>
        </w:tc>
        <w:tc>
          <w:tcPr>
            <w:tcW w:w="2099" w:type="dxa"/>
            <w:vAlign w:val="center"/>
            <w:hideMark/>
          </w:tcPr>
          <w:p w14:paraId="11746D80" w14:textId="77777777" w:rsidR="00153CA0" w:rsidRPr="0043647C" w:rsidRDefault="00153CA0" w:rsidP="00153C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</w:rPr>
            </w:pPr>
            <w:r w:rsidRPr="0043647C">
              <w:rPr>
                <w:rFonts w:ascii="Arial" w:hAnsi="Arial" w:cs="Arial"/>
                <w:sz w:val="15"/>
                <w:szCs w:val="15"/>
              </w:rPr>
              <w:t>Historial Obstétrico ENDES (INEI)</w:t>
            </w:r>
          </w:p>
        </w:tc>
      </w:tr>
      <w:tr w:rsidR="00153CA0" w:rsidRPr="008D0ECC" w14:paraId="42DF05A1" w14:textId="77777777" w:rsidTr="00692B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</w:tcPr>
          <w:p w14:paraId="2D2C5933" w14:textId="77777777" w:rsidR="00153CA0" w:rsidRPr="008D0ECC" w:rsidRDefault="00153CA0" w:rsidP="00153CA0">
            <w:pPr>
              <w:jc w:val="center"/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INSTRUMENTO DE EVALUACIÓN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br/>
            </w:r>
            <w:r w:rsidRPr="00153CA0">
              <w:rPr>
                <w:b w:val="0"/>
                <w:bCs w:val="0"/>
                <w:sz w:val="17"/>
              </w:rPr>
              <w:t>Matriz de Confusión</w:t>
            </w:r>
          </w:p>
        </w:tc>
        <w:tc>
          <w:tcPr>
            <w:tcW w:w="1560" w:type="dxa"/>
          </w:tcPr>
          <w:p w14:paraId="1966D012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1F1F1F"/>
                <w:sz w:val="15"/>
                <w:szCs w:val="15"/>
                <w:bdr w:val="none" w:sz="0" w:space="0" w:color="auto" w:frame="1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Medición del desempeño predictivo</w:t>
            </w:r>
          </w:p>
        </w:tc>
        <w:tc>
          <w:tcPr>
            <w:tcW w:w="2551" w:type="dxa"/>
          </w:tcPr>
          <w:p w14:paraId="18491483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F1F1F"/>
                <w:sz w:val="15"/>
                <w:szCs w:val="15"/>
                <w:bdr w:val="none" w:sz="0" w:space="0" w:color="auto" w:frame="1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Contraste entre predicciones del modelo y valores reales observados</w:t>
            </w:r>
          </w:p>
        </w:tc>
        <w:tc>
          <w:tcPr>
            <w:tcW w:w="2268" w:type="dxa"/>
          </w:tcPr>
          <w:p w14:paraId="46A4B47D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Recall, Precisión, F1-Score, AUC</w:t>
            </w:r>
          </w:p>
        </w:tc>
        <w:tc>
          <w:tcPr>
            <w:tcW w:w="2268" w:type="dxa"/>
          </w:tcPr>
          <w:p w14:paraId="37AD0384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TN, FP, FN, TP</w:t>
            </w:r>
          </w:p>
        </w:tc>
        <w:tc>
          <w:tcPr>
            <w:tcW w:w="2295" w:type="dxa"/>
          </w:tcPr>
          <w:p w14:paraId="036CAC35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Razón continua [0.0-1.0]</w:t>
            </w:r>
          </w:p>
        </w:tc>
        <w:tc>
          <w:tcPr>
            <w:tcW w:w="2099" w:type="dxa"/>
          </w:tcPr>
          <w:p w14:paraId="7B172B24" w14:textId="77777777" w:rsidR="00153CA0" w:rsidRPr="00153CA0" w:rsidRDefault="00153CA0" w:rsidP="00153C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15"/>
                <w:szCs w:val="15"/>
              </w:rPr>
            </w:pPr>
            <w:r w:rsidRPr="00153CA0">
              <w:rPr>
                <w:rFonts w:ascii="Arial" w:hAnsi="Arial" w:cs="Arial"/>
                <w:sz w:val="15"/>
                <w:szCs w:val="15"/>
              </w:rPr>
              <w:t>Matriz de confusión aplicada sobre el conjunto de prueba</w:t>
            </w:r>
          </w:p>
        </w:tc>
      </w:tr>
    </w:tbl>
    <w:p w14:paraId="00E7CD94" w14:textId="77777777" w:rsidR="006D0A09" w:rsidRDefault="006D0A09">
      <w:pPr>
        <w:rPr>
          <w:rFonts w:ascii="Arial" w:eastAsia="Calibri" w:hAnsi="Arial" w:cs="Arial"/>
          <w:sz w:val="22"/>
          <w:szCs w:val="22"/>
        </w:rPr>
        <w:sectPr w:rsidR="006D0A09" w:rsidSect="006D0A09"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57C6634E" w14:textId="77777777" w:rsidR="00DE15A6" w:rsidRDefault="00DE15A6">
      <w:pPr>
        <w:rPr>
          <w:rFonts w:ascii="Arial" w:eastAsia="Calibri" w:hAnsi="Arial" w:cs="Arial"/>
          <w:sz w:val="22"/>
          <w:szCs w:val="22"/>
        </w:rPr>
        <w:sectPr w:rsidR="00DE15A6" w:rsidSect="006D0A09">
          <w:type w:val="continuous"/>
          <w:pgSz w:w="16838" w:h="11906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70DC9E8C" w14:textId="77777777" w:rsidR="006D0A09" w:rsidRPr="006D0A09" w:rsidRDefault="006D0A09" w:rsidP="006D0A09">
      <w:pPr>
        <w:tabs>
          <w:tab w:val="left" w:pos="3780"/>
        </w:tabs>
        <w:rPr>
          <w:rFonts w:ascii="Arial" w:eastAsia="Calibri" w:hAnsi="Arial" w:cs="Arial"/>
          <w:sz w:val="22"/>
          <w:szCs w:val="22"/>
        </w:rPr>
      </w:pPr>
    </w:p>
    <w:p w14:paraId="5ABB45C9" w14:textId="77777777" w:rsidR="00DE15A6" w:rsidRDefault="00DE15A6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ANEXO 3 – ESTRUCTURA DE LA MATRIZ DE CONFUSIÓN</w:t>
      </w:r>
    </w:p>
    <w:p w14:paraId="3E408D4E" w14:textId="77777777" w:rsidR="00AC0CD1" w:rsidRDefault="00AC0CD1">
      <w:pPr>
        <w:rPr>
          <w:rFonts w:ascii="Arial" w:eastAsia="Calibri" w:hAnsi="Arial" w:cs="Arial"/>
          <w:sz w:val="22"/>
          <w:szCs w:val="22"/>
        </w:rPr>
      </w:pPr>
    </w:p>
    <w:p w14:paraId="5D7123A2" w14:textId="66A9D255" w:rsidR="00DE15A6" w:rsidRDefault="00DE15A6">
      <w:pPr>
        <w:rPr>
          <w:rFonts w:ascii="Arial" w:eastAsia="Calibri" w:hAnsi="Arial" w:cs="Arial"/>
          <w:sz w:val="22"/>
          <w:szCs w:val="22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02714B" w14:paraId="1636463F" w14:textId="77777777" w:rsidTr="000271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9" w:type="dxa"/>
          </w:tcPr>
          <w:p w14:paraId="5870E21B" w14:textId="77777777" w:rsidR="0002714B" w:rsidRDefault="0002714B"/>
        </w:tc>
        <w:tc>
          <w:tcPr>
            <w:tcW w:w="3009" w:type="dxa"/>
          </w:tcPr>
          <w:p w14:paraId="7D9F00FE" w14:textId="77777777" w:rsidR="000271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Predicho: Sin pérdida (0)</w:t>
            </w:r>
          </w:p>
        </w:tc>
        <w:tc>
          <w:tcPr>
            <w:tcW w:w="3009" w:type="dxa"/>
          </w:tcPr>
          <w:p w14:paraId="57F612A6" w14:textId="77777777" w:rsidR="0002714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Predicho: Con pérdida (1)</w:t>
            </w:r>
          </w:p>
        </w:tc>
      </w:tr>
      <w:tr w:rsidR="0002714B" w14:paraId="60C4623C" w14:textId="77777777" w:rsidTr="00AC0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7BAD3B5" w14:textId="77777777" w:rsidR="00AC0CD1" w:rsidRDefault="00AC0CD1">
            <w:pPr>
              <w:rPr>
                <w:b w:val="0"/>
                <w:bCs w:val="0"/>
                <w:caps w:val="0"/>
                <w:sz w:val="20"/>
              </w:rPr>
            </w:pPr>
          </w:p>
          <w:p w14:paraId="3B318D7E" w14:textId="77C9E749" w:rsidR="0002714B" w:rsidRDefault="00000000">
            <w:r>
              <w:rPr>
                <w:sz w:val="20"/>
              </w:rPr>
              <w:t>Real: Sin pérdida (0)</w:t>
            </w:r>
          </w:p>
        </w:tc>
        <w:tc>
          <w:tcPr>
            <w:tcW w:w="3009" w:type="dxa"/>
          </w:tcPr>
          <w:p w14:paraId="14B4DAFF" w14:textId="77777777" w:rsidR="00AC0CD1" w:rsidRDefault="00AC0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770DF3DC" w14:textId="2D1188AB" w:rsidR="000271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Verdadero Negativo (TN)</w:t>
            </w:r>
          </w:p>
        </w:tc>
        <w:tc>
          <w:tcPr>
            <w:tcW w:w="3009" w:type="dxa"/>
          </w:tcPr>
          <w:p w14:paraId="303C854B" w14:textId="77777777" w:rsidR="00AC0CD1" w:rsidRDefault="00AC0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6D513DFF" w14:textId="2146B28D" w:rsidR="0002714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Falso Positivo (FP)</w:t>
            </w:r>
          </w:p>
        </w:tc>
      </w:tr>
      <w:tr w:rsidR="0002714B" w14:paraId="08FD4A3D" w14:textId="77777777" w:rsidTr="00AC0CD1">
        <w:trPr>
          <w:trHeight w:val="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05B63D3" w14:textId="77777777" w:rsidR="00AC0CD1" w:rsidRDefault="00AC0CD1">
            <w:pPr>
              <w:rPr>
                <w:b w:val="0"/>
                <w:bCs w:val="0"/>
                <w:caps w:val="0"/>
                <w:sz w:val="20"/>
              </w:rPr>
            </w:pPr>
          </w:p>
          <w:p w14:paraId="68F988B6" w14:textId="755887B7" w:rsidR="0002714B" w:rsidRDefault="00000000">
            <w:r>
              <w:rPr>
                <w:sz w:val="20"/>
              </w:rPr>
              <w:t>Real: Con pérdida (1)</w:t>
            </w:r>
          </w:p>
        </w:tc>
        <w:tc>
          <w:tcPr>
            <w:tcW w:w="3009" w:type="dxa"/>
          </w:tcPr>
          <w:p w14:paraId="77A21D30" w14:textId="77777777" w:rsidR="00AC0CD1" w:rsidRDefault="00AC0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14:paraId="47FEA40E" w14:textId="79421810" w:rsidR="000271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Falso Negativo (FN)</w:t>
            </w:r>
          </w:p>
        </w:tc>
        <w:tc>
          <w:tcPr>
            <w:tcW w:w="3009" w:type="dxa"/>
          </w:tcPr>
          <w:p w14:paraId="4D9F94CB" w14:textId="77777777" w:rsidR="00AC0CD1" w:rsidRDefault="00AC0C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14:paraId="0EE8832F" w14:textId="1CD25F52" w:rsidR="0002714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Verdadero Positivo (TP)</w:t>
            </w:r>
          </w:p>
        </w:tc>
      </w:tr>
    </w:tbl>
    <w:p w14:paraId="7815C76B" w14:textId="1BF705F6" w:rsidR="00DE15A6" w:rsidRDefault="00DE15A6">
      <w:pPr>
        <w:rPr>
          <w:rFonts w:ascii="Arial" w:eastAsia="Calibri" w:hAnsi="Arial" w:cs="Arial"/>
          <w:sz w:val="22"/>
          <w:szCs w:val="22"/>
        </w:rPr>
      </w:pPr>
    </w:p>
    <w:sectPr w:rsidR="00DE15A6" w:rsidSect="00DE15A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B382F" w14:textId="77777777" w:rsidR="00BB288A" w:rsidRDefault="00BB288A" w:rsidP="00A36317">
      <w:r>
        <w:separator/>
      </w:r>
    </w:p>
  </w:endnote>
  <w:endnote w:type="continuationSeparator" w:id="0">
    <w:p w14:paraId="46A5E39D" w14:textId="77777777" w:rsidR="00BB288A" w:rsidRDefault="00BB288A" w:rsidP="00A36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D47E0" w14:textId="77777777" w:rsidR="00BB288A" w:rsidRDefault="00BB288A" w:rsidP="00A36317">
      <w:r>
        <w:separator/>
      </w:r>
    </w:p>
  </w:footnote>
  <w:footnote w:type="continuationSeparator" w:id="0">
    <w:p w14:paraId="430F75BA" w14:textId="77777777" w:rsidR="00BB288A" w:rsidRDefault="00BB288A" w:rsidP="00A36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0D2"/>
    <w:multiLevelType w:val="hybridMultilevel"/>
    <w:tmpl w:val="6660F20A"/>
    <w:lvl w:ilvl="0" w:tplc="0B94A210">
      <w:start w:val="1"/>
      <w:numFmt w:val="bullet"/>
      <w:lvlText w:val="●"/>
      <w:lvlJc w:val="left"/>
      <w:pPr>
        <w:ind w:left="720" w:hanging="360"/>
      </w:pPr>
    </w:lvl>
    <w:lvl w:ilvl="1" w:tplc="D0307E3E">
      <w:start w:val="1"/>
      <w:numFmt w:val="bullet"/>
      <w:lvlText w:val="○"/>
      <w:lvlJc w:val="left"/>
      <w:pPr>
        <w:ind w:left="1440" w:hanging="360"/>
      </w:pPr>
    </w:lvl>
    <w:lvl w:ilvl="2" w:tplc="999C5C78">
      <w:start w:val="1"/>
      <w:numFmt w:val="bullet"/>
      <w:lvlText w:val="■"/>
      <w:lvlJc w:val="left"/>
      <w:pPr>
        <w:ind w:left="2160" w:hanging="360"/>
      </w:pPr>
    </w:lvl>
    <w:lvl w:ilvl="3" w:tplc="F39EB4AC">
      <w:start w:val="1"/>
      <w:numFmt w:val="bullet"/>
      <w:lvlText w:val="●"/>
      <w:lvlJc w:val="left"/>
      <w:pPr>
        <w:ind w:left="2880" w:hanging="360"/>
      </w:pPr>
    </w:lvl>
    <w:lvl w:ilvl="4" w:tplc="A454B7C4">
      <w:start w:val="1"/>
      <w:numFmt w:val="bullet"/>
      <w:lvlText w:val="○"/>
      <w:lvlJc w:val="left"/>
      <w:pPr>
        <w:ind w:left="3600" w:hanging="360"/>
      </w:pPr>
    </w:lvl>
    <w:lvl w:ilvl="5" w:tplc="60A032FE">
      <w:start w:val="1"/>
      <w:numFmt w:val="bullet"/>
      <w:lvlText w:val="■"/>
      <w:lvlJc w:val="left"/>
      <w:pPr>
        <w:ind w:left="4320" w:hanging="360"/>
      </w:pPr>
    </w:lvl>
    <w:lvl w:ilvl="6" w:tplc="C6842EDE">
      <w:start w:val="1"/>
      <w:numFmt w:val="bullet"/>
      <w:lvlText w:val="●"/>
      <w:lvlJc w:val="left"/>
      <w:pPr>
        <w:ind w:left="5040" w:hanging="360"/>
      </w:pPr>
    </w:lvl>
    <w:lvl w:ilvl="7" w:tplc="46A6D3AA">
      <w:start w:val="1"/>
      <w:numFmt w:val="bullet"/>
      <w:lvlText w:val="●"/>
      <w:lvlJc w:val="left"/>
      <w:pPr>
        <w:ind w:left="5760" w:hanging="360"/>
      </w:pPr>
    </w:lvl>
    <w:lvl w:ilvl="8" w:tplc="D2C090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C0C45"/>
    <w:multiLevelType w:val="multilevel"/>
    <w:tmpl w:val="E9F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195855">
    <w:abstractNumId w:val="0"/>
    <w:lvlOverride w:ilvl="0">
      <w:startOverride w:val="1"/>
    </w:lvlOverride>
  </w:num>
  <w:num w:numId="2" w16cid:durableId="894657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BD"/>
    <w:rsid w:val="0002714B"/>
    <w:rsid w:val="000465BD"/>
    <w:rsid w:val="00153CA0"/>
    <w:rsid w:val="001601D2"/>
    <w:rsid w:val="003249FD"/>
    <w:rsid w:val="003301FD"/>
    <w:rsid w:val="00390F65"/>
    <w:rsid w:val="004110B4"/>
    <w:rsid w:val="00533B8F"/>
    <w:rsid w:val="0055411B"/>
    <w:rsid w:val="005A48E6"/>
    <w:rsid w:val="005C4981"/>
    <w:rsid w:val="005D2A12"/>
    <w:rsid w:val="005D60E9"/>
    <w:rsid w:val="005E27BB"/>
    <w:rsid w:val="006061B6"/>
    <w:rsid w:val="00643B32"/>
    <w:rsid w:val="006D0A09"/>
    <w:rsid w:val="006E2FB3"/>
    <w:rsid w:val="007F29C7"/>
    <w:rsid w:val="008C0DEE"/>
    <w:rsid w:val="009325D3"/>
    <w:rsid w:val="00A35924"/>
    <w:rsid w:val="00A36317"/>
    <w:rsid w:val="00A62FC6"/>
    <w:rsid w:val="00AC0CD1"/>
    <w:rsid w:val="00BB288A"/>
    <w:rsid w:val="00D25E2D"/>
    <w:rsid w:val="00DE15A6"/>
    <w:rsid w:val="00F737BD"/>
    <w:rsid w:val="00FA2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B4BFC7"/>
  <w15:docId w15:val="{3E5E1184-FB20-FA4B-BD02-EBE4A5555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6317"/>
  </w:style>
  <w:style w:type="paragraph" w:styleId="Piedepgina">
    <w:name w:val="footer"/>
    <w:basedOn w:val="Normal"/>
    <w:link w:val="PiedepginaCar"/>
    <w:uiPriority w:val="99"/>
    <w:unhideWhenUsed/>
    <w:rsid w:val="00A3631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6317"/>
  </w:style>
  <w:style w:type="character" w:styleId="Fuerte">
    <w:name w:val="Strong"/>
    <w:basedOn w:val="Fuentedeprrafopredeter"/>
    <w:uiPriority w:val="22"/>
    <w:qFormat/>
    <w:rsid w:val="009325D3"/>
    <w:rPr>
      <w:b/>
      <w:bCs/>
    </w:rPr>
  </w:style>
  <w:style w:type="character" w:customStyle="1" w:styleId="math-inline">
    <w:name w:val="math-inline"/>
    <w:basedOn w:val="Fuentedeprrafopredeter"/>
    <w:rsid w:val="009325D3"/>
  </w:style>
  <w:style w:type="character" w:styleId="CdigoHTML">
    <w:name w:val="HTML Code"/>
    <w:basedOn w:val="Fuentedeprrafopredeter"/>
    <w:uiPriority w:val="99"/>
    <w:semiHidden/>
    <w:unhideWhenUsed/>
    <w:rsid w:val="009325D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2081"/>
    <w:rPr>
      <w:sz w:val="24"/>
      <w:szCs w:val="24"/>
    </w:rPr>
  </w:style>
  <w:style w:type="table" w:styleId="Tablanormal2">
    <w:name w:val="Plain Table 2"/>
    <w:basedOn w:val="Tablanormal"/>
    <w:uiPriority w:val="42"/>
    <w:rsid w:val="00DE15A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DE15A6"/>
    <w:rPr>
      <w:color w:val="666666"/>
    </w:rPr>
  </w:style>
  <w:style w:type="table" w:styleId="Tablanormal5">
    <w:name w:val="Plain Table 5"/>
    <w:basedOn w:val="Tablanormal"/>
    <w:uiPriority w:val="45"/>
    <w:rsid w:val="006D0A09"/>
    <w:rPr>
      <w:rFonts w:asciiTheme="minorHAnsi" w:eastAsiaTheme="minorHAnsi" w:hAnsi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3">
    <w:name w:val="Plain Table 3"/>
    <w:basedOn w:val="Tablanormal"/>
    <w:uiPriority w:val="43"/>
    <w:rsid w:val="006D0A09"/>
    <w:rPr>
      <w:rFonts w:asciiTheme="minorHAnsi" w:eastAsiaTheme="minorHAnsi" w:hAnsiTheme="minorHAnsi" w:cstheme="minorBidi"/>
      <w:sz w:val="22"/>
      <w:szCs w:val="22"/>
      <w:lang w:val="es-E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/>
</file>

<file path=customXml/itemProps1.xml><?xml version="1.0" encoding="utf-8"?>
<ds:datastoreItem xmlns:ds="http://schemas.openxmlformats.org/officeDocument/2006/customXml" ds:itemID="{2D81DBF5-6A17-9A42-B3F3-7E278C18B7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2537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MICHAEL MOISES ARAGON ENCARNACI�N</cp:lastModifiedBy>
  <cp:revision>9</cp:revision>
  <dcterms:created xsi:type="dcterms:W3CDTF">2026-08-21T20:59:00Z</dcterms:created>
  <dcterms:modified xsi:type="dcterms:W3CDTF">2026-08-23T00:40:00Z</dcterms:modified>
</cp:coreProperties>
</file>