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4.10.2. Limpieza y preprocesamiento de datos</w:t>
      </w:r>
    </w:p>
    <w:p>
      <w:pPr>
        <w:jc w:val="both"/>
      </w:pPr>
      <w:r>
        <w:rPr>
          <w:b w:val="0"/>
          <w:i w:val="0"/>
        </w:rPr>
        <w:t>Antes de entrenar cualquier modelo, el dataset consolidado (29,450 registros, sección 4.10.1) pasó por un proceso de limpieza para asegurar que los datos con los que se trabaja sean consistentes y estén en el formato que cada algoritmo necesita.</w:t>
      </w:r>
    </w:p>
    <w:p>
      <w:pPr>
        <w:pStyle w:val="Heading3"/>
      </w:pPr>
      <w:r>
        <w:t>Tratamiento de valores faltantes y valores atípicos</w:t>
      </w:r>
    </w:p>
    <w:p>
      <w:pPr>
        <w:jc w:val="both"/>
      </w:pPr>
      <w:r>
        <w:rPr>
          <w:b w:val="0"/>
          <w:i w:val="0"/>
        </w:rPr>
        <w:t>El dataset final tiene valores faltantes únicamente en las variables de peso y talla (109 registros, 0.37% del total), que son la base para calcular el Índice de Masa Corporal (IMC = peso en kg / talla en metros al cuadrado). Antes de imputar nada, se revisó también si existían valores atípicos: se definió como fisiológicamente válido un IMC entre 10 y 70, y se encontraron 2 registros adicionales fuera de ese rango (probablemente errores de digitación en el peso o la talla registrados en campo), que se trataron igual que un dato faltante en lugar de un IMC real. En total, 111 registros (0.38%) quedaron con un IMC inválido tras este control. Para no perder esas filas — que sí tienen información válida en las demás variables —, se optó por imputación en vez de eliminación: los valores numéricos faltantes se reemplazan por la mediana de la variable, y los categóricos por la moda (el valor más frecuente). Se usó la mediana y no el promedio para los valores numéricos porque es más resistente a valores extremos y no se ve afectada por ellos.</w:t>
      </w:r>
    </w:p>
    <w:p>
      <w:pPr>
        <w:pStyle w:val="Heading3"/>
      </w:pPr>
      <w:r>
        <w:t>Codificación de variables cualitativas</w:t>
      </w:r>
    </w:p>
    <w:p>
      <w:pPr>
        <w:jc w:val="both"/>
      </w:pPr>
      <w:r>
        <w:rPr>
          <w:b w:val="0"/>
          <w:i w:val="0"/>
        </w:rPr>
        <w:t>De las 10 variables seleccionadas, la mayoría son numéricas u ordinales (edad, altitud, intervalo intergenésico, IMC, índice de riqueza, paridad, controles prenatales, nivel educativo, área de residencia), por lo que su orden numérico ya tiene un significado que los algoritmos pueden aprovechar directamente. La excepción es el estado civil (V501), una variable puramente nominal — sus categorías (nunca unida, casada, conviviente, separada, etc.) no tienen un orden natural entre sí. Para esta variable se aplicó One-Hot Encoding, que la convierte en varias columnas binarias (una por categoría), evitando que el modelo asuma un orden inexistente entre ellas. Esta codificación solo se aplicó a los modelos que sí son sensibles a ese supuesto de orden: KNN y SVM, que basan sus predicciones en distancias y márgenes entre puntos. Los modelos de ensamble basados en árboles (Random Forest, Gradient Boosting, XGBoost) trabajan haciendo cortes/reglas sobre cada variable por separado, así que no se ven afectados de la misma forma por usar la codificación numérica original.</w:t>
      </w:r>
    </w:p>
    <w:p>
      <w:pPr>
        <w:pStyle w:val="Heading3"/>
      </w:pPr>
      <w:r>
        <w:t>Normalización y escalado numérico</w:t>
      </w:r>
    </w:p>
    <w:p>
      <w:pPr>
        <w:jc w:val="both"/>
      </w:pPr>
      <w:r>
        <w:rPr>
          <w:b w:val="0"/>
          <w:i w:val="0"/>
        </w:rPr>
        <w:t>Por la misma razón — KNN y SVM funcionan calculando distancias o márgenes entre registros —, es importante que todas las variables numéricas estén en una escala comparable; si no, una variable con rango muy amplio (como la altitud, que va de unos pocos metros a más de 4,000 msnm) dominaría el cálculo de distancia frente a variables de rango pequeño (como la paridad, de 0 a pocos hijos), aunque ambas sean igual de relevantes. 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r>
        <w:rPr>
          <w:b/>
          <w:sz w:val="20"/>
        </w:rPr>
        <w:t>Tabla 1. Preprocesamiento aplicado según el tipo de algoritmo.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Modelo</w:t>
            </w:r>
          </w:p>
        </w:tc>
        <w:tc>
          <w:tcPr>
            <w:tcW w:type="dxa" w:w="2880"/>
          </w:tcPr>
          <w:p>
            <w:r>
              <w:rPr>
                <w:b/>
                <w:sz w:val="18"/>
              </w:rPr>
              <w:t>One-Hot Encoding (V501)</w:t>
            </w:r>
          </w:p>
        </w:tc>
        <w:tc>
          <w:tcPr>
            <w:tcW w:type="dxa" w:w="2880"/>
          </w:tcPr>
          <w:p>
            <w:r>
              <w:rPr>
                <w:b/>
                <w:sz w:val="18"/>
              </w:rPr>
              <w:t>Escalado (StandardScaler)</w:t>
            </w:r>
          </w:p>
        </w:tc>
      </w:tr>
      <w:tr>
        <w:tc>
          <w:tcPr>
            <w:tcW w:type="dxa" w:w="2880"/>
          </w:tcPr>
          <w:p>
            <w:r>
              <w:rPr>
                <w:sz w:val="18"/>
              </w:rPr>
              <w:t>Random Forest</w:t>
            </w:r>
          </w:p>
        </w:tc>
        <w:tc>
          <w:tcPr>
            <w:tcW w:type="dxa" w:w="2880"/>
          </w:tcPr>
          <w:p>
            <w:r>
              <w:rPr>
                <w:sz w:val="18"/>
              </w:rPr>
              <w:t>No aplica</w:t>
            </w:r>
          </w:p>
        </w:tc>
        <w:tc>
          <w:tcPr>
            <w:tcW w:type="dxa" w:w="2880"/>
          </w:tcPr>
          <w:p>
            <w:r>
              <w:rPr>
                <w:sz w:val="18"/>
              </w:rPr>
              <w:t>No aplica</w:t>
            </w:r>
          </w:p>
        </w:tc>
      </w:tr>
      <w:tr>
        <w:tc>
          <w:tcPr>
            <w:tcW w:type="dxa" w:w="2880"/>
          </w:tcPr>
          <w:p>
            <w:r>
              <w:rPr>
                <w:sz w:val="18"/>
              </w:rPr>
              <w:t>Gradient Boosting</w:t>
            </w:r>
          </w:p>
        </w:tc>
        <w:tc>
          <w:tcPr>
            <w:tcW w:type="dxa" w:w="2880"/>
          </w:tcPr>
          <w:p>
            <w:r>
              <w:rPr>
                <w:sz w:val="18"/>
              </w:rPr>
              <w:t>No aplica</w:t>
            </w:r>
          </w:p>
        </w:tc>
        <w:tc>
          <w:tcPr>
            <w:tcW w:type="dxa" w:w="2880"/>
          </w:tcPr>
          <w:p>
            <w:r>
              <w:rPr>
                <w:sz w:val="18"/>
              </w:rPr>
              <w:t>No aplica</w:t>
            </w:r>
          </w:p>
        </w:tc>
      </w:tr>
      <w:tr>
        <w:tc>
          <w:tcPr>
            <w:tcW w:type="dxa" w:w="2880"/>
          </w:tcPr>
          <w:p>
            <w:r>
              <w:rPr>
                <w:sz w:val="18"/>
              </w:rPr>
              <w:t>XGBoost</w:t>
            </w:r>
          </w:p>
        </w:tc>
        <w:tc>
          <w:tcPr>
            <w:tcW w:type="dxa" w:w="2880"/>
          </w:tcPr>
          <w:p>
            <w:r>
              <w:rPr>
                <w:sz w:val="18"/>
              </w:rPr>
              <w:t>No aplica</w:t>
            </w:r>
          </w:p>
        </w:tc>
        <w:tc>
          <w:tcPr>
            <w:tcW w:type="dxa" w:w="2880"/>
          </w:tcPr>
          <w:p>
            <w:r>
              <w:rPr>
                <w:sz w:val="18"/>
              </w:rPr>
              <w:t>No aplica</w:t>
            </w:r>
          </w:p>
        </w:tc>
      </w:tr>
      <w:tr>
        <w:tc>
          <w:tcPr>
            <w:tcW w:type="dxa" w:w="2880"/>
          </w:tcPr>
          <w:p>
            <w:r>
              <w:rPr>
                <w:sz w:val="18"/>
              </w:rPr>
              <w:t>KNN</w:t>
            </w:r>
          </w:p>
        </w:tc>
        <w:tc>
          <w:tcPr>
            <w:tcW w:type="dxa" w:w="2880"/>
          </w:tcPr>
          <w:p>
            <w:r>
              <w:rPr>
                <w:sz w:val="18"/>
              </w:rPr>
              <w:t>Sí</w:t>
            </w:r>
          </w:p>
        </w:tc>
        <w:tc>
          <w:tcPr>
            <w:tcW w:type="dxa" w:w="2880"/>
          </w:tcPr>
          <w:p>
            <w:r>
              <w:rPr>
                <w:sz w:val="18"/>
              </w:rPr>
              <w:t>Sí</w:t>
            </w:r>
          </w:p>
        </w:tc>
      </w:tr>
      <w:tr>
        <w:tc>
          <w:tcPr>
            <w:tcW w:type="dxa" w:w="2880"/>
          </w:tcPr>
          <w:p>
            <w:r>
              <w:rPr>
                <w:sz w:val="18"/>
              </w:rPr>
              <w:t>SVM</w:t>
            </w:r>
          </w:p>
        </w:tc>
        <w:tc>
          <w:tcPr>
            <w:tcW w:type="dxa" w:w="2880"/>
          </w:tcPr>
          <w:p>
            <w:r>
              <w:rPr>
                <w:sz w:val="18"/>
              </w:rPr>
              <w:t>Sí</w:t>
            </w:r>
          </w:p>
        </w:tc>
        <w:tc>
          <w:tcPr>
            <w:tcW w:type="dxa" w:w="2880"/>
          </w:tcPr>
          <w:p>
            <w:r>
              <w:rPr>
                <w:sz w:val="18"/>
              </w:rPr>
              <w:t>Sí</w:t>
            </w:r>
          </w:p>
        </w:tc>
      </w:tr>
    </w:tbl>
    <w:p/>
    <w:p>
      <w:pPr>
        <w:pStyle w:val="Heading3"/>
      </w:pPr>
      <w:r>
        <w:t>Estrategia de partición de datos</w:t>
      </w:r>
    </w:p>
    <w:p>
      <w:pPr>
        <w:jc w:val="both"/>
      </w:pPr>
      <w:r>
        <w:rPr>
          <w:b w:val="0"/>
          <w:i w:val="0"/>
        </w:rPr>
        <w:t>El dataset consolidado se dividió de forma estratificada en 80% para entrenamiento (23,560 registros) y 20% para prueba (5,890 registros), manteniendo en ambos subconjuntos la misma proporción real de mujeres con y sin pérdida gestacional (aproximadamente 91%/9%). Esta partición se hizo antes de cualquier otro procesamiento — antes de seleccionar variables, antes de balancear las clases y antes de entrenar — precisamente para evitar la contaminación de datos (Data Leakage): si el conjunto de prueba influyera en alguna decisión tomada durante el desarrollo del modelo (qué variables elegir, cómo balancear, qué hiperparámetros usar), el resultado final ya no mediría qué tan bien generaliza el modelo a datos nuevos, sino qué tan bien se "memorizó" ese conjunto de prueba en particular. Por eso, en todo el desarrollo posterior, el 20% de prueba se mantuvo completamente apartado hasta la evaluación final (sección 4.10.6).</w:t>
      </w:r>
    </w:p>
    <w:p>
      <w:pPr>
        <w:jc w:val="center"/>
      </w:pPr>
      <w:r>
        <w:drawing>
          <wp:inline xmlns:a="http://schemas.openxmlformats.org/drawingml/2006/main" xmlns:pic="http://schemas.openxmlformats.org/drawingml/2006/picture">
            <wp:extent cx="3240000" cy="5747143"/>
            <wp:docPr id="1" name="Picture 1"/>
            <wp:cNvGraphicFramePr>
              <a:graphicFrameLocks noChangeAspect="1"/>
            </wp:cNvGraphicFramePr>
            <a:graphic>
              <a:graphicData uri="http://schemas.openxmlformats.org/drawingml/2006/picture">
                <pic:pic>
                  <pic:nvPicPr>
                    <pic:cNvPr id="0" name="diagrama_muestra_4_6.png"/>
                    <pic:cNvPicPr/>
                  </pic:nvPicPr>
                  <pic:blipFill>
                    <a:blip r:embed="rId9"/>
                    <a:stretch>
                      <a:fillRect/>
                    </a:stretch>
                  </pic:blipFill>
                  <pic:spPr>
                    <a:xfrm>
                      <a:off x="0" y="0"/>
                      <a:ext cx="3240000" cy="5747143"/>
                    </a:xfrm>
                    <a:prstGeom prst="rect"/>
                  </pic:spPr>
                </pic:pic>
              </a:graphicData>
            </a:graphic>
          </wp:inline>
        </w:drawing>
      </w:r>
    </w:p>
    <w:p>
      <w:pPr>
        <w:jc w:val="center"/>
      </w:pPr>
      <w:r>
        <w:rPr>
          <w:i/>
          <w:sz w:val="19"/>
        </w:rPr>
        <w:t>Figura 1. Construcción de la muestra final y partición Train (80%) / Test (20%).</w:t>
      </w:r>
    </w:p>
    <w:p/>
    <w:p>
      <w:pPr>
        <w:pStyle w:val="Heading2"/>
      </w:pPr>
      <w:r>
        <w:t>4.10.3. Selección de características mediante Boruta</w:t>
      </w:r>
    </w:p>
    <w:p>
      <w:pPr>
        <w:jc w:val="both"/>
      </w:pPr>
      <w:r>
        <w:rPr>
          <w:b w:val="0"/>
          <w:i w:val="0"/>
        </w:rPr>
        <w:t>Con el conjunto de entrenamiento ya definido (80% del dataset), se aplicó el algoritmo BorutaPy —la implementación en Python del algoritmo Boruta— para decidir, de forma estadística y no subjetiva, cuáles de las 20 variables candidatas (sociodemográficas y de salud) realmente aportan información útil para predecir el riesgo de pérdida gestacional. Es importante remarcar que Boruta se ejecutó únicamente sobre el conjunto de entrenamiento, nunca sobre el de prueba, por la misma razón explicada en 4.10.2: si las variables se eligieran mirando también el conjunto de prueba, la evaluación final quedaría contaminada.</w:t>
      </w:r>
    </w:p>
    <w:p>
      <w:pPr>
        <w:pStyle w:val="Heading3"/>
      </w:pPr>
      <w:r>
        <w:t>Generación de variables sombra y cálculo de Z-Scores</w:t>
      </w:r>
    </w:p>
    <w:p>
      <w:pPr>
        <w:jc w:val="both"/>
      </w:pPr>
      <w:r>
        <w:rPr>
          <w:b w:val="0"/>
          <w:i w:val="0"/>
        </w:rPr>
        <w:t>El principio de Boruta (Kursa &amp; Rudnicki, 2010) es comparar cada variable real contra una versión "sombra" de sí misma: una copia exacta de la variable, pero con sus valores mezclados al azar entre las filas, de forma que pierda cualquier relación real con el resultado que se quiere predecir. En cada iteración, se entrena un Random Forest (Breiman, 2001) sobre el conjunto ampliado (variables reales + variables sombra) y se registra la importancia de cada una. Si una variable real logra una importancia mayor que la más alta de todas las variables sombra, se anota como un "acierto" a su favor; si nunca lo logra, se anota en su contra. Este proceso se repite muchas veces, y al final se aplica una prueba estadística binomial (parecida a una moneda al aire) para decidir si el número de aciertos de una variable es demasiado alto para ser casualidad (Kursa &amp; Rudnicki, 2010). Adicionalmente, para este trabajo se calculó un puntaje propio de estabilidad para cada variable (un Z-score, calculado como el promedio de su importancia entre las iteraciones dividido por la desviación estándar de esa misma importancia): un valor alto indica que la variable fue consistentemente importante en todas las corridas, no solo en una casualidad puntual.</w:t>
      </w:r>
    </w:p>
    <w:p>
      <w:pPr>
        <w:pStyle w:val="Heading3"/>
      </w:pPr>
      <w:r>
        <w:t>Criterio de retención y descarte de variables</w:t>
      </w:r>
    </w:p>
    <w:p>
      <w:pPr>
        <w:jc w:val="both"/>
      </w:pPr>
      <w:r>
        <w:rPr>
          <w:b w:val="0"/>
          <w:i w:val="0"/>
        </w:rPr>
        <w:t>De las 20 variables evaluadas, Boruta confirmó estadísticamente solo 4 como relevantes: V040, V222, IMC, V190 (altitud del conglomerado, intervalo intergenésico, índice de masa corporal e índice de riqueza). Las 16 variables restantes no lograron superar de forma consistente a su versión sombra, por lo que, bajo el criterio estrictamente estadístico de Boruta, se consideran ruido para este modelo en particular. Sin embargo, limitar el modelo a únicamente esas 4 variables habría dejado fuera predictores con fuerte respaldo teórico en la literatura de salud reproductiva (como la edad, el nivel educativo o la paridad), que en esta muestra no cruzaron el umbral estadístico de Boruta pero sí concentran una parte relevante de la importancia total. Por esta razón, para el entrenamiento de los modelos se usó un criterio mixto: las 10 variables de mayor importancia acumulada (que en conjunto explican el 86.1% de la importancia total calculada por el propio Random Forest interno de Boruta), combinando así la evidencia estadística con el respaldo teórico revisado en el marco teórico de esta investigación.</w:t>
      </w:r>
    </w:p>
    <w:p>
      <w:r>
        <w:rPr>
          <w:b/>
          <w:sz w:val="20"/>
        </w:rPr>
        <w:t>Tabla 2. Las 10 variables retenidas para el modelado, de un total de 20 evaluadas por Boruta.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Posicion</w:t>
            </w:r>
          </w:p>
        </w:tc>
        <w:tc>
          <w:tcPr>
            <w:tcW w:type="dxa" w:w="1440"/>
          </w:tcPr>
          <w:p>
            <w:r>
              <w:rPr>
                <w:b/>
                <w:sz w:val="17"/>
              </w:rPr>
              <w:t>Feature</w:t>
            </w:r>
          </w:p>
        </w:tc>
        <w:tc>
          <w:tcPr>
            <w:tcW w:type="dxa" w:w="1440"/>
          </w:tcPr>
          <w:p>
            <w:r>
              <w:rPr>
                <w:b/>
                <w:sz w:val="17"/>
              </w:rPr>
              <w:t>Seleccionada</w:t>
            </w:r>
          </w:p>
        </w:tc>
        <w:tc>
          <w:tcPr>
            <w:tcW w:type="dxa" w:w="1440"/>
          </w:tcPr>
          <w:p>
            <w:r>
              <w:rPr>
                <w:b/>
                <w:sz w:val="17"/>
              </w:rPr>
              <w:t>Importancia</w:t>
            </w:r>
          </w:p>
        </w:tc>
        <w:tc>
          <w:tcPr>
            <w:tcW w:type="dxa" w:w="1440"/>
          </w:tcPr>
          <w:p>
            <w:r>
              <w:rPr>
                <w:b/>
                <w:sz w:val="17"/>
              </w:rPr>
              <w:t>Importancia_acumulada_pct</w:t>
            </w:r>
          </w:p>
        </w:tc>
        <w:tc>
          <w:tcPr>
            <w:tcW w:type="dxa" w:w="1440"/>
          </w:tcPr>
          <w:p>
            <w:r>
              <w:rPr>
                <w:b/>
                <w:sz w:val="17"/>
              </w:rPr>
              <w:t>Z_Score_Estabilidad</w:t>
            </w:r>
          </w:p>
        </w:tc>
      </w:tr>
      <w:tr>
        <w:tc>
          <w:tcPr>
            <w:tcW w:type="dxa" w:w="1440"/>
          </w:tcPr>
          <w:p>
            <w:r>
              <w:rPr>
                <w:sz w:val="17"/>
              </w:rPr>
              <w:t>1</w:t>
            </w:r>
          </w:p>
        </w:tc>
        <w:tc>
          <w:tcPr>
            <w:tcW w:type="dxa" w:w="1440"/>
          </w:tcPr>
          <w:p>
            <w:r>
              <w:rPr>
                <w:sz w:val="17"/>
              </w:rPr>
              <w:t>V040</w:t>
            </w:r>
          </w:p>
        </w:tc>
        <w:tc>
          <w:tcPr>
            <w:tcW w:type="dxa" w:w="1440"/>
          </w:tcPr>
          <w:p>
            <w:r>
              <w:rPr>
                <w:sz w:val="17"/>
              </w:rPr>
              <w:t>Sí (confirmada)</w:t>
            </w:r>
          </w:p>
        </w:tc>
        <w:tc>
          <w:tcPr>
            <w:tcW w:type="dxa" w:w="1440"/>
          </w:tcPr>
          <w:p>
            <w:r>
              <w:rPr>
                <w:sz w:val="17"/>
              </w:rPr>
              <w:t>0.17</w:t>
            </w:r>
          </w:p>
        </w:tc>
        <w:tc>
          <w:tcPr>
            <w:tcW w:type="dxa" w:w="1440"/>
          </w:tcPr>
          <w:p>
            <w:r>
              <w:rPr>
                <w:sz w:val="17"/>
              </w:rPr>
              <w:t>17.0</w:t>
            </w:r>
          </w:p>
        </w:tc>
        <w:tc>
          <w:tcPr>
            <w:tcW w:type="dxa" w:w="1440"/>
          </w:tcPr>
          <w:p>
            <w:r>
              <w:rPr>
                <w:sz w:val="17"/>
              </w:rPr>
              <w:t>6.81</w:t>
            </w:r>
          </w:p>
        </w:tc>
      </w:tr>
      <w:tr>
        <w:tc>
          <w:tcPr>
            <w:tcW w:type="dxa" w:w="1440"/>
          </w:tcPr>
          <w:p>
            <w:r>
              <w:rPr>
                <w:sz w:val="17"/>
              </w:rPr>
              <w:t>2</w:t>
            </w:r>
          </w:p>
        </w:tc>
        <w:tc>
          <w:tcPr>
            <w:tcW w:type="dxa" w:w="1440"/>
          </w:tcPr>
          <w:p>
            <w:r>
              <w:rPr>
                <w:sz w:val="17"/>
              </w:rPr>
              <w:t>V222</w:t>
            </w:r>
          </w:p>
        </w:tc>
        <w:tc>
          <w:tcPr>
            <w:tcW w:type="dxa" w:w="1440"/>
          </w:tcPr>
          <w:p>
            <w:r>
              <w:rPr>
                <w:sz w:val="17"/>
              </w:rPr>
              <w:t>Sí (confirmada)</w:t>
            </w:r>
          </w:p>
        </w:tc>
        <w:tc>
          <w:tcPr>
            <w:tcW w:type="dxa" w:w="1440"/>
          </w:tcPr>
          <w:p>
            <w:r>
              <w:rPr>
                <w:sz w:val="17"/>
              </w:rPr>
              <w:t>0.148</w:t>
            </w:r>
          </w:p>
        </w:tc>
        <w:tc>
          <w:tcPr>
            <w:tcW w:type="dxa" w:w="1440"/>
          </w:tcPr>
          <w:p>
            <w:r>
              <w:rPr>
                <w:sz w:val="17"/>
              </w:rPr>
              <w:t>31.8</w:t>
            </w:r>
          </w:p>
        </w:tc>
        <w:tc>
          <w:tcPr>
            <w:tcW w:type="dxa" w:w="1440"/>
          </w:tcPr>
          <w:p>
            <w:r>
              <w:rPr>
                <w:sz w:val="17"/>
              </w:rPr>
              <w:t>11.66</w:t>
            </w:r>
          </w:p>
        </w:tc>
      </w:tr>
      <w:tr>
        <w:tc>
          <w:tcPr>
            <w:tcW w:type="dxa" w:w="1440"/>
          </w:tcPr>
          <w:p>
            <w:r>
              <w:rPr>
                <w:sz w:val="17"/>
              </w:rPr>
              <w:t>3</w:t>
            </w:r>
          </w:p>
        </w:tc>
        <w:tc>
          <w:tcPr>
            <w:tcW w:type="dxa" w:w="1440"/>
          </w:tcPr>
          <w:p>
            <w:r>
              <w:rPr>
                <w:sz w:val="17"/>
              </w:rPr>
              <w:t>IMC</w:t>
            </w:r>
          </w:p>
        </w:tc>
        <w:tc>
          <w:tcPr>
            <w:tcW w:type="dxa" w:w="1440"/>
          </w:tcPr>
          <w:p>
            <w:r>
              <w:rPr>
                <w:sz w:val="17"/>
              </w:rPr>
              <w:t>Sí (confirmada)</w:t>
            </w:r>
          </w:p>
        </w:tc>
        <w:tc>
          <w:tcPr>
            <w:tcW w:type="dxa" w:w="1440"/>
          </w:tcPr>
          <w:p>
            <w:r>
              <w:rPr>
                <w:sz w:val="17"/>
              </w:rPr>
              <w:t>0.122</w:t>
            </w:r>
          </w:p>
        </w:tc>
        <w:tc>
          <w:tcPr>
            <w:tcW w:type="dxa" w:w="1440"/>
          </w:tcPr>
          <w:p>
            <w:r>
              <w:rPr>
                <w:sz w:val="17"/>
              </w:rPr>
              <w:t>44.0</w:t>
            </w:r>
          </w:p>
        </w:tc>
        <w:tc>
          <w:tcPr>
            <w:tcW w:type="dxa" w:w="1440"/>
          </w:tcPr>
          <w:p>
            <w:r>
              <w:rPr>
                <w:sz w:val="17"/>
              </w:rPr>
              <w:t>5.44</w:t>
            </w:r>
          </w:p>
        </w:tc>
      </w:tr>
      <w:tr>
        <w:tc>
          <w:tcPr>
            <w:tcW w:type="dxa" w:w="1440"/>
          </w:tcPr>
          <w:p>
            <w:r>
              <w:rPr>
                <w:sz w:val="17"/>
              </w:rPr>
              <w:t>4</w:t>
            </w:r>
          </w:p>
        </w:tc>
        <w:tc>
          <w:tcPr>
            <w:tcW w:type="dxa" w:w="1440"/>
          </w:tcPr>
          <w:p>
            <w:r>
              <w:rPr>
                <w:sz w:val="17"/>
              </w:rPr>
              <w:t>V012</w:t>
            </w:r>
          </w:p>
        </w:tc>
        <w:tc>
          <w:tcPr>
            <w:tcW w:type="dxa" w:w="1440"/>
          </w:tcPr>
          <w:p>
            <w:r>
              <w:rPr>
                <w:sz w:val="17"/>
              </w:rPr>
              <w:t>No confirmada</w:t>
            </w:r>
          </w:p>
        </w:tc>
        <w:tc>
          <w:tcPr>
            <w:tcW w:type="dxa" w:w="1440"/>
          </w:tcPr>
          <w:p>
            <w:r>
              <w:rPr>
                <w:sz w:val="17"/>
              </w:rPr>
              <w:t>0.096</w:t>
            </w:r>
          </w:p>
        </w:tc>
        <w:tc>
          <w:tcPr>
            <w:tcW w:type="dxa" w:w="1440"/>
          </w:tcPr>
          <w:p>
            <w:r>
              <w:rPr>
                <w:sz w:val="17"/>
              </w:rPr>
              <w:t>53.6</w:t>
            </w:r>
          </w:p>
        </w:tc>
        <w:tc>
          <w:tcPr>
            <w:tcW w:type="dxa" w:w="1440"/>
          </w:tcPr>
          <w:p>
            <w:r>
              <w:rPr>
                <w:sz w:val="17"/>
              </w:rPr>
              <w:t>24.97</w:t>
            </w:r>
          </w:p>
        </w:tc>
      </w:tr>
      <w:tr>
        <w:tc>
          <w:tcPr>
            <w:tcW w:type="dxa" w:w="1440"/>
          </w:tcPr>
          <w:p>
            <w:r>
              <w:rPr>
                <w:sz w:val="17"/>
              </w:rPr>
              <w:t>5</w:t>
            </w:r>
          </w:p>
        </w:tc>
        <w:tc>
          <w:tcPr>
            <w:tcW w:type="dxa" w:w="1440"/>
          </w:tcPr>
          <w:p>
            <w:r>
              <w:rPr>
                <w:sz w:val="17"/>
              </w:rPr>
              <w:t>V190</w:t>
            </w:r>
          </w:p>
        </w:tc>
        <w:tc>
          <w:tcPr>
            <w:tcW w:type="dxa" w:w="1440"/>
          </w:tcPr>
          <w:p>
            <w:r>
              <w:rPr>
                <w:sz w:val="17"/>
              </w:rPr>
              <w:t>Sí (confirmada)</w:t>
            </w:r>
          </w:p>
        </w:tc>
        <w:tc>
          <w:tcPr>
            <w:tcW w:type="dxa" w:w="1440"/>
          </w:tcPr>
          <w:p>
            <w:r>
              <w:rPr>
                <w:sz w:val="17"/>
              </w:rPr>
              <w:t>0.087</w:t>
            </w:r>
          </w:p>
        </w:tc>
        <w:tc>
          <w:tcPr>
            <w:tcW w:type="dxa" w:w="1440"/>
          </w:tcPr>
          <w:p>
            <w:r>
              <w:rPr>
                <w:sz w:val="17"/>
              </w:rPr>
              <w:t>62.3</w:t>
            </w:r>
          </w:p>
        </w:tc>
        <w:tc>
          <w:tcPr>
            <w:tcW w:type="dxa" w:w="1440"/>
          </w:tcPr>
          <w:p>
            <w:r>
              <w:rPr>
                <w:sz w:val="17"/>
              </w:rPr>
              <w:t>4.36</w:t>
            </w:r>
          </w:p>
        </w:tc>
      </w:tr>
      <w:tr>
        <w:tc>
          <w:tcPr>
            <w:tcW w:type="dxa" w:w="1440"/>
          </w:tcPr>
          <w:p>
            <w:r>
              <w:rPr>
                <w:sz w:val="17"/>
              </w:rPr>
              <w:t>6</w:t>
            </w:r>
          </w:p>
        </w:tc>
        <w:tc>
          <w:tcPr>
            <w:tcW w:type="dxa" w:w="1440"/>
          </w:tcPr>
          <w:p>
            <w:r>
              <w:rPr>
                <w:sz w:val="17"/>
              </w:rPr>
              <w:t>M14</w:t>
            </w:r>
          </w:p>
        </w:tc>
        <w:tc>
          <w:tcPr>
            <w:tcW w:type="dxa" w:w="1440"/>
          </w:tcPr>
          <w:p>
            <w:r>
              <w:rPr>
                <w:sz w:val="17"/>
              </w:rPr>
              <w:t>No confirmada</w:t>
            </w:r>
          </w:p>
        </w:tc>
        <w:tc>
          <w:tcPr>
            <w:tcW w:type="dxa" w:w="1440"/>
          </w:tcPr>
          <w:p>
            <w:r>
              <w:rPr>
                <w:sz w:val="17"/>
              </w:rPr>
              <w:t>0.069</w:t>
            </w:r>
          </w:p>
        </w:tc>
        <w:tc>
          <w:tcPr>
            <w:tcW w:type="dxa" w:w="1440"/>
          </w:tcPr>
          <w:p>
            <w:r>
              <w:rPr>
                <w:sz w:val="17"/>
              </w:rPr>
              <w:t>69.2</w:t>
            </w:r>
          </w:p>
        </w:tc>
        <w:tc>
          <w:tcPr>
            <w:tcW w:type="dxa" w:w="1440"/>
          </w:tcPr>
          <w:p>
            <w:r>
              <w:rPr>
                <w:sz w:val="17"/>
              </w:rPr>
              <w:t>36.76</w:t>
            </w:r>
          </w:p>
        </w:tc>
      </w:tr>
      <w:tr>
        <w:tc>
          <w:tcPr>
            <w:tcW w:type="dxa" w:w="1440"/>
          </w:tcPr>
          <w:p>
            <w:r>
              <w:rPr>
                <w:sz w:val="17"/>
              </w:rPr>
              <w:t>7</w:t>
            </w:r>
          </w:p>
        </w:tc>
        <w:tc>
          <w:tcPr>
            <w:tcW w:type="dxa" w:w="1440"/>
          </w:tcPr>
          <w:p>
            <w:r>
              <w:rPr>
                <w:sz w:val="17"/>
              </w:rPr>
              <w:t>V025</w:t>
            </w:r>
          </w:p>
        </w:tc>
        <w:tc>
          <w:tcPr>
            <w:tcW w:type="dxa" w:w="1440"/>
          </w:tcPr>
          <w:p>
            <w:r>
              <w:rPr>
                <w:sz w:val="17"/>
              </w:rPr>
              <w:t>No confirmada</w:t>
            </w:r>
          </w:p>
        </w:tc>
        <w:tc>
          <w:tcPr>
            <w:tcW w:type="dxa" w:w="1440"/>
          </w:tcPr>
          <w:p>
            <w:r>
              <w:rPr>
                <w:sz w:val="17"/>
              </w:rPr>
              <w:t>0.044</w:t>
            </w:r>
          </w:p>
        </w:tc>
        <w:tc>
          <w:tcPr>
            <w:tcW w:type="dxa" w:w="1440"/>
          </w:tcPr>
          <w:p>
            <w:r>
              <w:rPr>
                <w:sz w:val="17"/>
              </w:rPr>
              <w:t>73.6</w:t>
            </w:r>
          </w:p>
        </w:tc>
        <w:tc>
          <w:tcPr>
            <w:tcW w:type="dxa" w:w="1440"/>
          </w:tcPr>
          <w:p>
            <w:r>
              <w:rPr>
                <w:sz w:val="17"/>
              </w:rPr>
              <w:t>9.26</w:t>
            </w:r>
          </w:p>
        </w:tc>
      </w:tr>
      <w:tr>
        <w:tc>
          <w:tcPr>
            <w:tcW w:type="dxa" w:w="1440"/>
          </w:tcPr>
          <w:p>
            <w:r>
              <w:rPr>
                <w:sz w:val="17"/>
              </w:rPr>
              <w:t>8</w:t>
            </w:r>
          </w:p>
        </w:tc>
        <w:tc>
          <w:tcPr>
            <w:tcW w:type="dxa" w:w="1440"/>
          </w:tcPr>
          <w:p>
            <w:r>
              <w:rPr>
                <w:sz w:val="17"/>
              </w:rPr>
              <w:t>V106</w:t>
            </w:r>
          </w:p>
        </w:tc>
        <w:tc>
          <w:tcPr>
            <w:tcW w:type="dxa" w:w="1440"/>
          </w:tcPr>
          <w:p>
            <w:r>
              <w:rPr>
                <w:sz w:val="17"/>
              </w:rPr>
              <w:t>No confirmada</w:t>
            </w:r>
          </w:p>
        </w:tc>
        <w:tc>
          <w:tcPr>
            <w:tcW w:type="dxa" w:w="1440"/>
          </w:tcPr>
          <w:p>
            <w:r>
              <w:rPr>
                <w:sz w:val="17"/>
              </w:rPr>
              <w:t>0.043</w:t>
            </w:r>
          </w:p>
        </w:tc>
        <w:tc>
          <w:tcPr>
            <w:tcW w:type="dxa" w:w="1440"/>
          </w:tcPr>
          <w:p>
            <w:r>
              <w:rPr>
                <w:sz w:val="17"/>
              </w:rPr>
              <w:t>77.9</w:t>
            </w:r>
          </w:p>
        </w:tc>
        <w:tc>
          <w:tcPr>
            <w:tcW w:type="dxa" w:w="1440"/>
          </w:tcPr>
          <w:p>
            <w:r>
              <w:rPr>
                <w:sz w:val="17"/>
              </w:rPr>
              <w:t>15.74</w:t>
            </w:r>
          </w:p>
        </w:tc>
      </w:tr>
      <w:tr>
        <w:tc>
          <w:tcPr>
            <w:tcW w:type="dxa" w:w="1440"/>
          </w:tcPr>
          <w:p>
            <w:r>
              <w:rPr>
                <w:sz w:val="17"/>
              </w:rPr>
              <w:t>9</w:t>
            </w:r>
          </w:p>
        </w:tc>
        <w:tc>
          <w:tcPr>
            <w:tcW w:type="dxa" w:w="1440"/>
          </w:tcPr>
          <w:p>
            <w:r>
              <w:rPr>
                <w:sz w:val="17"/>
              </w:rPr>
              <w:t>V201</w:t>
            </w:r>
          </w:p>
        </w:tc>
        <w:tc>
          <w:tcPr>
            <w:tcW w:type="dxa" w:w="1440"/>
          </w:tcPr>
          <w:p>
            <w:r>
              <w:rPr>
                <w:sz w:val="17"/>
              </w:rPr>
              <w:t>No confirmada</w:t>
            </w:r>
          </w:p>
        </w:tc>
        <w:tc>
          <w:tcPr>
            <w:tcW w:type="dxa" w:w="1440"/>
          </w:tcPr>
          <w:p>
            <w:r>
              <w:rPr>
                <w:sz w:val="17"/>
              </w:rPr>
              <w:t>0.041</w:t>
            </w:r>
          </w:p>
        </w:tc>
        <w:tc>
          <w:tcPr>
            <w:tcW w:type="dxa" w:w="1440"/>
          </w:tcPr>
          <w:p>
            <w:r>
              <w:rPr>
                <w:sz w:val="17"/>
              </w:rPr>
              <w:t>82.0</w:t>
            </w:r>
          </w:p>
        </w:tc>
        <w:tc>
          <w:tcPr>
            <w:tcW w:type="dxa" w:w="1440"/>
          </w:tcPr>
          <w:p>
            <w:r>
              <w:rPr>
                <w:sz w:val="17"/>
              </w:rPr>
              <w:t>17.88</w:t>
            </w:r>
          </w:p>
        </w:tc>
      </w:tr>
      <w:tr>
        <w:tc>
          <w:tcPr>
            <w:tcW w:type="dxa" w:w="1440"/>
          </w:tcPr>
          <w:p>
            <w:r>
              <w:rPr>
                <w:sz w:val="17"/>
              </w:rPr>
              <w:t>10</w:t>
            </w:r>
          </w:p>
        </w:tc>
        <w:tc>
          <w:tcPr>
            <w:tcW w:type="dxa" w:w="1440"/>
          </w:tcPr>
          <w:p>
            <w:r>
              <w:rPr>
                <w:sz w:val="17"/>
              </w:rPr>
              <w:t>V501</w:t>
            </w:r>
          </w:p>
        </w:tc>
        <w:tc>
          <w:tcPr>
            <w:tcW w:type="dxa" w:w="1440"/>
          </w:tcPr>
          <w:p>
            <w:r>
              <w:rPr>
                <w:sz w:val="17"/>
              </w:rPr>
              <w:t>No confirmada</w:t>
            </w:r>
          </w:p>
        </w:tc>
        <w:tc>
          <w:tcPr>
            <w:tcW w:type="dxa" w:w="1440"/>
          </w:tcPr>
          <w:p>
            <w:r>
              <w:rPr>
                <w:sz w:val="17"/>
              </w:rPr>
              <w:t>0.041</w:t>
            </w:r>
          </w:p>
        </w:tc>
        <w:tc>
          <w:tcPr>
            <w:tcW w:type="dxa" w:w="1440"/>
          </w:tcPr>
          <w:p>
            <w:r>
              <w:rPr>
                <w:sz w:val="17"/>
              </w:rPr>
              <w:t>86.1</w:t>
            </w:r>
          </w:p>
        </w:tc>
        <w:tc>
          <w:tcPr>
            <w:tcW w:type="dxa" w:w="1440"/>
          </w:tcPr>
          <w:p>
            <w:r>
              <w:rPr>
                <w:sz w:val="17"/>
              </w:rPr>
              <w:t>27.75</w:t>
            </w:r>
          </w:p>
        </w:tc>
      </w:tr>
    </w:tbl>
    <w:p/>
    <w:p>
      <w:pPr>
        <w:jc w:val="center"/>
      </w:pPr>
      <w:r>
        <w:drawing>
          <wp:inline xmlns:a="http://schemas.openxmlformats.org/drawingml/2006/main" xmlns:pic="http://schemas.openxmlformats.org/drawingml/2006/picture">
            <wp:extent cx="4680000" cy="3744000"/>
            <wp:docPr id="2" name="Picture 2"/>
            <wp:cNvGraphicFramePr>
              <a:graphicFrameLocks noChangeAspect="1"/>
            </wp:cNvGraphicFramePr>
            <a:graphic>
              <a:graphicData uri="http://schemas.openxmlformats.org/drawingml/2006/picture">
                <pic:pic>
                  <pic:nvPicPr>
                    <pic:cNvPr id="0" name="grafico_importancia.png"/>
                    <pic:cNvPicPr/>
                  </pic:nvPicPr>
                  <pic:blipFill>
                    <a:blip r:embed="rId10"/>
                    <a:stretch>
                      <a:fillRect/>
                    </a:stretch>
                  </pic:blipFill>
                  <pic:spPr>
                    <a:xfrm>
                      <a:off x="0" y="0"/>
                      <a:ext cx="4680000" cy="3744000"/>
                    </a:xfrm>
                    <a:prstGeom prst="rect"/>
                  </pic:spPr>
                </pic:pic>
              </a:graphicData>
            </a:graphic>
          </wp:inline>
        </w:drawing>
      </w:r>
    </w:p>
    <w:p>
      <w:pPr>
        <w:jc w:val="center"/>
      </w:pPr>
      <w:r>
        <w:rPr>
          <w:i/>
          <w:sz w:val="19"/>
        </w:rPr>
        <w:t>Figura 2. Importancia de las 20 variables candidatas según Boruta, ordenadas de mayor a menor.</w:t>
      </w:r>
    </w:p>
    <w:p/>
    <w:p>
      <w:pPr>
        <w:pStyle w:val="Heading2"/>
      </w:pPr>
      <w:r>
        <w:t>4.10.4. Tratamiento del desbalance de clases (SMOTE-NC)</w:t>
      </w:r>
    </w:p>
    <w:p>
      <w:pPr>
        <w:pStyle w:val="Heading3"/>
      </w:pPr>
      <w:r>
        <w:t>Justificación del uso de SMOTE-NC</w:t>
      </w:r>
    </w:p>
    <w:p>
      <w:pPr>
        <w:jc w:val="both"/>
      </w:pPr>
      <w:r>
        <w:rPr>
          <w:b w:val="0"/>
          <w:i w:val="0"/>
        </w:rPr>
        <w:t>Como se vio en la construcción de la muestra, solo el 9% de los registros corresponde a mujeres con pérdida gestacional; el 91% restante no reportó ninguna. Entrenar un modelo directamente sobre datos así de desbalanceados suele producir un modelo "perezoso", que aprende a predecir casi siempre la clase mayoritaria porque eso ya le basta para acertar en 9 de cada 10 casos, sin haber aprendido realmente a distinguir un perfil de riesgo. Para corregir esto se usó SMOTE-NC (Synthetic Minority Over-sampling Technique for Nominal and Continuous), la variante para datos mixtos del algoritmo SMOTE propuesto originalmente por Chawla et al. (2002), y se eligió específicamente esta variante — y no el SMOTE original — porque el conjunto de variables seleccionado en 4.10.3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 (Chawla et al., 2002).</w:t>
      </w:r>
    </w:p>
    <w:p>
      <w:pPr>
        <w:pStyle w:val="Heading3"/>
      </w:pPr>
      <w:r>
        <w:t>Aplicación únicamente sobre el conjunto de entrenamiento</w:t>
      </w:r>
    </w:p>
    <w:p>
      <w:pPr>
        <w:jc w:val="both"/>
      </w:pPr>
      <w:r>
        <w:rPr>
          <w:b w:val="0"/>
          <w:i w:val="0"/>
        </w:rP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pPr>
        <w:pStyle w:val="Heading3"/>
      </w:pPr>
      <w:r>
        <w:t>Verificación de la nueva distribución balanceada</w:t>
      </w:r>
    </w:p>
    <w:p>
      <w:r>
        <w:rPr>
          <w:b/>
          <w:sz w:val="20"/>
        </w:rPr>
        <w:t>Tabla 3. Distribución de clases en train antes/después de SMOTE-NC, y en test (siempre real, sin balancear).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Conjunto</w:t>
            </w:r>
          </w:p>
        </w:tc>
        <w:tc>
          <w:tcPr>
            <w:tcW w:type="dxa" w:w="2160"/>
          </w:tcPr>
          <w:p>
            <w:r>
              <w:rPr>
                <w:b/>
                <w:sz w:val="18"/>
              </w:rPr>
              <w:t>Clase 0 (sin pérdida)</w:t>
            </w:r>
          </w:p>
        </w:tc>
        <w:tc>
          <w:tcPr>
            <w:tcW w:type="dxa" w:w="2160"/>
          </w:tcPr>
          <w:p>
            <w:r>
              <w:rPr>
                <w:b/>
                <w:sz w:val="18"/>
              </w:rPr>
              <w:t>Clase 1 (con pérdida)</w:t>
            </w:r>
          </w:p>
        </w:tc>
        <w:tc>
          <w:tcPr>
            <w:tcW w:type="dxa" w:w="2160"/>
          </w:tcPr>
          <w:p>
            <w:r>
              <w:rPr>
                <w:b/>
                <w:sz w:val="18"/>
              </w:rPr>
              <w:t>Total</w:t>
            </w:r>
          </w:p>
        </w:tc>
      </w:tr>
      <w:tr>
        <w:tc>
          <w:tcPr>
            <w:tcW w:type="dxa" w:w="2160"/>
          </w:tcPr>
          <w:p>
            <w:r>
              <w:rPr>
                <w:sz w:val="18"/>
              </w:rPr>
              <w:t>Train, antes de SMOTE-NC</w:t>
            </w:r>
          </w:p>
        </w:tc>
        <w:tc>
          <w:tcPr>
            <w:tcW w:type="dxa" w:w="2160"/>
          </w:tcPr>
          <w:p>
            <w:r>
              <w:rPr>
                <w:sz w:val="18"/>
              </w:rPr>
              <w:t>21,451 (91.0%)</w:t>
            </w:r>
          </w:p>
        </w:tc>
        <w:tc>
          <w:tcPr>
            <w:tcW w:type="dxa" w:w="2160"/>
          </w:tcPr>
          <w:p>
            <w:r>
              <w:rPr>
                <w:sz w:val="18"/>
              </w:rPr>
              <w:t>2,109 (9.0%)</w:t>
            </w:r>
          </w:p>
        </w:tc>
        <w:tc>
          <w:tcPr>
            <w:tcW w:type="dxa" w:w="2160"/>
          </w:tcPr>
          <w:p>
            <w:r>
              <w:rPr>
                <w:sz w:val="18"/>
              </w:rPr>
              <w:t>23,560</w:t>
            </w:r>
          </w:p>
        </w:tc>
      </w:tr>
      <w:tr>
        <w:tc>
          <w:tcPr>
            <w:tcW w:type="dxa" w:w="2160"/>
          </w:tcPr>
          <w:p>
            <w:r>
              <w:rPr>
                <w:sz w:val="18"/>
              </w:rPr>
              <w:t>Train, después de SMOTE-NC</w:t>
            </w:r>
          </w:p>
        </w:tc>
        <w:tc>
          <w:tcPr>
            <w:tcW w:type="dxa" w:w="2160"/>
          </w:tcPr>
          <w:p>
            <w:r>
              <w:rPr>
                <w:sz w:val="18"/>
              </w:rPr>
              <w:t>21,451 (50%)</w:t>
            </w:r>
          </w:p>
        </w:tc>
        <w:tc>
          <w:tcPr>
            <w:tcW w:type="dxa" w:w="2160"/>
          </w:tcPr>
          <w:p>
            <w:r>
              <w:rPr>
                <w:sz w:val="18"/>
              </w:rPr>
              <w:t>21,451 (50%)</w:t>
            </w:r>
          </w:p>
        </w:tc>
        <w:tc>
          <w:tcPr>
            <w:tcW w:type="dxa" w:w="2160"/>
          </w:tcPr>
          <w:p>
            <w:r>
              <w:rPr>
                <w:sz w:val="18"/>
              </w:rPr>
              <w:t>42,902</w:t>
            </w:r>
          </w:p>
        </w:tc>
      </w:tr>
      <w:tr>
        <w:tc>
          <w:tcPr>
            <w:tcW w:type="dxa" w:w="2160"/>
          </w:tcPr>
          <w:p>
            <w:r>
              <w:rPr>
                <w:sz w:val="18"/>
              </w:rPr>
              <w:t>Test (sin modificar)</w:t>
            </w:r>
          </w:p>
        </w:tc>
        <w:tc>
          <w:tcPr>
            <w:tcW w:type="dxa" w:w="2160"/>
          </w:tcPr>
          <w:p>
            <w:r>
              <w:rPr>
                <w:sz w:val="18"/>
              </w:rPr>
              <w:t>5,363 (91.1%)</w:t>
            </w:r>
          </w:p>
        </w:tc>
        <w:tc>
          <w:tcPr>
            <w:tcW w:type="dxa" w:w="2160"/>
          </w:tcPr>
          <w:p>
            <w:r>
              <w:rPr>
                <w:sz w:val="18"/>
              </w:rPr>
              <w:t>527 (8.9%)</w:t>
            </w:r>
          </w:p>
        </w:tc>
        <w:tc>
          <w:tcPr>
            <w:tcW w:type="dxa" w:w="2160"/>
          </w:tcPr>
          <w:p>
            <w:r>
              <w:rPr>
                <w:sz w:val="18"/>
              </w:rPr>
              <w:t>5,890</w:t>
            </w:r>
          </w:p>
        </w:tc>
      </w:tr>
    </w:tbl>
    <w:p/>
    <w:p>
      <w:pPr>
        <w:jc w:val="both"/>
      </w:pPr>
      <w:r>
        <w:rPr>
          <w:b w:val="0"/>
          <w:i w:val="0"/>
        </w:rPr>
        <w:t>Para verificar que el balanceo realmente cumple su propósito, se entrenó un mismo modelo (Random Forest) sin y con SMOTE-NC, evaluando ambas versiones sobre el mismo conjunto de prueba (siempre en su proporción real). Los resultados se resumen en la Tabla 5.</w:t>
      </w:r>
    </w:p>
    <w:p>
      <w:r>
        <w:rPr>
          <w:b/>
          <w:sz w:val="20"/>
        </w:rPr>
        <w:t>Tabla 4. Comparación de un mismo modelo (Random Forest) entrenado sin y con SMOTE-NC.</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Condicion</w:t>
            </w:r>
          </w:p>
        </w:tc>
        <w:tc>
          <w:tcPr>
            <w:tcW w:type="dxa" w:w="1080"/>
          </w:tcPr>
          <w:p>
            <w:r>
              <w:rPr>
                <w:b/>
                <w:sz w:val="17"/>
              </w:rPr>
              <w:t>Accuracy</w:t>
            </w:r>
          </w:p>
        </w:tc>
        <w:tc>
          <w:tcPr>
            <w:tcW w:type="dxa" w:w="1080"/>
          </w:tcPr>
          <w:p>
            <w:r>
              <w:rPr>
                <w:b/>
                <w:sz w:val="17"/>
              </w:rPr>
              <w:t>Balanced_Accuracy</w:t>
            </w:r>
          </w:p>
        </w:tc>
        <w:tc>
          <w:tcPr>
            <w:tcW w:type="dxa" w:w="1080"/>
          </w:tcPr>
          <w:p>
            <w:r>
              <w:rPr>
                <w:b/>
                <w:sz w:val="17"/>
              </w:rPr>
              <w:t>Precision_clase1</w:t>
            </w:r>
          </w:p>
        </w:tc>
        <w:tc>
          <w:tcPr>
            <w:tcW w:type="dxa" w:w="1080"/>
          </w:tcPr>
          <w:p>
            <w:r>
              <w:rPr>
                <w:b/>
                <w:sz w:val="17"/>
              </w:rPr>
              <w:t>Recall_clase1</w:t>
            </w:r>
          </w:p>
        </w:tc>
        <w:tc>
          <w:tcPr>
            <w:tcW w:type="dxa" w:w="1080"/>
          </w:tcPr>
          <w:p>
            <w:r>
              <w:rPr>
                <w:b/>
                <w:sz w:val="17"/>
              </w:rPr>
              <w:t>F1_clase1</w:t>
            </w:r>
          </w:p>
        </w:tc>
        <w:tc>
          <w:tcPr>
            <w:tcW w:type="dxa" w:w="1080"/>
          </w:tcPr>
          <w:p>
            <w:r>
              <w:rPr>
                <w:b/>
                <w:sz w:val="17"/>
              </w:rPr>
              <w:t>AUC_ROC</w:t>
            </w:r>
          </w:p>
        </w:tc>
        <w:tc>
          <w:tcPr>
            <w:tcW w:type="dxa" w:w="1080"/>
          </w:tcPr>
          <w:p>
            <w:r>
              <w:rPr>
                <w:b/>
                <w:sz w:val="17"/>
              </w:rPr>
              <w:t>PR_AUC</w:t>
            </w:r>
          </w:p>
        </w:tc>
      </w:tr>
      <w:tr>
        <w:tc>
          <w:tcPr>
            <w:tcW w:type="dxa" w:w="1080"/>
          </w:tcPr>
          <w:p>
            <w:r>
              <w:rPr>
                <w:sz w:val="17"/>
              </w:rPr>
              <w:t>SIN SMOTE-NC</w:t>
            </w:r>
          </w:p>
        </w:tc>
        <w:tc>
          <w:tcPr>
            <w:tcW w:type="dxa" w:w="1080"/>
          </w:tcPr>
          <w:p>
            <w:r>
              <w:rPr>
                <w:sz w:val="17"/>
              </w:rPr>
              <w:t>0.911</w:t>
            </w:r>
          </w:p>
        </w:tc>
        <w:tc>
          <w:tcPr>
            <w:tcW w:type="dxa" w:w="1080"/>
          </w:tcPr>
          <w:p>
            <w:r>
              <w:rPr>
                <w:sz w:val="17"/>
              </w:rPr>
              <w:t>0.5</w:t>
            </w:r>
          </w:p>
        </w:tc>
        <w:tc>
          <w:tcPr>
            <w:tcW w:type="dxa" w:w="1080"/>
          </w:tcPr>
          <w:p>
            <w:r>
              <w:rPr>
                <w:sz w:val="17"/>
              </w:rPr>
              <w:t>0.0</w:t>
            </w:r>
          </w:p>
        </w:tc>
        <w:tc>
          <w:tcPr>
            <w:tcW w:type="dxa" w:w="1080"/>
          </w:tcPr>
          <w:p>
            <w:r>
              <w:rPr>
                <w:sz w:val="17"/>
              </w:rPr>
              <w:t>0.0</w:t>
            </w:r>
          </w:p>
        </w:tc>
        <w:tc>
          <w:tcPr>
            <w:tcW w:type="dxa" w:w="1080"/>
          </w:tcPr>
          <w:p>
            <w:r>
              <w:rPr>
                <w:sz w:val="17"/>
              </w:rPr>
              <w:t>0.0</w:t>
            </w:r>
          </w:p>
        </w:tc>
        <w:tc>
          <w:tcPr>
            <w:tcW w:type="dxa" w:w="1080"/>
          </w:tcPr>
          <w:p>
            <w:r>
              <w:rPr>
                <w:sz w:val="17"/>
              </w:rPr>
              <w:t>0.621</w:t>
            </w:r>
          </w:p>
        </w:tc>
        <w:tc>
          <w:tcPr>
            <w:tcW w:type="dxa" w:w="1080"/>
          </w:tcPr>
          <w:p>
            <w:r>
              <w:rPr>
                <w:sz w:val="17"/>
              </w:rPr>
              <w:t>0.128</w:t>
            </w:r>
          </w:p>
        </w:tc>
      </w:tr>
      <w:tr>
        <w:tc>
          <w:tcPr>
            <w:tcW w:type="dxa" w:w="1080"/>
          </w:tcPr>
          <w:p>
            <w:r>
              <w:rPr>
                <w:sz w:val="17"/>
              </w:rPr>
              <w:t>CON SMOTE-NC</w:t>
            </w:r>
          </w:p>
        </w:tc>
        <w:tc>
          <w:tcPr>
            <w:tcW w:type="dxa" w:w="1080"/>
          </w:tcPr>
          <w:p>
            <w:r>
              <w:rPr>
                <w:sz w:val="17"/>
              </w:rPr>
              <w:t>0.617</w:t>
            </w:r>
          </w:p>
        </w:tc>
        <w:tc>
          <w:tcPr>
            <w:tcW w:type="dxa" w:w="1080"/>
          </w:tcPr>
          <w:p>
            <w:r>
              <w:rPr>
                <w:sz w:val="17"/>
              </w:rPr>
              <w:t>0.556</w:t>
            </w:r>
          </w:p>
        </w:tc>
        <w:tc>
          <w:tcPr>
            <w:tcW w:type="dxa" w:w="1080"/>
          </w:tcPr>
          <w:p>
            <w:r>
              <w:rPr>
                <w:sz w:val="17"/>
              </w:rPr>
              <w:t>0.114</w:t>
            </w:r>
          </w:p>
        </w:tc>
        <w:tc>
          <w:tcPr>
            <w:tcW w:type="dxa" w:w="1080"/>
          </w:tcPr>
          <w:p>
            <w:r>
              <w:rPr>
                <w:sz w:val="17"/>
              </w:rPr>
              <w:t>0.482</w:t>
            </w:r>
          </w:p>
        </w:tc>
        <w:tc>
          <w:tcPr>
            <w:tcW w:type="dxa" w:w="1080"/>
          </w:tcPr>
          <w:p>
            <w:r>
              <w:rPr>
                <w:sz w:val="17"/>
              </w:rPr>
              <w:t>0.184</w:t>
            </w:r>
          </w:p>
        </w:tc>
        <w:tc>
          <w:tcPr>
            <w:tcW w:type="dxa" w:w="1080"/>
          </w:tcPr>
          <w:p>
            <w:r>
              <w:rPr>
                <w:sz w:val="17"/>
              </w:rPr>
              <w:t>0.597</w:t>
            </w:r>
          </w:p>
        </w:tc>
        <w:tc>
          <w:tcPr>
            <w:tcW w:type="dxa" w:w="1080"/>
          </w:tcPr>
          <w:p>
            <w:r>
              <w:rPr>
                <w:sz w:val="17"/>
              </w:rPr>
              <w:t>0.115</w:t>
            </w:r>
          </w:p>
        </w:tc>
      </w:tr>
    </w:tbl>
    <w:p/>
    <w:p>
      <w:pPr>
        <w:jc w:val="both"/>
      </w:pPr>
      <w:r>
        <w:rPr>
          <w:b w:val="0"/>
          <w:i w:val="0"/>
        </w:rPr>
        <w:t>Sin SMOTE-NC, el modelo obtiene una Exactitud (Accuracy) alta, del 91%, pero un Recall de la clase 1 de exactamente 0: no detectó ni un solo caso real de pérdida gestacional, simplemente predijo "sin pérdida" para prácticamente todos los casos — la Exactitud alta es engañosa. Con SMOTE-NC, la Exactitud baja a 61.7%, pero el Recall sube a 48.2% y el F1-Score pasa de 0 a 0.18: el modelo ahora sí logra identificar a una parte relevante de las mujeres en riesgo, que es justamente lo que se necesita en un problema de salud pública, donde no detectar un caso de riesgo (falso negativo) suele ser más costoso que una alerta de más.</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grafico_con_sin_smote.png"/>
                    <pic:cNvPicPr/>
                  </pic:nvPicPr>
                  <pic:blipFill>
                    <a:blip r:embed="rId11"/>
                    <a:stretch>
                      <a:fillRect/>
                    </a:stretch>
                  </pic:blipFill>
                  <pic:spPr>
                    <a:xfrm>
                      <a:off x="0" y="0"/>
                      <a:ext cx="4680000" cy="3342857"/>
                    </a:xfrm>
                    <a:prstGeom prst="rect"/>
                  </pic:spPr>
                </pic:pic>
              </a:graphicData>
            </a:graphic>
          </wp:inline>
        </w:drawing>
      </w:r>
    </w:p>
    <w:p>
      <w:pPr>
        <w:jc w:val="center"/>
      </w:pPr>
      <w:r>
        <w:rPr>
          <w:i/>
          <w:sz w:val="19"/>
        </w:rPr>
        <w:t>Figura 3. Comparación de métricas del modelo sin SMOTE-NC frente a con SMOTE-NC.</w:t>
      </w:r>
    </w:p>
    <w:p/>
    <w:p>
      <w:pPr>
        <w:pStyle w:val="Heading2"/>
      </w:pPr>
      <w:r>
        <w:t>4.10.5. Entrenamiento y optimización de modelos de Machine Learning</w:t>
      </w:r>
    </w:p>
    <w:p>
      <w:pPr>
        <w:pStyle w:val="Heading3"/>
      </w:pPr>
      <w:r>
        <w:t>Configuración y entrenamiento de los 5 algoritmos</w:t>
      </w:r>
    </w:p>
    <w:p>
      <w:pPr>
        <w:jc w:val="both"/>
      </w:pPr>
      <w:r>
        <w:rPr>
          <w:b w:val="0"/>
          <w:i w:val="0"/>
        </w:rPr>
        <w:t>Sobre el conjunto de entrenamiento ya balanceado, y con las 10 variables seleccionadas, se entrenaron cinco algoritmos de clasificación, agrupados en dos familias. Como modelos tradicionales: K-Nearest Neighbors (KNN) (Cover &amp; Hart, 1967), que clasifica un caso nuevo según la clase mayoritaria entre sus vecinos más cercanos, y Support Vector Machine (SVM) (Cortes &amp; Vapnik, 1995), que busca el límite (margen) que mejor separa ambas clases. Como modelos de ensamble: Random Forest (RF) (Breiman, 2001) y Gradient Boosting (GB) (Friedman, 2001), que combinan muchos árboles de decisión de formas distintas (en paralelo e independientes, en el caso de RF; de forma secuencial, donde cada árbol corrige los errores del anterior, en el caso de GB), y XGBoost (Chen &amp; Guestrin, 2016), una implementación más eficiente y regularizada del mismo principio de Gradient Boosting. Se eligieron estos cinco algoritmos porque representan enfoques realmente distintos entre sí (distancia, margen, y dos variantes de ensambles de árboles), lo que permite una comparación más rica que si solo se probaran variantes de una misma familia.</w:t>
      </w:r>
    </w:p>
    <w:p>
      <w:pPr>
        <w:pStyle w:val="Heading3"/>
      </w:pPr>
      <w:r>
        <w:t>Esquema de validación cruzada (Stratified k-Fold, k=5)</w:t>
      </w:r>
    </w:p>
    <w:p>
      <w:pPr>
        <w:jc w:val="both"/>
      </w:pPr>
      <w:r>
        <w:rPr>
          <w:b w:val="0"/>
          <w:i w:val="0"/>
        </w:rPr>
        <w:t>Para confirmar que el desempeño de cada modelo no depende de una sola partición particular de los datos, se aplicó una validación cruzada estratificada de 5 particiones (Stratified k-Fold, k=5) sobre el conjunto de entrenamiento (Kohavi, 1995). En este esquema, el conjunto de entrenamiento se divide en 5 partes iguales, manteniendo en cada una la misma proporción de clases; en cada una de las 5 vueltas, 4 partes se usan para entrenar y la parte restante para validar, rotando en cada vuelta cuál es la parte de validación, de modo que al final cada registro fue usado exactamente una vez para validar. El balanceo con SMOTE-NC se recalculó de forma independiente dentro de la porción de entrenamiento de cada vuelta — nunca sobre la porción que en esa vuelta actúa como validación —, para evitar que información sintética "se filtre" hacia los datos con los que se mide el desempeño. Los resultados de las 5 vueltas se promediaron, reportando también su desviación estándar para ver qué tan estable es cada modelo.</w:t>
      </w:r>
    </w:p>
    <w:p>
      <w:r>
        <w:rPr>
          <w:b/>
          <w:sz w:val="20"/>
        </w:rPr>
        <w:t>Tabla 5. Resultados promedio (± desviación estándar) de la validación cruzada de 5 particiones, ordenados por F1-Score de la clase minoritaria.</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Posicion</w:t>
            </w:r>
          </w:p>
        </w:tc>
        <w:tc>
          <w:tcPr>
            <w:tcW w:type="dxa" w:w="1080"/>
          </w:tcPr>
          <w:p>
            <w:r>
              <w:rPr>
                <w:b/>
                <w:sz w:val="17"/>
              </w:rPr>
              <w:t>Modelo</w:t>
            </w:r>
          </w:p>
        </w:tc>
        <w:tc>
          <w:tcPr>
            <w:tcW w:type="dxa" w:w="1080"/>
          </w:tcPr>
          <w:p>
            <w:r>
              <w:rPr>
                <w:b/>
                <w:sz w:val="17"/>
              </w:rPr>
              <w:t>F1_clase1_mean</w:t>
            </w:r>
          </w:p>
        </w:tc>
        <w:tc>
          <w:tcPr>
            <w:tcW w:type="dxa" w:w="1080"/>
          </w:tcPr>
          <w:p>
            <w:r>
              <w:rPr>
                <w:b/>
                <w:sz w:val="17"/>
              </w:rPr>
              <w:t>F1_clase1_std</w:t>
            </w:r>
          </w:p>
        </w:tc>
        <w:tc>
          <w:tcPr>
            <w:tcW w:type="dxa" w:w="1080"/>
          </w:tcPr>
          <w:p>
            <w:r>
              <w:rPr>
                <w:b/>
                <w:sz w:val="17"/>
              </w:rPr>
              <w:t>Recall_clase1_mean</w:t>
            </w:r>
          </w:p>
        </w:tc>
        <w:tc>
          <w:tcPr>
            <w:tcW w:type="dxa" w:w="1080"/>
          </w:tcPr>
          <w:p>
            <w:r>
              <w:rPr>
                <w:b/>
                <w:sz w:val="17"/>
              </w:rPr>
              <w:t>Precision_clase1_mean</w:t>
            </w:r>
          </w:p>
        </w:tc>
        <w:tc>
          <w:tcPr>
            <w:tcW w:type="dxa" w:w="1080"/>
          </w:tcPr>
          <w:p>
            <w:r>
              <w:rPr>
                <w:b/>
                <w:sz w:val="17"/>
              </w:rPr>
              <w:t>AUC_ROC_mean</w:t>
            </w:r>
          </w:p>
        </w:tc>
        <w:tc>
          <w:tcPr>
            <w:tcW w:type="dxa" w:w="1080"/>
          </w:tcPr>
          <w:p>
            <w:r>
              <w:rPr>
                <w:b/>
                <w:sz w:val="17"/>
              </w:rPr>
              <w:t>AUC_ROC_std</w:t>
            </w:r>
          </w:p>
        </w:tc>
      </w:tr>
      <w:tr>
        <w:tc>
          <w:tcPr>
            <w:tcW w:type="dxa" w:w="1080"/>
          </w:tcPr>
          <w:p>
            <w:r>
              <w:rPr>
                <w:sz w:val="17"/>
              </w:rPr>
              <w:t>1</w:t>
            </w:r>
          </w:p>
        </w:tc>
        <w:tc>
          <w:tcPr>
            <w:tcW w:type="dxa" w:w="1080"/>
          </w:tcPr>
          <w:p>
            <w:r>
              <w:rPr>
                <w:sz w:val="17"/>
              </w:rPr>
              <w:t>Gradient Boosting</w:t>
            </w:r>
          </w:p>
        </w:tc>
        <w:tc>
          <w:tcPr>
            <w:tcW w:type="dxa" w:w="1080"/>
          </w:tcPr>
          <w:p>
            <w:r>
              <w:rPr>
                <w:sz w:val="17"/>
              </w:rPr>
              <w:t>0.1935</w:t>
            </w:r>
          </w:p>
        </w:tc>
        <w:tc>
          <w:tcPr>
            <w:tcW w:type="dxa" w:w="1080"/>
          </w:tcPr>
          <w:p>
            <w:r>
              <w:rPr>
                <w:sz w:val="17"/>
              </w:rPr>
              <w:t>0.008</w:t>
            </w:r>
          </w:p>
        </w:tc>
        <w:tc>
          <w:tcPr>
            <w:tcW w:type="dxa" w:w="1080"/>
          </w:tcPr>
          <w:p>
            <w:r>
              <w:rPr>
                <w:sz w:val="17"/>
              </w:rPr>
              <w:t>0.4871</w:t>
            </w:r>
          </w:p>
        </w:tc>
        <w:tc>
          <w:tcPr>
            <w:tcW w:type="dxa" w:w="1080"/>
          </w:tcPr>
          <w:p>
            <w:r>
              <w:rPr>
                <w:sz w:val="17"/>
              </w:rPr>
              <w:t>0.1208</w:t>
            </w:r>
          </w:p>
        </w:tc>
        <w:tc>
          <w:tcPr>
            <w:tcW w:type="dxa" w:w="1080"/>
          </w:tcPr>
          <w:p>
            <w:r>
              <w:rPr>
                <w:sz w:val="17"/>
              </w:rPr>
              <w:t>0.6054</w:t>
            </w:r>
          </w:p>
        </w:tc>
        <w:tc>
          <w:tcPr>
            <w:tcW w:type="dxa" w:w="1080"/>
          </w:tcPr>
          <w:p>
            <w:r>
              <w:rPr>
                <w:sz w:val="17"/>
              </w:rPr>
              <w:t>0.0093</w:t>
            </w:r>
          </w:p>
        </w:tc>
      </w:tr>
      <w:tr>
        <w:tc>
          <w:tcPr>
            <w:tcW w:type="dxa" w:w="1080"/>
          </w:tcPr>
          <w:p>
            <w:r>
              <w:rPr>
                <w:sz w:val="17"/>
              </w:rPr>
              <w:t>2</w:t>
            </w:r>
          </w:p>
        </w:tc>
        <w:tc>
          <w:tcPr>
            <w:tcW w:type="dxa" w:w="1080"/>
          </w:tcPr>
          <w:p>
            <w:r>
              <w:rPr>
                <w:sz w:val="17"/>
              </w:rPr>
              <w:t>SVM</w:t>
            </w:r>
          </w:p>
        </w:tc>
        <w:tc>
          <w:tcPr>
            <w:tcW w:type="dxa" w:w="1080"/>
          </w:tcPr>
          <w:p>
            <w:r>
              <w:rPr>
                <w:sz w:val="17"/>
              </w:rPr>
              <w:t>0.1932</w:t>
            </w:r>
          </w:p>
        </w:tc>
        <w:tc>
          <w:tcPr>
            <w:tcW w:type="dxa" w:w="1080"/>
          </w:tcPr>
          <w:p>
            <w:r>
              <w:rPr>
                <w:sz w:val="17"/>
              </w:rPr>
              <w:t>0.0057</w:t>
            </w:r>
          </w:p>
        </w:tc>
        <w:tc>
          <w:tcPr>
            <w:tcW w:type="dxa" w:w="1080"/>
          </w:tcPr>
          <w:p>
            <w:r>
              <w:rPr>
                <w:sz w:val="17"/>
              </w:rPr>
              <w:t>0.5061</w:t>
            </w:r>
          </w:p>
        </w:tc>
        <w:tc>
          <w:tcPr>
            <w:tcW w:type="dxa" w:w="1080"/>
          </w:tcPr>
          <w:p>
            <w:r>
              <w:rPr>
                <w:sz w:val="17"/>
              </w:rPr>
              <w:t>0.1194</w:t>
            </w:r>
          </w:p>
        </w:tc>
        <w:tc>
          <w:tcPr>
            <w:tcW w:type="dxa" w:w="1080"/>
          </w:tcPr>
          <w:p>
            <w:r>
              <w:rPr>
                <w:sz w:val="17"/>
              </w:rPr>
              <w:t>0.5954</w:t>
            </w:r>
          </w:p>
        </w:tc>
        <w:tc>
          <w:tcPr>
            <w:tcW w:type="dxa" w:w="1080"/>
          </w:tcPr>
          <w:p>
            <w:r>
              <w:rPr>
                <w:sz w:val="17"/>
              </w:rPr>
              <w:t>0.0106</w:t>
            </w:r>
          </w:p>
        </w:tc>
      </w:tr>
      <w:tr>
        <w:tc>
          <w:tcPr>
            <w:tcW w:type="dxa" w:w="1080"/>
          </w:tcPr>
          <w:p>
            <w:r>
              <w:rPr>
                <w:sz w:val="17"/>
              </w:rPr>
              <w:t>3</w:t>
            </w:r>
          </w:p>
        </w:tc>
        <w:tc>
          <w:tcPr>
            <w:tcW w:type="dxa" w:w="1080"/>
          </w:tcPr>
          <w:p>
            <w:r>
              <w:rPr>
                <w:sz w:val="17"/>
              </w:rPr>
              <w:t>Random Forest</w:t>
            </w:r>
          </w:p>
        </w:tc>
        <w:tc>
          <w:tcPr>
            <w:tcW w:type="dxa" w:w="1080"/>
          </w:tcPr>
          <w:p>
            <w:r>
              <w:rPr>
                <w:sz w:val="17"/>
              </w:rPr>
              <w:t>0.1919</w:t>
            </w:r>
          </w:p>
        </w:tc>
        <w:tc>
          <w:tcPr>
            <w:tcW w:type="dxa" w:w="1080"/>
          </w:tcPr>
          <w:p>
            <w:r>
              <w:rPr>
                <w:sz w:val="17"/>
              </w:rPr>
              <w:t>0.0061</w:t>
            </w:r>
          </w:p>
        </w:tc>
        <w:tc>
          <w:tcPr>
            <w:tcW w:type="dxa" w:w="1080"/>
          </w:tcPr>
          <w:p>
            <w:r>
              <w:rPr>
                <w:sz w:val="17"/>
              </w:rPr>
              <w:t>0.5262</w:t>
            </w:r>
          </w:p>
        </w:tc>
        <w:tc>
          <w:tcPr>
            <w:tcW w:type="dxa" w:w="1080"/>
          </w:tcPr>
          <w:p>
            <w:r>
              <w:rPr>
                <w:sz w:val="17"/>
              </w:rPr>
              <w:t>0.1174</w:t>
            </w:r>
          </w:p>
        </w:tc>
        <w:tc>
          <w:tcPr>
            <w:tcW w:type="dxa" w:w="1080"/>
          </w:tcPr>
          <w:p>
            <w:r>
              <w:rPr>
                <w:sz w:val="17"/>
              </w:rPr>
              <w:t>0.6002</w:t>
            </w:r>
          </w:p>
        </w:tc>
        <w:tc>
          <w:tcPr>
            <w:tcW w:type="dxa" w:w="1080"/>
          </w:tcPr>
          <w:p>
            <w:r>
              <w:rPr>
                <w:sz w:val="17"/>
              </w:rPr>
              <w:t>0.0081</w:t>
            </w:r>
          </w:p>
        </w:tc>
      </w:tr>
      <w:tr>
        <w:tc>
          <w:tcPr>
            <w:tcW w:type="dxa" w:w="1080"/>
          </w:tcPr>
          <w:p>
            <w:r>
              <w:rPr>
                <w:sz w:val="17"/>
              </w:rPr>
              <w:t>4</w:t>
            </w:r>
          </w:p>
        </w:tc>
        <w:tc>
          <w:tcPr>
            <w:tcW w:type="dxa" w:w="1080"/>
          </w:tcPr>
          <w:p>
            <w:r>
              <w:rPr>
                <w:sz w:val="17"/>
              </w:rPr>
              <w:t>XGBoost</w:t>
            </w:r>
          </w:p>
        </w:tc>
        <w:tc>
          <w:tcPr>
            <w:tcW w:type="dxa" w:w="1080"/>
          </w:tcPr>
          <w:p>
            <w:r>
              <w:rPr>
                <w:sz w:val="17"/>
              </w:rPr>
              <w:t>0.1905</w:t>
            </w:r>
          </w:p>
        </w:tc>
        <w:tc>
          <w:tcPr>
            <w:tcW w:type="dxa" w:w="1080"/>
          </w:tcPr>
          <w:p>
            <w:r>
              <w:rPr>
                <w:sz w:val="17"/>
              </w:rPr>
              <w:t>0.0096</w:t>
            </w:r>
          </w:p>
        </w:tc>
        <w:tc>
          <w:tcPr>
            <w:tcW w:type="dxa" w:w="1080"/>
          </w:tcPr>
          <w:p>
            <w:r>
              <w:rPr>
                <w:sz w:val="17"/>
              </w:rPr>
              <w:t>0.4742</w:t>
            </w:r>
          </w:p>
        </w:tc>
        <w:tc>
          <w:tcPr>
            <w:tcW w:type="dxa" w:w="1080"/>
          </w:tcPr>
          <w:p>
            <w:r>
              <w:rPr>
                <w:sz w:val="17"/>
              </w:rPr>
              <w:t>0.1192</w:t>
            </w:r>
          </w:p>
        </w:tc>
        <w:tc>
          <w:tcPr>
            <w:tcW w:type="dxa" w:w="1080"/>
          </w:tcPr>
          <w:p>
            <w:r>
              <w:rPr>
                <w:sz w:val="17"/>
              </w:rPr>
              <w:t>0.6041</w:t>
            </w:r>
          </w:p>
        </w:tc>
        <w:tc>
          <w:tcPr>
            <w:tcW w:type="dxa" w:w="1080"/>
          </w:tcPr>
          <w:p>
            <w:r>
              <w:rPr>
                <w:sz w:val="17"/>
              </w:rPr>
              <w:t>0.009</w:t>
            </w:r>
          </w:p>
        </w:tc>
      </w:tr>
      <w:tr>
        <w:tc>
          <w:tcPr>
            <w:tcW w:type="dxa" w:w="1080"/>
          </w:tcPr>
          <w:p>
            <w:r>
              <w:rPr>
                <w:sz w:val="17"/>
              </w:rPr>
              <w:t>5</w:t>
            </w:r>
          </w:p>
        </w:tc>
        <w:tc>
          <w:tcPr>
            <w:tcW w:type="dxa" w:w="1080"/>
          </w:tcPr>
          <w:p>
            <w:r>
              <w:rPr>
                <w:sz w:val="17"/>
              </w:rPr>
              <w:t>KNN</w:t>
            </w:r>
          </w:p>
        </w:tc>
        <w:tc>
          <w:tcPr>
            <w:tcW w:type="dxa" w:w="1080"/>
          </w:tcPr>
          <w:p>
            <w:r>
              <w:rPr>
                <w:sz w:val="17"/>
              </w:rPr>
              <w:t>0.1833</w:t>
            </w:r>
          </w:p>
        </w:tc>
        <w:tc>
          <w:tcPr>
            <w:tcW w:type="dxa" w:w="1080"/>
          </w:tcPr>
          <w:p>
            <w:r>
              <w:rPr>
                <w:sz w:val="17"/>
              </w:rPr>
              <w:t>0.0062</w:t>
            </w:r>
          </w:p>
        </w:tc>
        <w:tc>
          <w:tcPr>
            <w:tcW w:type="dxa" w:w="1080"/>
          </w:tcPr>
          <w:p>
            <w:r>
              <w:rPr>
                <w:sz w:val="17"/>
              </w:rPr>
              <w:t>0.4765</w:t>
            </w:r>
          </w:p>
        </w:tc>
        <w:tc>
          <w:tcPr>
            <w:tcW w:type="dxa" w:w="1080"/>
          </w:tcPr>
          <w:p>
            <w:r>
              <w:rPr>
                <w:sz w:val="17"/>
              </w:rPr>
              <w:t>0.1135</w:t>
            </w:r>
          </w:p>
        </w:tc>
        <w:tc>
          <w:tcPr>
            <w:tcW w:type="dxa" w:w="1080"/>
          </w:tcPr>
          <w:p>
            <w:r>
              <w:rPr>
                <w:sz w:val="17"/>
              </w:rPr>
              <w:t>0.5859</w:t>
            </w:r>
          </w:p>
        </w:tc>
        <w:tc>
          <w:tcPr>
            <w:tcW w:type="dxa" w:w="1080"/>
          </w:tcPr>
          <w:p>
            <w:r>
              <w:rPr>
                <w:sz w:val="17"/>
              </w:rPr>
              <w:t>0.0092</w:t>
            </w:r>
          </w:p>
        </w:tc>
      </w:tr>
    </w:tbl>
    <w:p/>
    <w:p>
      <w:pPr>
        <w:jc w:val="center"/>
      </w:pPr>
      <w:r>
        <w:drawing>
          <wp:inline xmlns:a="http://schemas.openxmlformats.org/drawingml/2006/main" xmlns:pic="http://schemas.openxmlformats.org/drawingml/2006/picture">
            <wp:extent cx="4680000" cy="2600000"/>
            <wp:docPr id="4" name="Picture 4"/>
            <wp:cNvGraphicFramePr>
              <a:graphicFrameLocks noChangeAspect="1"/>
            </wp:cNvGraphicFramePr>
            <a:graphic>
              <a:graphicData uri="http://schemas.openxmlformats.org/drawingml/2006/picture">
                <pic:pic>
                  <pic:nvPicPr>
                    <pic:cNvPr id="0" name="grafico_kfold.png"/>
                    <pic:cNvPicPr/>
                  </pic:nvPicPr>
                  <pic:blipFill>
                    <a:blip r:embed="rId12"/>
                    <a:stretch>
                      <a:fillRect/>
                    </a:stretch>
                  </pic:blipFill>
                  <pic:spPr>
                    <a:xfrm>
                      <a:off x="0" y="0"/>
                      <a:ext cx="4680000" cy="2600000"/>
                    </a:xfrm>
                    <a:prstGeom prst="rect"/>
                  </pic:spPr>
                </pic:pic>
              </a:graphicData>
            </a:graphic>
          </wp:inline>
        </w:drawing>
      </w:r>
    </w:p>
    <w:p>
      <w:pPr>
        <w:jc w:val="center"/>
      </w:pPr>
      <w:r>
        <w:rPr>
          <w:i/>
          <w:sz w:val="19"/>
        </w:rPr>
        <w:t>Figura 4. F1-Score y AUC-ROC promedio (con barras de error) de los 5 modelos, validación cruzada 5-fold.</w:t>
      </w:r>
    </w:p>
    <w:p/>
    <w:p>
      <w:pPr>
        <w:pStyle w:val="Heading3"/>
      </w:pPr>
      <w:r>
        <w:t>Optimización de hiperparámetros</w:t>
      </w:r>
    </w:p>
    <w:p>
      <w:pPr>
        <w:jc w:val="both"/>
      </w:pPr>
      <w:r>
        <w:rPr>
          <w:b w:val="0"/>
          <w:i w:val="0"/>
        </w:rPr>
        <w:t>Para la búsqueda de hiperparámetros no se usaron directamente las clases GridSearchCV o RandomizedSearchCV de Scikit-learn, sino una implementación propia con el mismo principio de random search descrito por Bergstra y Bengio (2012) — muestrear al azar varias combinaciones de hiperparámetros dentro de un rango razonable, en vez de probar absolutamente todas las combinaciones posibles como hace la búsqueda en malla (grid search). Bergstra y Bengio (2012) mostraron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 mismo objetivo que RandomizedSearchCV, con una fracción de su costo computacional.</w:t>
      </w:r>
    </w:p>
    <w:p>
      <w:pPr>
        <w:jc w:val="both"/>
      </w:pPr>
      <w:r>
        <w:rPr>
          <w:b w:val="0"/>
          <w:i w:val="0"/>
        </w:rP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r>
        <w:rPr>
          <w:b/>
          <w:sz w:val="20"/>
        </w:rPr>
        <w:t>Tabla 6. Hiperparámetros y umbral de decisión óptimos encontrados para cada modelo.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Modelo</w:t>
            </w:r>
          </w:p>
        </w:tc>
        <w:tc>
          <w:tcPr>
            <w:tcW w:type="dxa" w:w="2160"/>
          </w:tcPr>
          <w:p>
            <w:r>
              <w:rPr>
                <w:b/>
                <w:sz w:val="16"/>
              </w:rPr>
              <w:t>Mejores hiperparámetros</w:t>
            </w:r>
          </w:p>
        </w:tc>
        <w:tc>
          <w:tcPr>
            <w:tcW w:type="dxa" w:w="2160"/>
          </w:tcPr>
          <w:p>
            <w:r>
              <w:rPr>
                <w:b/>
                <w:sz w:val="16"/>
              </w:rPr>
              <w:t>Umbral óptimo</w:t>
            </w:r>
          </w:p>
        </w:tc>
        <w:tc>
          <w:tcPr>
            <w:tcW w:type="dxa" w:w="2160"/>
          </w:tcPr>
          <w:p>
            <w:r>
              <w:rPr>
                <w:b/>
                <w:sz w:val="16"/>
              </w:rPr>
              <w:t>AUC-ROC</w:t>
            </w:r>
          </w:p>
        </w:tc>
      </w:tr>
      <w:tr>
        <w:tc>
          <w:tcPr>
            <w:tcW w:type="dxa" w:w="2160"/>
          </w:tcPr>
          <w:p>
            <w:r>
              <w:rPr>
                <w:sz w:val="16"/>
              </w:rPr>
              <w:t>Random Forest</w:t>
            </w:r>
          </w:p>
        </w:tc>
        <w:tc>
          <w:tcPr>
            <w:tcW w:type="dxa" w:w="2160"/>
          </w:tcPr>
          <w:p>
            <w:r>
              <w:rPr>
                <w:sz w:val="16"/>
              </w:rPr>
              <w:t>{'n_estimators': 100, 'min_samples_leaf': 1, 'max_depth': 8}</w:t>
            </w:r>
          </w:p>
        </w:tc>
        <w:tc>
          <w:tcPr>
            <w:tcW w:type="dxa" w:w="2160"/>
          </w:tcPr>
          <w:p>
            <w:r>
              <w:rPr>
                <w:sz w:val="16"/>
              </w:rPr>
              <w:t>0.4947</w:t>
            </w:r>
          </w:p>
        </w:tc>
        <w:tc>
          <w:tcPr>
            <w:tcW w:type="dxa" w:w="2160"/>
          </w:tcPr>
          <w:p>
            <w:r>
              <w:rPr>
                <w:sz w:val="16"/>
              </w:rPr>
              <w:t>0.5994</w:t>
            </w:r>
          </w:p>
        </w:tc>
      </w:tr>
      <w:tr>
        <w:tc>
          <w:tcPr>
            <w:tcW w:type="dxa" w:w="2160"/>
          </w:tcPr>
          <w:p>
            <w:r>
              <w:rPr>
                <w:sz w:val="16"/>
              </w:rPr>
              <w:t>SVM</w:t>
            </w:r>
          </w:p>
        </w:tc>
        <w:tc>
          <w:tcPr>
            <w:tcW w:type="dxa" w:w="2160"/>
          </w:tcPr>
          <w:p>
            <w:r>
              <w:rPr>
                <w:sz w:val="16"/>
              </w:rPr>
              <w:t>{'gamma': 'scale', 'C': 0.5}</w:t>
            </w:r>
          </w:p>
        </w:tc>
        <w:tc>
          <w:tcPr>
            <w:tcW w:type="dxa" w:w="2160"/>
          </w:tcPr>
          <w:p>
            <w:r>
              <w:rPr>
                <w:sz w:val="16"/>
              </w:rPr>
              <w:t>0.5523</w:t>
            </w:r>
          </w:p>
        </w:tc>
        <w:tc>
          <w:tcPr>
            <w:tcW w:type="dxa" w:w="2160"/>
          </w:tcPr>
          <w:p>
            <w:r>
              <w:rPr>
                <w:sz w:val="16"/>
              </w:rPr>
              <w:t>0.5992</w:t>
            </w:r>
          </w:p>
        </w:tc>
      </w:tr>
      <w:tr>
        <w:tc>
          <w:tcPr>
            <w:tcW w:type="dxa" w:w="2160"/>
          </w:tcPr>
          <w:p>
            <w:r>
              <w:rPr>
                <w:sz w:val="16"/>
              </w:rPr>
              <w:t>XGBoost</w:t>
            </w:r>
          </w:p>
        </w:tc>
        <w:tc>
          <w:tcPr>
            <w:tcW w:type="dxa" w:w="2160"/>
          </w:tcPr>
          <w:p>
            <w:r>
              <w:rPr>
                <w:sz w:val="16"/>
              </w:rPr>
              <w:t>{'n_estimators': 300, 'max_depth': 3, 'learning_rate': 0.05}</w:t>
            </w:r>
          </w:p>
        </w:tc>
        <w:tc>
          <w:tcPr>
            <w:tcW w:type="dxa" w:w="2160"/>
          </w:tcPr>
          <w:p>
            <w:r>
              <w:rPr>
                <w:sz w:val="16"/>
              </w:rPr>
              <w:t>0.4544</w:t>
            </w:r>
          </w:p>
        </w:tc>
        <w:tc>
          <w:tcPr>
            <w:tcW w:type="dxa" w:w="2160"/>
          </w:tcPr>
          <w:p>
            <w:r>
              <w:rPr>
                <w:sz w:val="16"/>
              </w:rPr>
              <w:t>0.6032</w:t>
            </w:r>
          </w:p>
        </w:tc>
      </w:tr>
      <w:tr>
        <w:tc>
          <w:tcPr>
            <w:tcW w:type="dxa" w:w="2160"/>
          </w:tcPr>
          <w:p>
            <w:r>
              <w:rPr>
                <w:sz w:val="16"/>
              </w:rPr>
              <w:t>Gradient Boosting</w:t>
            </w:r>
          </w:p>
        </w:tc>
        <w:tc>
          <w:tcPr>
            <w:tcW w:type="dxa" w:w="2160"/>
          </w:tcPr>
          <w:p>
            <w:r>
              <w:rPr>
                <w:sz w:val="16"/>
              </w:rPr>
              <w:t>{'n_estimators': 200, 'max_depth': 3, 'learning_rate': 0.05}</w:t>
            </w:r>
          </w:p>
        </w:tc>
        <w:tc>
          <w:tcPr>
            <w:tcW w:type="dxa" w:w="2160"/>
          </w:tcPr>
          <w:p>
            <w:r>
              <w:rPr>
                <w:sz w:val="16"/>
              </w:rPr>
              <w:t>0.5181</w:t>
            </w:r>
          </w:p>
        </w:tc>
        <w:tc>
          <w:tcPr>
            <w:tcW w:type="dxa" w:w="2160"/>
          </w:tcPr>
          <w:p>
            <w:r>
              <w:rPr>
                <w:sz w:val="16"/>
              </w:rPr>
              <w:t>0.6047</w:t>
            </w:r>
          </w:p>
        </w:tc>
      </w:tr>
      <w:tr>
        <w:tc>
          <w:tcPr>
            <w:tcW w:type="dxa" w:w="2160"/>
          </w:tcPr>
          <w:p>
            <w:r>
              <w:rPr>
                <w:sz w:val="16"/>
              </w:rPr>
              <w:t>KNN</w:t>
            </w:r>
          </w:p>
        </w:tc>
        <w:tc>
          <w:tcPr>
            <w:tcW w:type="dxa" w:w="2160"/>
          </w:tcPr>
          <w:p>
            <w:r>
              <w:rPr>
                <w:sz w:val="16"/>
              </w:rPr>
              <w:t>{'weights': 'uniform', 'n_neighbors': 15}</w:t>
            </w:r>
          </w:p>
        </w:tc>
        <w:tc>
          <w:tcPr>
            <w:tcW w:type="dxa" w:w="2160"/>
          </w:tcPr>
          <w:p>
            <w:r>
              <w:rPr>
                <w:sz w:val="16"/>
              </w:rPr>
              <w:t>0.4667</w:t>
            </w:r>
          </w:p>
        </w:tc>
        <w:tc>
          <w:tcPr>
            <w:tcW w:type="dxa" w:w="2160"/>
          </w:tcPr>
          <w:p>
            <w:r>
              <w:rPr>
                <w:sz w:val="16"/>
              </w:rPr>
              <w:t>0.5836</w:t>
            </w:r>
          </w:p>
        </w:tc>
      </w:tr>
    </w:tbl>
    <w:p/>
    <w:p>
      <w:pPr>
        <w:jc w:val="center"/>
      </w:pPr>
      <w:r>
        <w:drawing>
          <wp:inline xmlns:a="http://schemas.openxmlformats.org/drawingml/2006/main" xmlns:pic="http://schemas.openxmlformats.org/drawingml/2006/picture">
            <wp:extent cx="4680000" cy="2600000"/>
            <wp:docPr id="5" name="Picture 5"/>
            <wp:cNvGraphicFramePr>
              <a:graphicFrameLocks noChangeAspect="1"/>
            </wp:cNvGraphicFramePr>
            <a:graphic>
              <a:graphicData uri="http://schemas.openxmlformats.org/drawingml/2006/picture">
                <pic:pic>
                  <pic:nvPicPr>
                    <pic:cNvPr id="0" name="grafico_comparacion_optimizado.png"/>
                    <pic:cNvPicPr/>
                  </pic:nvPicPr>
                  <pic:blipFill>
                    <a:blip r:embed="rId13"/>
                    <a:stretch>
                      <a:fillRect/>
                    </a:stretch>
                  </pic:blipFill>
                  <pic:spPr>
                    <a:xfrm>
                      <a:off x="0" y="0"/>
                      <a:ext cx="4680000" cy="2600000"/>
                    </a:xfrm>
                    <a:prstGeom prst="rect"/>
                  </pic:spPr>
                </pic:pic>
              </a:graphicData>
            </a:graphic>
          </wp:inline>
        </w:drawing>
      </w:r>
    </w:p>
    <w:p>
      <w:pPr>
        <w:jc w:val="center"/>
      </w:pPr>
      <w:r>
        <w:rPr>
          <w:i/>
          <w:sz w:val="19"/>
        </w:rPr>
        <w:t>Figura 5. Comparación de los 5 modelos ya optimizados, evaluados con su umbral óptimo respectivo.</w:t>
      </w:r>
    </w:p>
    <w:p/>
    <w:p>
      <w:pPr>
        <w:pStyle w:val="Heading2"/>
      </w:pPr>
      <w:r>
        <w:t>4.10.6. Evaluación y selección del modelo óptimo</w:t>
      </w:r>
    </w:p>
    <w:p>
      <w:pPr>
        <w:pStyle w:val="Heading3"/>
      </w:pPr>
      <w:r>
        <w:t>Evaluación sobre el conjunto de prueba independiente</w:t>
      </w:r>
    </w:p>
    <w:p>
      <w:pPr>
        <w:jc w:val="both"/>
      </w:pPr>
      <w:r>
        <w:rPr>
          <w:b w:val="0"/>
          <w:i w:val="0"/>
        </w:rPr>
        <w:t>La evaluación final de los 5 modelos, ya optimizados, se realizó sobre el 20% de prueba que se apartó desde el inicio del pipeline (sección 4.10.2)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pPr>
        <w:pStyle w:val="Heading3"/>
      </w:pPr>
      <w:r>
        <w:t>Registro y comparación de métricas clínicas y computacionales</w:t>
      </w:r>
    </w:p>
    <w:p>
      <w:pPr>
        <w:jc w:val="both"/>
      </w:pPr>
      <w:r>
        <w:rPr>
          <w:b w:val="0"/>
          <w:i w:val="0"/>
        </w:rPr>
        <w:t>Se registraron y compararon varias métricas porque cada una responde una pregunta distinta sobre el desempeño del modelo. El AUROC (área bajo la curva ROC) mide la capacidad del modelo para separar ambas clases, sin importar el punto de corte usado; el F1-Score resume en un solo número el equilibrio entre Precisión y Sensibilidad; la Sensibilidad (Recall) responde "de todas las mujeres que sí tuvieron una pérdida, a cuántas detectó el modelo" — la métrica clínicamente más sensible, ya que un caso de riesgo no detectado (falso negativo) suele ser más costoso que una alerta de más; y la Precisión responde "de las mujeres que el modelo marcó como riesgo, a cuántas acertó".</w:t>
      </w:r>
    </w:p>
    <w:p>
      <w:pPr>
        <w:jc w:val="both"/>
      </w:pPr>
      <w:r>
        <w:rPr>
          <w:i/>
          <w:sz w:val="19"/>
        </w:rPr>
        <w:t>Nota metodológica: la métrica PR-AUC (área bajo la curva Precisión-Recall), que Saito y Rehmsmeier (2015) recomiendan como complemento más informativo que el AUROC en problemas con desbalance de clases tan marcado como este (solo 9% de la clase positiva), se calculó específicamente durante la validación del efecto de SMOTE-NC (Tabla 5, sección 4.10.4: 0.128 sin SMOTE-NC vs. 0.115 con SMOTE-NC, sobre un Random Forest base), pero no se recalculó de forma sistemática para los 5 modelos ya optimizados de esta sección. Si se requiere para el documento final, es un cálculo adicional que se puede generar sobre los mismos modelos ya entrenados.</w:t>
      </w:r>
    </w:p>
    <w:p>
      <w:pPr>
        <w:jc w:val="both"/>
      </w:pPr>
      <w:r>
        <w:rPr>
          <w:b w:val="0"/>
          <w:i w:val="0"/>
        </w:rPr>
        <w:t>Considerando en conjunto los resultados de la validación cruzada (Tabla 6) y la evaluación sobre el conjunto de prueba, el modelo con mejor desempeño general fue Gradient Boosting: obtuvo el F1-Score promedio más alto en la validación cruzada (0.1935 ± 0.0080) y, junto con XGBoost, uno de los valores de AUC-ROC más altos y estables (0.6054 ± 0.0093).</w:t>
      </w:r>
    </w:p>
    <w:p>
      <w:pPr>
        <w:pStyle w:val="Heading3"/>
      </w:pPr>
      <w:r>
        <w:t>Matriz de confusión y análisis de falsos negativos</w:t>
      </w:r>
    </w:p>
    <w:p>
      <w:r>
        <w:rPr>
          <w:b/>
          <w:sz w:val="20"/>
        </w:rPr>
        <w:t>Tabla 7. Matriz de confusión acumulada (5-fold) del modelo Gradient Boosting.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Predicho: Sin pérdida (0)</w:t>
            </w:r>
          </w:p>
        </w:tc>
        <w:tc>
          <w:tcPr>
            <w:tcW w:type="dxa" w:w="2880"/>
          </w:tcPr>
          <w:p>
            <w:r>
              <w:rPr>
                <w:b/>
                <w:sz w:val="18"/>
              </w:rPr>
              <w:t>Predicho: Con pérdida (1)</w:t>
            </w:r>
          </w:p>
        </w:tc>
      </w:tr>
      <w:tr>
        <w:tc>
          <w:tcPr>
            <w:tcW w:type="dxa" w:w="2880"/>
          </w:tcPr>
          <w:p>
            <w:r>
              <w:rPr>
                <w:sz w:val="18"/>
              </w:rPr>
              <w:t>Real: Sin pérdida (0)</w:t>
            </w:r>
          </w:p>
        </w:tc>
        <w:tc>
          <w:tcPr>
            <w:tcW w:type="dxa" w:w="2880"/>
          </w:tcPr>
          <w:p>
            <w:r>
              <w:rPr>
                <w:sz w:val="18"/>
              </w:rPr>
              <w:t>17,472 (VN)</w:t>
            </w:r>
          </w:p>
        </w:tc>
        <w:tc>
          <w:tcPr>
            <w:tcW w:type="dxa" w:w="2880"/>
          </w:tcPr>
          <w:p>
            <w:r>
              <w:rPr>
                <w:sz w:val="18"/>
              </w:rPr>
              <w:t>9,342 (FP)</w:t>
            </w:r>
          </w:p>
        </w:tc>
      </w:tr>
      <w:tr>
        <w:tc>
          <w:tcPr>
            <w:tcW w:type="dxa" w:w="2880"/>
          </w:tcPr>
          <w:p>
            <w:r>
              <w:rPr>
                <w:sz w:val="18"/>
              </w:rPr>
              <w:t>Real: Con pérdida (1)</w:t>
            </w:r>
          </w:p>
        </w:tc>
        <w:tc>
          <w:tcPr>
            <w:tcW w:type="dxa" w:w="2880"/>
          </w:tcPr>
          <w:p>
            <w:r>
              <w:rPr>
                <w:sz w:val="18"/>
              </w:rPr>
              <w:t>1,352 (FN)</w:t>
            </w:r>
          </w:p>
        </w:tc>
        <w:tc>
          <w:tcPr>
            <w:tcW w:type="dxa" w:w="2880"/>
          </w:tcPr>
          <w:p>
            <w:r>
              <w:rPr>
                <w:sz w:val="18"/>
              </w:rPr>
              <w:t>1,284 (VP)</w:t>
            </w:r>
          </w:p>
        </w:tc>
      </w:tr>
    </w:tbl>
    <w:p/>
    <w:p>
      <w:pPr>
        <w:jc w:val="center"/>
      </w:pPr>
      <w:r>
        <w:drawing>
          <wp:inline xmlns:a="http://schemas.openxmlformats.org/drawingml/2006/main" xmlns:pic="http://schemas.openxmlformats.org/drawingml/2006/picture">
            <wp:extent cx="3240000" cy="2916000"/>
            <wp:docPr id="6" name="Picture 6"/>
            <wp:cNvGraphicFramePr>
              <a:graphicFrameLocks noChangeAspect="1"/>
            </wp:cNvGraphicFramePr>
            <a:graphic>
              <a:graphicData uri="http://schemas.openxmlformats.org/drawingml/2006/picture">
                <pic:pic>
                  <pic:nvPicPr>
                    <pic:cNvPr id="0" name="matriz_confusion_mejor_modelo.png"/>
                    <pic:cNvPicPr/>
                  </pic:nvPicPr>
                  <pic:blipFill>
                    <a:blip r:embed="rId14"/>
                    <a:stretch>
                      <a:fillRect/>
                    </a:stretch>
                  </pic:blipFill>
                  <pic:spPr>
                    <a:xfrm>
                      <a:off x="0" y="0"/>
                      <a:ext cx="3240000" cy="2916000"/>
                    </a:xfrm>
                    <a:prstGeom prst="rect"/>
                  </pic:spPr>
                </pic:pic>
              </a:graphicData>
            </a:graphic>
          </wp:inline>
        </w:drawing>
      </w:r>
    </w:p>
    <w:p>
      <w:pPr>
        <w:jc w:val="center"/>
      </w:pPr>
      <w:r>
        <w:rPr>
          <w:i/>
          <w:sz w:val="19"/>
        </w:rPr>
        <w:t>Figura 6. Matriz de confusión acumulada del mejor modelo (Gradient Boosting), validación cruzada 5-fold.</w:t>
      </w:r>
    </w:p>
    <w:p/>
    <w:p>
      <w:pPr>
        <w:jc w:val="both"/>
      </w:pPr>
      <w:r>
        <w:rPr>
          <w:b w:val="0"/>
          <w:i w:val="0"/>
        </w:rPr>
        <w:t>De los 2,636 casos reales de pérdida gestacional en el conjunto evaluado, el modelo detectó correctamente 1,284 (Recall ≈ 48.7%) y no detectó 1,352 (51.3%): estos 1,352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0.58 y 0.61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pPr>
        <w:pStyle w:val="Heading2"/>
      </w:pPr>
      <w:r>
        <w:t>4.10.7. Implementación de Inteligencia Artificial Explicable (XAI)</w:t>
      </w:r>
    </w:p>
    <w:p>
      <w:pPr>
        <w:jc w:val="both"/>
      </w:pPr>
      <w:r>
        <w:rPr>
          <w:b w:val="0"/>
          <w:i w:val="0"/>
        </w:rPr>
        <w:t>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seleccionado en 4.10.6 (Gradient Boosting) se aplicaron dos niveles de explicabilidad: uno global, que explica el comportamiento general del modelo, y uno local, que explica una predicción individual concreta.</w:t>
      </w:r>
    </w:p>
    <w:p>
      <w:pPr>
        <w:pStyle w:val="Heading3"/>
      </w:pPr>
      <w:r>
        <w:t>Explicabilidad Global: TreeSHAP</w:t>
      </w:r>
    </w:p>
    <w:p>
      <w:pPr>
        <w:jc w:val="both"/>
      </w:pPr>
      <w:r>
        <w:rPr>
          <w:b w:val="0"/>
          <w:i w:val="0"/>
        </w:rPr>
        <w:t>Para la explicabilidad global se usó TreeSHAP (Lundberg et al., 2020), una variante del método SHAP (SHapley Additive exPlanations), propuesto originalmente por Lundberg y Lee (2017), optimizada específicamente para modelos basados en árboles. Su lógica viene de la teoría de juegos cooperativos (valores de Shapley): a cada variable se le calcula cuánto "aporta", en promedio, a alejar la predicción del valor base (la predicción promedio del modelo) para cada caso del conjunto de prueba. Promediando el valor absoluto de ese aporte sobre todos los casos, se obtiene un ranking de qué variables mueven más la predicción del modelo en general.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r>
        <w:rPr>
          <w:b/>
          <w:sz w:val="20"/>
        </w:rPr>
        <w:t>Tabla 8. Importancia global de las 10 variables del modelo, según el valor absoluto medio de SHAP.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Posicion</w:t>
            </w:r>
          </w:p>
        </w:tc>
        <w:tc>
          <w:tcPr>
            <w:tcW w:type="dxa" w:w="1728"/>
          </w:tcPr>
          <w:p>
            <w:r>
              <w:rPr>
                <w:b/>
                <w:sz w:val="17"/>
              </w:rPr>
              <w:t>Feature</w:t>
            </w:r>
          </w:p>
        </w:tc>
        <w:tc>
          <w:tcPr>
            <w:tcW w:type="dxa" w:w="1728"/>
          </w:tcPr>
          <w:p>
            <w:r>
              <w:rPr>
                <w:b/>
                <w:sz w:val="17"/>
              </w:rPr>
              <w:t>Mean_Abs_SHAP</w:t>
            </w:r>
          </w:p>
        </w:tc>
        <w:tc>
          <w:tcPr>
            <w:tcW w:type="dxa" w:w="1728"/>
          </w:tcPr>
          <w:p>
            <w:r>
              <w:rPr>
                <w:b/>
                <w:sz w:val="17"/>
              </w:rPr>
              <w:t>Dimension</w:t>
            </w:r>
          </w:p>
        </w:tc>
        <w:tc>
          <w:tcPr>
            <w:tcW w:type="dxa" w:w="1728"/>
          </w:tcPr>
          <w:p>
            <w:r>
              <w:rPr>
                <w:b/>
                <w:sz w:val="17"/>
              </w:rPr>
              <w:t>Importancia_pct</w:t>
            </w:r>
          </w:p>
        </w:tc>
      </w:tr>
      <w:tr>
        <w:tc>
          <w:tcPr>
            <w:tcW w:type="dxa" w:w="1728"/>
          </w:tcPr>
          <w:p>
            <w:r>
              <w:rPr>
                <w:sz w:val="17"/>
              </w:rPr>
              <w:t>1</w:t>
            </w:r>
          </w:p>
        </w:tc>
        <w:tc>
          <w:tcPr>
            <w:tcW w:type="dxa" w:w="1728"/>
          </w:tcPr>
          <w:p>
            <w:r>
              <w:rPr>
                <w:sz w:val="17"/>
              </w:rPr>
              <w:t>V025</w:t>
            </w:r>
          </w:p>
        </w:tc>
        <w:tc>
          <w:tcPr>
            <w:tcW w:type="dxa" w:w="1728"/>
          </w:tcPr>
          <w:p>
            <w:r>
              <w:rPr>
                <w:sz w:val="17"/>
              </w:rPr>
              <w:t>0.0835</w:t>
            </w:r>
          </w:p>
        </w:tc>
        <w:tc>
          <w:tcPr>
            <w:tcW w:type="dxa" w:w="1728"/>
          </w:tcPr>
          <w:p>
            <w:r>
              <w:rPr>
                <w:sz w:val="17"/>
              </w:rPr>
              <w:t>Sociodemografico</w:t>
            </w:r>
          </w:p>
        </w:tc>
        <w:tc>
          <w:tcPr>
            <w:tcW w:type="dxa" w:w="1728"/>
          </w:tcPr>
          <w:p>
            <w:r>
              <w:rPr>
                <w:sz w:val="17"/>
              </w:rPr>
              <w:t>24.2</w:t>
            </w:r>
          </w:p>
        </w:tc>
      </w:tr>
      <w:tr>
        <w:tc>
          <w:tcPr>
            <w:tcW w:type="dxa" w:w="1728"/>
          </w:tcPr>
          <w:p>
            <w:r>
              <w:rPr>
                <w:sz w:val="17"/>
              </w:rPr>
              <w:t>2</w:t>
            </w:r>
          </w:p>
        </w:tc>
        <w:tc>
          <w:tcPr>
            <w:tcW w:type="dxa" w:w="1728"/>
          </w:tcPr>
          <w:p>
            <w:r>
              <w:rPr>
                <w:sz w:val="17"/>
              </w:rPr>
              <w:t>V201</w:t>
            </w:r>
          </w:p>
        </w:tc>
        <w:tc>
          <w:tcPr>
            <w:tcW w:type="dxa" w:w="1728"/>
          </w:tcPr>
          <w:p>
            <w:r>
              <w:rPr>
                <w:sz w:val="17"/>
              </w:rPr>
              <w:t>0.0586</w:t>
            </w:r>
          </w:p>
        </w:tc>
        <w:tc>
          <w:tcPr>
            <w:tcW w:type="dxa" w:w="1728"/>
          </w:tcPr>
          <w:p>
            <w:r>
              <w:rPr>
                <w:sz w:val="17"/>
              </w:rPr>
              <w:t>Salud</w:t>
            </w:r>
          </w:p>
        </w:tc>
        <w:tc>
          <w:tcPr>
            <w:tcW w:type="dxa" w:w="1728"/>
          </w:tcPr>
          <w:p>
            <w:r>
              <w:rPr>
                <w:sz w:val="17"/>
              </w:rPr>
              <w:t>17.0</w:t>
            </w:r>
          </w:p>
        </w:tc>
      </w:tr>
      <w:tr>
        <w:tc>
          <w:tcPr>
            <w:tcW w:type="dxa" w:w="1728"/>
          </w:tcPr>
          <w:p>
            <w:r>
              <w:rPr>
                <w:sz w:val="17"/>
              </w:rPr>
              <w:t>3</w:t>
            </w:r>
          </w:p>
        </w:tc>
        <w:tc>
          <w:tcPr>
            <w:tcW w:type="dxa" w:w="1728"/>
          </w:tcPr>
          <w:p>
            <w:r>
              <w:rPr>
                <w:sz w:val="17"/>
              </w:rPr>
              <w:t>V501</w:t>
            </w:r>
          </w:p>
        </w:tc>
        <w:tc>
          <w:tcPr>
            <w:tcW w:type="dxa" w:w="1728"/>
          </w:tcPr>
          <w:p>
            <w:r>
              <w:rPr>
                <w:sz w:val="17"/>
              </w:rPr>
              <w:t>0.0444</w:t>
            </w:r>
          </w:p>
        </w:tc>
        <w:tc>
          <w:tcPr>
            <w:tcW w:type="dxa" w:w="1728"/>
          </w:tcPr>
          <w:p>
            <w:r>
              <w:rPr>
                <w:sz w:val="17"/>
              </w:rPr>
              <w:t>Sociodemografico</w:t>
            </w:r>
          </w:p>
        </w:tc>
        <w:tc>
          <w:tcPr>
            <w:tcW w:type="dxa" w:w="1728"/>
          </w:tcPr>
          <w:p>
            <w:r>
              <w:rPr>
                <w:sz w:val="17"/>
              </w:rPr>
              <w:t>12.9</w:t>
            </w:r>
          </w:p>
        </w:tc>
      </w:tr>
      <w:tr>
        <w:tc>
          <w:tcPr>
            <w:tcW w:type="dxa" w:w="1728"/>
          </w:tcPr>
          <w:p>
            <w:r>
              <w:rPr>
                <w:sz w:val="17"/>
              </w:rPr>
              <w:t>4</w:t>
            </w:r>
          </w:p>
        </w:tc>
        <w:tc>
          <w:tcPr>
            <w:tcW w:type="dxa" w:w="1728"/>
          </w:tcPr>
          <w:p>
            <w:r>
              <w:rPr>
                <w:sz w:val="17"/>
              </w:rPr>
              <w:t>V106</w:t>
            </w:r>
          </w:p>
        </w:tc>
        <w:tc>
          <w:tcPr>
            <w:tcW w:type="dxa" w:w="1728"/>
          </w:tcPr>
          <w:p>
            <w:r>
              <w:rPr>
                <w:sz w:val="17"/>
              </w:rPr>
              <w:t>0.0372</w:t>
            </w:r>
          </w:p>
        </w:tc>
        <w:tc>
          <w:tcPr>
            <w:tcW w:type="dxa" w:w="1728"/>
          </w:tcPr>
          <w:p>
            <w:r>
              <w:rPr>
                <w:sz w:val="17"/>
              </w:rPr>
              <w:t>Sociodemografico</w:t>
            </w:r>
          </w:p>
        </w:tc>
        <w:tc>
          <w:tcPr>
            <w:tcW w:type="dxa" w:w="1728"/>
          </w:tcPr>
          <w:p>
            <w:r>
              <w:rPr>
                <w:sz w:val="17"/>
              </w:rPr>
              <w:t>10.8</w:t>
            </w:r>
          </w:p>
        </w:tc>
      </w:tr>
      <w:tr>
        <w:tc>
          <w:tcPr>
            <w:tcW w:type="dxa" w:w="1728"/>
          </w:tcPr>
          <w:p>
            <w:r>
              <w:rPr>
                <w:sz w:val="17"/>
              </w:rPr>
              <w:t>5</w:t>
            </w:r>
          </w:p>
        </w:tc>
        <w:tc>
          <w:tcPr>
            <w:tcW w:type="dxa" w:w="1728"/>
          </w:tcPr>
          <w:p>
            <w:r>
              <w:rPr>
                <w:sz w:val="17"/>
              </w:rPr>
              <w:t>V222</w:t>
            </w:r>
          </w:p>
        </w:tc>
        <w:tc>
          <w:tcPr>
            <w:tcW w:type="dxa" w:w="1728"/>
          </w:tcPr>
          <w:p>
            <w:r>
              <w:rPr>
                <w:sz w:val="17"/>
              </w:rPr>
              <w:t>0.0354</w:t>
            </w:r>
          </w:p>
        </w:tc>
        <w:tc>
          <w:tcPr>
            <w:tcW w:type="dxa" w:w="1728"/>
          </w:tcPr>
          <w:p>
            <w:r>
              <w:rPr>
                <w:sz w:val="17"/>
              </w:rPr>
              <w:t>Salud</w:t>
            </w:r>
          </w:p>
        </w:tc>
        <w:tc>
          <w:tcPr>
            <w:tcW w:type="dxa" w:w="1728"/>
          </w:tcPr>
          <w:p>
            <w:r>
              <w:rPr>
                <w:sz w:val="17"/>
              </w:rPr>
              <w:t>10.3</w:t>
            </w:r>
          </w:p>
        </w:tc>
      </w:tr>
      <w:tr>
        <w:tc>
          <w:tcPr>
            <w:tcW w:type="dxa" w:w="1728"/>
          </w:tcPr>
          <w:p>
            <w:r>
              <w:rPr>
                <w:sz w:val="17"/>
              </w:rPr>
              <w:t>6</w:t>
            </w:r>
          </w:p>
        </w:tc>
        <w:tc>
          <w:tcPr>
            <w:tcW w:type="dxa" w:w="1728"/>
          </w:tcPr>
          <w:p>
            <w:r>
              <w:rPr>
                <w:sz w:val="17"/>
              </w:rPr>
              <w:t>V040</w:t>
            </w:r>
          </w:p>
        </w:tc>
        <w:tc>
          <w:tcPr>
            <w:tcW w:type="dxa" w:w="1728"/>
          </w:tcPr>
          <w:p>
            <w:r>
              <w:rPr>
                <w:sz w:val="17"/>
              </w:rPr>
              <w:t>0.022</w:t>
            </w:r>
          </w:p>
        </w:tc>
        <w:tc>
          <w:tcPr>
            <w:tcW w:type="dxa" w:w="1728"/>
          </w:tcPr>
          <w:p>
            <w:r>
              <w:rPr>
                <w:sz w:val="17"/>
              </w:rPr>
              <w:t>Sociodemografico</w:t>
            </w:r>
          </w:p>
        </w:tc>
        <w:tc>
          <w:tcPr>
            <w:tcW w:type="dxa" w:w="1728"/>
          </w:tcPr>
          <w:p>
            <w:r>
              <w:rPr>
                <w:sz w:val="17"/>
              </w:rPr>
              <w:t>6.4</w:t>
            </w:r>
          </w:p>
        </w:tc>
      </w:tr>
      <w:tr>
        <w:tc>
          <w:tcPr>
            <w:tcW w:type="dxa" w:w="1728"/>
          </w:tcPr>
          <w:p>
            <w:r>
              <w:rPr>
                <w:sz w:val="17"/>
              </w:rPr>
              <w:t>7</w:t>
            </w:r>
          </w:p>
        </w:tc>
        <w:tc>
          <w:tcPr>
            <w:tcW w:type="dxa" w:w="1728"/>
          </w:tcPr>
          <w:p>
            <w:r>
              <w:rPr>
                <w:sz w:val="17"/>
              </w:rPr>
              <w:t>M14</w:t>
            </w:r>
          </w:p>
        </w:tc>
        <w:tc>
          <w:tcPr>
            <w:tcW w:type="dxa" w:w="1728"/>
          </w:tcPr>
          <w:p>
            <w:r>
              <w:rPr>
                <w:sz w:val="17"/>
              </w:rPr>
              <w:t>0.0193</w:t>
            </w:r>
          </w:p>
        </w:tc>
        <w:tc>
          <w:tcPr>
            <w:tcW w:type="dxa" w:w="1728"/>
          </w:tcPr>
          <w:p>
            <w:r>
              <w:rPr>
                <w:sz w:val="17"/>
              </w:rPr>
              <w:t>Salud</w:t>
            </w:r>
          </w:p>
        </w:tc>
        <w:tc>
          <w:tcPr>
            <w:tcW w:type="dxa" w:w="1728"/>
          </w:tcPr>
          <w:p>
            <w:r>
              <w:rPr>
                <w:sz w:val="17"/>
              </w:rPr>
              <w:t>5.6</w:t>
            </w:r>
          </w:p>
        </w:tc>
      </w:tr>
      <w:tr>
        <w:tc>
          <w:tcPr>
            <w:tcW w:type="dxa" w:w="1728"/>
          </w:tcPr>
          <w:p>
            <w:r>
              <w:rPr>
                <w:sz w:val="17"/>
              </w:rPr>
              <w:t>8</w:t>
            </w:r>
          </w:p>
        </w:tc>
        <w:tc>
          <w:tcPr>
            <w:tcW w:type="dxa" w:w="1728"/>
          </w:tcPr>
          <w:p>
            <w:r>
              <w:rPr>
                <w:sz w:val="17"/>
              </w:rPr>
              <w:t>IMC</w:t>
            </w:r>
          </w:p>
        </w:tc>
        <w:tc>
          <w:tcPr>
            <w:tcW w:type="dxa" w:w="1728"/>
          </w:tcPr>
          <w:p>
            <w:r>
              <w:rPr>
                <w:sz w:val="17"/>
              </w:rPr>
              <w:t>0.0181</w:t>
            </w:r>
          </w:p>
        </w:tc>
        <w:tc>
          <w:tcPr>
            <w:tcW w:type="dxa" w:w="1728"/>
          </w:tcPr>
          <w:p>
            <w:r>
              <w:rPr>
                <w:sz w:val="17"/>
              </w:rPr>
              <w:t>Salud</w:t>
            </w:r>
          </w:p>
        </w:tc>
        <w:tc>
          <w:tcPr>
            <w:tcW w:type="dxa" w:w="1728"/>
          </w:tcPr>
          <w:p>
            <w:r>
              <w:rPr>
                <w:sz w:val="17"/>
              </w:rPr>
              <w:t>5.2</w:t>
            </w:r>
          </w:p>
        </w:tc>
      </w:tr>
      <w:tr>
        <w:tc>
          <w:tcPr>
            <w:tcW w:type="dxa" w:w="1728"/>
          </w:tcPr>
          <w:p>
            <w:r>
              <w:rPr>
                <w:sz w:val="17"/>
              </w:rPr>
              <w:t>9</w:t>
            </w:r>
          </w:p>
        </w:tc>
        <w:tc>
          <w:tcPr>
            <w:tcW w:type="dxa" w:w="1728"/>
          </w:tcPr>
          <w:p>
            <w:r>
              <w:rPr>
                <w:sz w:val="17"/>
              </w:rPr>
              <w:t>V012</w:t>
            </w:r>
          </w:p>
        </w:tc>
        <w:tc>
          <w:tcPr>
            <w:tcW w:type="dxa" w:w="1728"/>
          </w:tcPr>
          <w:p>
            <w:r>
              <w:rPr>
                <w:sz w:val="17"/>
              </w:rPr>
              <w:t>0.015</w:t>
            </w:r>
          </w:p>
        </w:tc>
        <w:tc>
          <w:tcPr>
            <w:tcW w:type="dxa" w:w="1728"/>
          </w:tcPr>
          <w:p>
            <w:r>
              <w:rPr>
                <w:sz w:val="17"/>
              </w:rPr>
              <w:t>Sociodemografico</w:t>
            </w:r>
          </w:p>
        </w:tc>
        <w:tc>
          <w:tcPr>
            <w:tcW w:type="dxa" w:w="1728"/>
          </w:tcPr>
          <w:p>
            <w:r>
              <w:rPr>
                <w:sz w:val="17"/>
              </w:rPr>
              <w:t>4.3</w:t>
            </w:r>
          </w:p>
        </w:tc>
      </w:tr>
      <w:tr>
        <w:tc>
          <w:tcPr>
            <w:tcW w:type="dxa" w:w="1728"/>
          </w:tcPr>
          <w:p>
            <w:r>
              <w:rPr>
                <w:sz w:val="17"/>
              </w:rPr>
              <w:t>10</w:t>
            </w:r>
          </w:p>
        </w:tc>
        <w:tc>
          <w:tcPr>
            <w:tcW w:type="dxa" w:w="1728"/>
          </w:tcPr>
          <w:p>
            <w:r>
              <w:rPr>
                <w:sz w:val="17"/>
              </w:rPr>
              <w:t>V190</w:t>
            </w:r>
          </w:p>
        </w:tc>
        <w:tc>
          <w:tcPr>
            <w:tcW w:type="dxa" w:w="1728"/>
          </w:tcPr>
          <w:p>
            <w:r>
              <w:rPr>
                <w:sz w:val="17"/>
              </w:rPr>
              <w:t>0.0119</w:t>
            </w:r>
          </w:p>
        </w:tc>
        <w:tc>
          <w:tcPr>
            <w:tcW w:type="dxa" w:w="1728"/>
          </w:tcPr>
          <w:p>
            <w:r>
              <w:rPr>
                <w:sz w:val="17"/>
              </w:rPr>
              <w:t>Sociodemografico</w:t>
            </w:r>
          </w:p>
        </w:tc>
        <w:tc>
          <w:tcPr>
            <w:tcW w:type="dxa" w:w="1728"/>
          </w:tcPr>
          <w:p>
            <w:r>
              <w:rPr>
                <w:sz w:val="17"/>
              </w:rPr>
              <w:t>3.4</w:t>
            </w:r>
          </w:p>
        </w:tc>
      </w:tr>
    </w:tbl>
    <w:p/>
    <w:p>
      <w:pPr>
        <w:jc w:val="both"/>
      </w:pPr>
      <w:r>
        <w:rPr>
          <w:b w:val="0"/>
          <w:i w:val="0"/>
        </w:rPr>
        <w:t>La variable con mayor peso resultó ser V025 (área de residencia, urbano/rural), que por sí sola concentra el 24.2% de la importancia total, seguida de V201 (paridad) y V501 (estado civil). Agrupando las 10 variables por dimensión, las sociodemográficas concentran el 62% de la importancia total del modelo, frente a un 38%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 ambos métodos miden "importancia" de forma distinta, y Strobl et al. (2007) documentaron que la importancia basada en disminución de impureza (la que usa Boruta) tiende a sesgarse a favor de variables con muchas categorías o mayor varianza, lo que puede explicar parte de la diferencia frente al ranking de SHAP. Que ambos métodos no concuerden variable por variable —aunque sí coincidan en general sobre qué variables son relevantes— es, entonces, un resultado esperado y documentado en la literatura de Machine Learning.</w:t>
      </w:r>
    </w:p>
    <w:p>
      <w:pPr>
        <w:jc w:val="center"/>
      </w:pPr>
      <w:r>
        <w:drawing>
          <wp:inline xmlns:a="http://schemas.openxmlformats.org/drawingml/2006/main" xmlns:pic="http://schemas.openxmlformats.org/drawingml/2006/picture">
            <wp:extent cx="4680000" cy="3368434"/>
            <wp:docPr id="7" name="Picture 7"/>
            <wp:cNvGraphicFramePr>
              <a:graphicFrameLocks noChangeAspect="1"/>
            </wp:cNvGraphicFramePr>
            <a:graphic>
              <a:graphicData uri="http://schemas.openxmlformats.org/drawingml/2006/picture">
                <pic:pic>
                  <pic:nvPicPr>
                    <pic:cNvPr id="0" name="shap_beeswarm.png"/>
                    <pic:cNvPicPr/>
                  </pic:nvPicPr>
                  <pic:blipFill>
                    <a:blip r:embed="rId15"/>
                    <a:stretch>
                      <a:fillRect/>
                    </a:stretch>
                  </pic:blipFill>
                  <pic:spPr>
                    <a:xfrm>
                      <a:off x="0" y="0"/>
                      <a:ext cx="4680000" cy="3368434"/>
                    </a:xfrm>
                    <a:prstGeom prst="rect"/>
                  </pic:spPr>
                </pic:pic>
              </a:graphicData>
            </a:graphic>
          </wp:inline>
        </w:drawing>
      </w:r>
    </w:p>
    <w:p>
      <w:pPr>
        <w:jc w:val="center"/>
      </w:pPr>
      <w:r>
        <w:rPr>
          <w:i/>
          <w:sz w:val="19"/>
        </w:rPr>
        <w:t>Figura 7. Gráfico SHAP Beeswarm: distribución del impacto de cada variable sobre la predicción.</w:t>
      </w:r>
    </w:p>
    <w:p/>
    <w:p>
      <w:pPr>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shap_barras_importancia.png"/>
                    <pic:cNvPicPr/>
                  </pic:nvPicPr>
                  <pic:blipFill>
                    <a:blip r:embed="rId16"/>
                    <a:stretch>
                      <a:fillRect/>
                    </a:stretch>
                  </pic:blipFill>
                  <pic:spPr>
                    <a:xfrm>
                      <a:off x="0" y="0"/>
                      <a:ext cx="4680000" cy="3120000"/>
                    </a:xfrm>
                    <a:prstGeom prst="rect"/>
                  </pic:spPr>
                </pic:pic>
              </a:graphicData>
            </a:graphic>
          </wp:inline>
        </w:drawing>
      </w:r>
    </w:p>
    <w:p>
      <w:pPr>
        <w:jc w:val="center"/>
      </w:pPr>
      <w:r>
        <w:rPr>
          <w:i/>
          <w:sz w:val="19"/>
        </w:rPr>
        <w:t>Figura 8. Importancia global de cada variable según el valor absoluto medio de SHAP.</w:t>
      </w:r>
    </w:p>
    <w:p/>
    <w:p>
      <w:pPr>
        <w:pStyle w:val="Heading3"/>
      </w:pPr>
      <w:r>
        <w:t>Explicabilidad Local: SHAP Waterfall y LIME</w:t>
      </w:r>
    </w:p>
    <w:p>
      <w:pPr>
        <w:jc w:val="both"/>
      </w:pPr>
      <w:r>
        <w:rPr>
          <w:b w:val="0"/>
          <w:i w:val="0"/>
        </w:rPr>
        <w:t>Para la explicabilidad local se generaron gráficos SHAP Waterfall (que descomponen visualmente cómo cada variable, sumada una a una desde el valor base, llega hasta la predicción final para un caso concreto) y se usó además LimeTabularExplainer, de la librería LIME (Local Interpretable Model-agnostic Explanations) propuesta por Ribeiro et al. (2016), que explica una predicción individual ajustando un modelo simple e interpretable (una regresión lineal) alrededor de ese caso puntual, aunque el modelo real (Gradient Boosting)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pPr>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lime_alto_riesgo.png"/>
                    <pic:cNvPicPr/>
                  </pic:nvPicPr>
                  <pic:blipFill>
                    <a:blip r:embed="rId17"/>
                    <a:stretch>
                      <a:fillRect/>
                    </a:stretch>
                  </pic:blipFill>
                  <pic:spPr>
                    <a:xfrm>
                      <a:off x="0" y="0"/>
                      <a:ext cx="4680000" cy="2925000"/>
                    </a:xfrm>
                    <a:prstGeom prst="rect"/>
                  </pic:spPr>
                </pic:pic>
              </a:graphicData>
            </a:graphic>
          </wp:inline>
        </w:drawing>
      </w:r>
    </w:p>
    <w:p>
      <w:pPr>
        <w:jc w:val="center"/>
      </w:pPr>
      <w:r>
        <w:rPr>
          <w:i/>
          <w:sz w:val="19"/>
        </w:rPr>
        <w:t>Figura 9. Explicación LIME del caso de alto riesgo (verdadero positivo).</w:t>
      </w:r>
    </w:p>
    <w:p/>
    <w:p>
      <w:pPr>
        <w:jc w:val="center"/>
      </w:pPr>
      <w:r>
        <w:drawing>
          <wp:inline xmlns:a="http://schemas.openxmlformats.org/drawingml/2006/main" xmlns:pic="http://schemas.openxmlformats.org/drawingml/2006/picture">
            <wp:extent cx="4680000" cy="3786689"/>
            <wp:docPr id="10" name="Picture 10"/>
            <wp:cNvGraphicFramePr>
              <a:graphicFrameLocks noChangeAspect="1"/>
            </wp:cNvGraphicFramePr>
            <a:graphic>
              <a:graphicData uri="http://schemas.openxmlformats.org/drawingml/2006/picture">
                <pic:pic>
                  <pic:nvPicPr>
                    <pic:cNvPr id="0" name="shap_waterfall_alto_riesgo.png"/>
                    <pic:cNvPicPr/>
                  </pic:nvPicPr>
                  <pic:blipFill>
                    <a:blip r:embed="rId18"/>
                    <a:stretch>
                      <a:fillRect/>
                    </a:stretch>
                  </pic:blipFill>
                  <pic:spPr>
                    <a:xfrm>
                      <a:off x="0" y="0"/>
                      <a:ext cx="4680000" cy="3786689"/>
                    </a:xfrm>
                    <a:prstGeom prst="rect"/>
                  </pic:spPr>
                </pic:pic>
              </a:graphicData>
            </a:graphic>
          </wp:inline>
        </w:drawing>
      </w:r>
    </w:p>
    <w:p>
      <w:pPr>
        <w:jc w:val="center"/>
      </w:pPr>
      <w:r>
        <w:rPr>
          <w:i/>
          <w:sz w:val="19"/>
        </w:rPr>
        <w:t>Figura 10. Gráfico SHAP Waterfall del caso de alto riesgo (verdadero positivo).</w:t>
      </w:r>
    </w:p>
    <w:p/>
    <w:p>
      <w:pPr>
        <w:jc w:val="center"/>
      </w:pPr>
      <w:r>
        <w:drawing>
          <wp:inline xmlns:a="http://schemas.openxmlformats.org/drawingml/2006/main" xmlns:pic="http://schemas.openxmlformats.org/drawingml/2006/picture">
            <wp:extent cx="4680000" cy="2925000"/>
            <wp:docPr id="11" name="Picture 11"/>
            <wp:cNvGraphicFramePr>
              <a:graphicFrameLocks noChangeAspect="1"/>
            </wp:cNvGraphicFramePr>
            <a:graphic>
              <a:graphicData uri="http://schemas.openxmlformats.org/drawingml/2006/picture">
                <pic:pic>
                  <pic:nvPicPr>
                    <pic:cNvPr id="0" name="lime_bajo_riesgo.png"/>
                    <pic:cNvPicPr/>
                  </pic:nvPicPr>
                  <pic:blipFill>
                    <a:blip r:embed="rId19"/>
                    <a:stretch>
                      <a:fillRect/>
                    </a:stretch>
                  </pic:blipFill>
                  <pic:spPr>
                    <a:xfrm>
                      <a:off x="0" y="0"/>
                      <a:ext cx="4680000" cy="2925000"/>
                    </a:xfrm>
                    <a:prstGeom prst="rect"/>
                  </pic:spPr>
                </pic:pic>
              </a:graphicData>
            </a:graphic>
          </wp:inline>
        </w:drawing>
      </w:r>
    </w:p>
    <w:p>
      <w:pPr>
        <w:jc w:val="center"/>
      </w:pPr>
      <w:r>
        <w:rPr>
          <w:i/>
          <w:sz w:val="19"/>
        </w:rPr>
        <w:t>Figura 11. Explicación LIME del caso de bajo riesgo (verdadero negativo).</w:t>
      </w:r>
    </w:p>
    <w:p/>
    <w:p>
      <w:pPr>
        <w:jc w:val="center"/>
      </w:pPr>
      <w:r>
        <w:drawing>
          <wp:inline xmlns:a="http://schemas.openxmlformats.org/drawingml/2006/main" xmlns:pic="http://schemas.openxmlformats.org/drawingml/2006/picture">
            <wp:extent cx="4680000" cy="3780304"/>
            <wp:docPr id="12" name="Picture 12"/>
            <wp:cNvGraphicFramePr>
              <a:graphicFrameLocks noChangeAspect="1"/>
            </wp:cNvGraphicFramePr>
            <a:graphic>
              <a:graphicData uri="http://schemas.openxmlformats.org/drawingml/2006/picture">
                <pic:pic>
                  <pic:nvPicPr>
                    <pic:cNvPr id="0" name="shap_waterfall_bajo_riesgo.png"/>
                    <pic:cNvPicPr/>
                  </pic:nvPicPr>
                  <pic:blipFill>
                    <a:blip r:embed="rId20"/>
                    <a:stretch>
                      <a:fillRect/>
                    </a:stretch>
                  </pic:blipFill>
                  <pic:spPr>
                    <a:xfrm>
                      <a:off x="0" y="0"/>
                      <a:ext cx="4680000" cy="3780304"/>
                    </a:xfrm>
                    <a:prstGeom prst="rect"/>
                  </pic:spPr>
                </pic:pic>
              </a:graphicData>
            </a:graphic>
          </wp:inline>
        </w:drawing>
      </w:r>
    </w:p>
    <w:p>
      <w:pPr>
        <w:jc w:val="center"/>
      </w:pPr>
      <w:r>
        <w:rPr>
          <w:i/>
          <w:sz w:val="19"/>
        </w:rPr>
        <w:t>Figura 12. Gráfico SHAP Waterfall del caso de bajo riesgo (verdadero negativo).</w:t>
      </w:r>
    </w:p>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lime_caso_limite.png"/>
                    <pic:cNvPicPr/>
                  </pic:nvPicPr>
                  <pic:blipFill>
                    <a:blip r:embed="rId21"/>
                    <a:stretch>
                      <a:fillRect/>
                    </a:stretch>
                  </pic:blipFill>
                  <pic:spPr>
                    <a:xfrm>
                      <a:off x="0" y="0"/>
                      <a:ext cx="4680000" cy="2925000"/>
                    </a:xfrm>
                    <a:prstGeom prst="rect"/>
                  </pic:spPr>
                </pic:pic>
              </a:graphicData>
            </a:graphic>
          </wp:inline>
        </w:drawing>
      </w:r>
    </w:p>
    <w:p>
      <w:pPr>
        <w:jc w:val="center"/>
      </w:pPr>
      <w:r>
        <w:rPr>
          <w:i/>
          <w:sz w:val="19"/>
        </w:rPr>
        <w:t>Figura 13. Explicación LIME del caso límite (falso positivo, probabilidad ≈ 0.5).</w:t>
      </w:r>
    </w:p>
    <w:p/>
    <w:p>
      <w:pPr>
        <w:jc w:val="center"/>
      </w:pPr>
      <w:r>
        <w:drawing>
          <wp:inline xmlns:a="http://schemas.openxmlformats.org/drawingml/2006/main" xmlns:pic="http://schemas.openxmlformats.org/drawingml/2006/picture">
            <wp:extent cx="4680000" cy="3780304"/>
            <wp:docPr id="14" name="Picture 14"/>
            <wp:cNvGraphicFramePr>
              <a:graphicFrameLocks noChangeAspect="1"/>
            </wp:cNvGraphicFramePr>
            <a:graphic>
              <a:graphicData uri="http://schemas.openxmlformats.org/drawingml/2006/picture">
                <pic:pic>
                  <pic:nvPicPr>
                    <pic:cNvPr id="0" name="shap_waterfall_caso_limite.png"/>
                    <pic:cNvPicPr/>
                  </pic:nvPicPr>
                  <pic:blipFill>
                    <a:blip r:embed="rId22"/>
                    <a:stretch>
                      <a:fillRect/>
                    </a:stretch>
                  </pic:blipFill>
                  <pic:spPr>
                    <a:xfrm>
                      <a:off x="0" y="0"/>
                      <a:ext cx="4680000" cy="3780304"/>
                    </a:xfrm>
                    <a:prstGeom prst="rect"/>
                  </pic:spPr>
                </pic:pic>
              </a:graphicData>
            </a:graphic>
          </wp:inline>
        </w:drawing>
      </w:r>
    </w:p>
    <w:p>
      <w:pPr>
        <w:jc w:val="center"/>
      </w:pPr>
      <w:r>
        <w:rPr>
          <w:i/>
          <w:sz w:val="19"/>
        </w:rPr>
        <w:t>Figura 14. Gráfico SHAP Waterfall del caso límite (falso positivo, probabilidad ≈ 0.5).</w:t>
      </w:r>
    </w:p>
    <w:p/>
    <w:p>
      <w:pPr>
        <w:jc w:val="both"/>
      </w:pPr>
      <w:r>
        <w:rPr>
          <w:b w:val="0"/>
          <w:i w:val="0"/>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 y es justamente ese tipo de perfil "ambiguo" donde el modelo tiene más probabilidad de equivocarse, algo que sería mucho más difícil de detectar mirando solo la predicción final (0 o 1), sin esta explicación caso por caso.</w:t>
      </w:r>
    </w:p>
    <w:p>
      <w:pPr>
        <w:jc w:val="both"/>
      </w:pPr>
      <w:r>
        <w:rPr>
          <w:i/>
          <w:sz w:val="19"/>
        </w:rPr>
        <w:t>Las referencias completas (formato APA) de las citas (Autor, Año) usadas en esta sección, junto con los artículos científicos en PDF que las respaldan, están en la carpeta Citas_referencias/ (archivo bibliografia.md).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