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A430F" w14:textId="08361740" w:rsidR="00D55AE3" w:rsidRPr="00D55AE3" w:rsidRDefault="00D55AE3" w:rsidP="00D55AE3">
      <w:pPr>
        <w:spacing w:before="240" w:after="240"/>
        <w:rPr>
          <w:rFonts w:ascii="Times New Roman" w:eastAsia="Times New Roman" w:hAnsi="Times New Roman" w:cs="Times New Roman"/>
          <w:kern w:val="0"/>
          <w:lang w:eastAsia="en-GB"/>
          <w14:ligatures w14:val="none"/>
        </w:rPr>
      </w:pPr>
      <w:r w:rsidRPr="00D55AE3">
        <w:rPr>
          <w:rFonts w:ascii="Arial" w:eastAsia="Times New Roman" w:hAnsi="Arial" w:cs="Arial"/>
          <w:b/>
          <w:bCs/>
          <w:color w:val="000000"/>
          <w:kern w:val="0"/>
          <w:sz w:val="22"/>
          <w:szCs w:val="22"/>
          <w:lang w:eastAsia="en-GB"/>
          <w14:ligatures w14:val="none"/>
        </w:rPr>
        <w:t>Project Description: EnergyQuantGPT</w:t>
      </w:r>
    </w:p>
    <w:p w14:paraId="38EB74C9" w14:textId="1E5DFC08" w:rsidR="00D55AE3" w:rsidRPr="00D55AE3" w:rsidRDefault="00D55AE3" w:rsidP="00D55AE3">
      <w:pPr>
        <w:spacing w:before="240" w:after="240"/>
        <w:rPr>
          <w:rFonts w:ascii="Times New Roman" w:eastAsia="Times New Roman" w:hAnsi="Times New Roman" w:cs="Times New Roman"/>
          <w:kern w:val="0"/>
          <w:lang w:eastAsia="en-GB"/>
          <w14:ligatures w14:val="none"/>
        </w:rPr>
      </w:pPr>
      <w:r w:rsidRPr="00D55AE3">
        <w:rPr>
          <w:rFonts w:ascii="Arial" w:eastAsia="Times New Roman" w:hAnsi="Arial" w:cs="Arial"/>
          <w:color w:val="000000"/>
          <w:kern w:val="0"/>
          <w:sz w:val="22"/>
          <w:szCs w:val="22"/>
          <w:lang w:eastAsia="en-GB"/>
          <w14:ligatures w14:val="none"/>
        </w:rPr>
        <w:t>EnergyQuantGPT is an AI-driven tool designed to address the dynamic and complex challenges of the energy sector, with a particular focus on geopolitical risks and energy market analysis. Built using machine learning algorithms, natural language processing capabilities, and dataset integration, the model provides insights tailored for stakeholders such as investors, energy distributors, and policymakers.</w:t>
      </w:r>
    </w:p>
    <w:p w14:paraId="3BEC10CC" w14:textId="3A54A262" w:rsidR="00D55AE3" w:rsidRPr="00D55AE3" w:rsidRDefault="00693052" w:rsidP="00D55AE3">
      <w:pPr>
        <w:rPr>
          <w:rFonts w:ascii="Times New Roman" w:eastAsia="Times New Roman" w:hAnsi="Times New Roman" w:cs="Times New Roman"/>
          <w:kern w:val="0"/>
          <w:lang w:eastAsia="en-GB"/>
          <w14:ligatures w14:val="none"/>
        </w:rPr>
      </w:pPr>
      <w:r w:rsidRPr="00693052">
        <w:rPr>
          <w:rFonts w:ascii="Times New Roman" w:eastAsia="Times New Roman" w:hAnsi="Times New Roman" w:cs="Times New Roman"/>
          <w:noProof/>
          <w:kern w:val="0"/>
          <w:lang w:eastAsia="en-GB"/>
        </w:rPr>
        <w:pict w14:anchorId="10FA7581">
          <v:rect id="_x0000_i1028" alt="" style="width:451.3pt;height:.05pt;mso-width-percent:0;mso-height-percent:0;mso-width-percent:0;mso-height-percent:0" o:hralign="center" o:hrstd="t" o:hr="t" fillcolor="#a0a0a0" stroked="f"/>
        </w:pict>
      </w:r>
    </w:p>
    <w:p w14:paraId="6A4D2A6A" w14:textId="1AC72DF9" w:rsidR="00D55AE3" w:rsidRPr="00D55AE3" w:rsidRDefault="00D55AE3" w:rsidP="00D55AE3">
      <w:pPr>
        <w:spacing w:before="280" w:after="80"/>
        <w:outlineLvl w:val="2"/>
        <w:rPr>
          <w:rFonts w:ascii="Times New Roman" w:eastAsia="Times New Roman" w:hAnsi="Times New Roman" w:cs="Times New Roman"/>
          <w:b/>
          <w:bCs/>
          <w:kern w:val="0"/>
          <w:sz w:val="27"/>
          <w:szCs w:val="27"/>
          <w:lang w:eastAsia="en-GB"/>
          <w14:ligatures w14:val="none"/>
        </w:rPr>
      </w:pPr>
      <w:r w:rsidRPr="00D55AE3">
        <w:rPr>
          <w:rFonts w:ascii="Arial" w:eastAsia="Times New Roman" w:hAnsi="Arial" w:cs="Arial"/>
          <w:b/>
          <w:bCs/>
          <w:color w:val="000000"/>
          <w:kern w:val="0"/>
          <w:sz w:val="26"/>
          <w:szCs w:val="26"/>
          <w:lang w:eastAsia="en-GB"/>
          <w14:ligatures w14:val="none"/>
        </w:rPr>
        <w:t>Core Features &amp; Prompts (</w:t>
      </w:r>
      <w:r w:rsidR="00DF0452">
        <w:rPr>
          <w:rFonts w:ascii="Arial" w:eastAsia="Times New Roman" w:hAnsi="Arial" w:cs="Arial"/>
          <w:b/>
          <w:bCs/>
          <w:color w:val="000000"/>
          <w:kern w:val="0"/>
          <w:sz w:val="26"/>
          <w:szCs w:val="26"/>
          <w:lang w:eastAsia="en-GB"/>
          <w14:ligatures w14:val="none"/>
        </w:rPr>
        <w:t>t</w:t>
      </w:r>
      <w:r w:rsidRPr="00D55AE3">
        <w:rPr>
          <w:rFonts w:ascii="Arial" w:eastAsia="Times New Roman" w:hAnsi="Arial" w:cs="Arial"/>
          <w:b/>
          <w:bCs/>
          <w:color w:val="000000"/>
          <w:kern w:val="0"/>
          <w:sz w:val="26"/>
          <w:szCs w:val="26"/>
          <w:lang w:eastAsia="en-GB"/>
          <w14:ligatures w14:val="none"/>
        </w:rPr>
        <w:t>o name a few!):</w:t>
      </w:r>
    </w:p>
    <w:p w14:paraId="2D610937" w14:textId="529EEF2C" w:rsidR="00D55AE3" w:rsidRPr="00D55AE3" w:rsidRDefault="00D55AE3" w:rsidP="00D55AE3">
      <w:pPr>
        <w:spacing w:before="240" w:after="240"/>
        <w:rPr>
          <w:rFonts w:ascii="Times New Roman" w:eastAsia="Times New Roman" w:hAnsi="Times New Roman" w:cs="Times New Roman"/>
          <w:kern w:val="0"/>
          <w:lang w:eastAsia="en-GB"/>
          <w14:ligatures w14:val="none"/>
        </w:rPr>
      </w:pPr>
      <w:r w:rsidRPr="00D55AE3">
        <w:rPr>
          <w:rFonts w:ascii="Arial" w:eastAsia="Times New Roman" w:hAnsi="Arial" w:cs="Arial"/>
          <w:b/>
          <w:bCs/>
          <w:color w:val="000000"/>
          <w:kern w:val="0"/>
          <w:sz w:val="22"/>
          <w:szCs w:val="22"/>
          <w:lang w:eastAsia="en-GB"/>
          <w14:ligatures w14:val="none"/>
        </w:rPr>
        <w:t>Energy Dashboard (</w:t>
      </w:r>
      <w:r w:rsidRPr="00D55AE3">
        <w:rPr>
          <w:rFonts w:ascii="Arial" w:eastAsia="Times New Roman" w:hAnsi="Arial" w:cs="Arial"/>
          <w:b/>
          <w:bCs/>
          <w:i/>
          <w:iCs/>
          <w:color w:val="000000"/>
          <w:kern w:val="0"/>
          <w:sz w:val="22"/>
          <w:szCs w:val="22"/>
          <w:lang w:eastAsia="en-GB"/>
          <w14:ligatures w14:val="none"/>
        </w:rPr>
        <w:t>prompt: Energy Dashboard</w:t>
      </w:r>
      <w:r w:rsidRPr="00D55AE3">
        <w:rPr>
          <w:rFonts w:ascii="Arial" w:eastAsia="Times New Roman" w:hAnsi="Arial" w:cs="Arial"/>
          <w:b/>
          <w:bCs/>
          <w:color w:val="000000"/>
          <w:kern w:val="0"/>
          <w:sz w:val="22"/>
          <w:szCs w:val="22"/>
          <w:lang w:eastAsia="en-GB"/>
          <w14:ligatures w14:val="none"/>
        </w:rPr>
        <w:t>)</w:t>
      </w:r>
      <w:r w:rsidRPr="00D55AE3">
        <w:rPr>
          <w:rFonts w:ascii="Arial" w:eastAsia="Times New Roman" w:hAnsi="Arial" w:cs="Arial"/>
          <w:color w:val="000000"/>
          <w:kern w:val="0"/>
          <w:sz w:val="22"/>
          <w:szCs w:val="22"/>
          <w:lang w:eastAsia="en-GB"/>
          <w14:ligatures w14:val="none"/>
        </w:rPr>
        <w:t>:</w:t>
      </w:r>
    </w:p>
    <w:p w14:paraId="7EAB3B40" w14:textId="1ACB4DA5" w:rsidR="00D55AE3" w:rsidRPr="00D55AE3" w:rsidRDefault="00D55AE3" w:rsidP="00D55AE3">
      <w:pPr>
        <w:numPr>
          <w:ilvl w:val="0"/>
          <w:numId w:val="1"/>
        </w:numPr>
        <w:spacing w:before="240"/>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In summary, the dashboard gives Energy stakeholder the basic updated information via news API’s of the current rates on key items at the click of a button.</w:t>
      </w:r>
    </w:p>
    <w:p w14:paraId="0A0CEFE7" w14:textId="32E7EFA4" w:rsidR="00D55AE3" w:rsidRPr="00D55AE3" w:rsidRDefault="00D55AE3" w:rsidP="00D55AE3">
      <w:pPr>
        <w:numPr>
          <w:ilvl w:val="0"/>
          <w:numId w:val="2"/>
        </w:numPr>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A dynamic, data-driven visualization tool that integrates key energy market metrics such as natural gas prices, LNG import trends, and gas storage levels.</w:t>
      </w:r>
    </w:p>
    <w:p w14:paraId="2D5C28BE" w14:textId="19DBAB2F" w:rsidR="00D55AE3" w:rsidRPr="00D55AE3" w:rsidRDefault="00D55AE3" w:rsidP="00D55AE3">
      <w:pPr>
        <w:numPr>
          <w:ilvl w:val="0"/>
          <w:numId w:val="3"/>
        </w:numPr>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Outputs include interactive charts and graphs summarizing historical trends, current market conditions, and potential future scenarios.</w:t>
      </w:r>
    </w:p>
    <w:p w14:paraId="4393C0DD" w14:textId="271713DA" w:rsidR="00D55AE3" w:rsidRDefault="00D55AE3" w:rsidP="00D55AE3">
      <w:pPr>
        <w:numPr>
          <w:ilvl w:val="0"/>
          <w:numId w:val="4"/>
        </w:numPr>
        <w:spacing w:after="240"/>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Automatically processes and presents data uploaded by the user, enabling real-time analysis and decision-making.</w:t>
      </w:r>
    </w:p>
    <w:p w14:paraId="3BF270BE" w14:textId="1109D12E" w:rsidR="00D55AE3" w:rsidRDefault="0066728A" w:rsidP="00D55AE3">
      <w:pPr>
        <w:spacing w:after="240"/>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drawing>
          <wp:anchor distT="0" distB="0" distL="114300" distR="114300" simplePos="0" relativeHeight="251660288" behindDoc="0" locked="0" layoutInCell="1" allowOverlap="1" wp14:anchorId="72AB24D8" wp14:editId="36DB2665">
            <wp:simplePos x="0" y="0"/>
            <wp:positionH relativeFrom="column">
              <wp:posOffset>-533319</wp:posOffset>
            </wp:positionH>
            <wp:positionV relativeFrom="paragraph">
              <wp:posOffset>34614</wp:posOffset>
            </wp:positionV>
            <wp:extent cx="3556000" cy="4747098"/>
            <wp:effectExtent l="0" t="0" r="0" b="3175"/>
            <wp:wrapNone/>
            <wp:docPr id="8"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pic:cNvPicPr/>
                  </pic:nvPicPr>
                  <pic:blipFill rotWithShape="1">
                    <a:blip r:embed="rId5">
                      <a:extLst>
                        <a:ext uri="{28A0092B-C50C-407E-A947-70E740481C1C}">
                          <a14:useLocalDpi xmlns:a14="http://schemas.microsoft.com/office/drawing/2010/main" val="0"/>
                        </a:ext>
                      </a:extLst>
                    </a:blip>
                    <a:srcRect b="44127"/>
                    <a:stretch/>
                  </pic:blipFill>
                  <pic:spPr bwMode="auto">
                    <a:xfrm>
                      <a:off x="0" y="0"/>
                      <a:ext cx="3556000" cy="47470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72ABF8" w14:textId="1B6A9823" w:rsidR="00D55AE3" w:rsidRDefault="00D55AE3" w:rsidP="00D55AE3">
      <w:pPr>
        <w:spacing w:after="240"/>
        <w:textAlignment w:val="baseline"/>
        <w:rPr>
          <w:rFonts w:ascii="Arial" w:eastAsia="Times New Roman" w:hAnsi="Arial" w:cs="Arial"/>
          <w:color w:val="000000"/>
          <w:kern w:val="0"/>
          <w:sz w:val="22"/>
          <w:szCs w:val="22"/>
          <w:lang w:eastAsia="en-GB"/>
          <w14:ligatures w14:val="none"/>
        </w:rPr>
      </w:pPr>
    </w:p>
    <w:p w14:paraId="67768C96" w14:textId="6C5DEB30" w:rsidR="00D55AE3" w:rsidRDefault="00D55AE3" w:rsidP="00D55AE3">
      <w:pPr>
        <w:spacing w:after="240"/>
        <w:textAlignment w:val="baseline"/>
        <w:rPr>
          <w:rFonts w:ascii="Arial" w:eastAsia="Times New Roman" w:hAnsi="Arial" w:cs="Arial"/>
          <w:color w:val="000000"/>
          <w:kern w:val="0"/>
          <w:sz w:val="22"/>
          <w:szCs w:val="22"/>
          <w:lang w:eastAsia="en-GB"/>
          <w14:ligatures w14:val="none"/>
        </w:rPr>
      </w:pPr>
    </w:p>
    <w:p w14:paraId="6F4C2B35" w14:textId="635B38E0" w:rsidR="00D55AE3" w:rsidRPr="00D55AE3" w:rsidRDefault="0066728A" w:rsidP="00D55AE3">
      <w:pPr>
        <w:spacing w:after="240"/>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drawing>
          <wp:anchor distT="0" distB="0" distL="114300" distR="114300" simplePos="0" relativeHeight="251662336" behindDoc="0" locked="0" layoutInCell="1" allowOverlap="1" wp14:anchorId="50867224" wp14:editId="2ED0322F">
            <wp:simplePos x="0" y="0"/>
            <wp:positionH relativeFrom="column">
              <wp:posOffset>2964815</wp:posOffset>
            </wp:positionH>
            <wp:positionV relativeFrom="paragraph">
              <wp:posOffset>71755</wp:posOffset>
            </wp:positionV>
            <wp:extent cx="3556000" cy="3768090"/>
            <wp:effectExtent l="0" t="0" r="0" b="3810"/>
            <wp:wrapNone/>
            <wp:docPr id="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pic:cNvPicPr/>
                  </pic:nvPicPr>
                  <pic:blipFill rotWithShape="1">
                    <a:blip r:embed="rId5">
                      <a:extLst>
                        <a:ext uri="{28A0092B-C50C-407E-A947-70E740481C1C}">
                          <a14:useLocalDpi xmlns:a14="http://schemas.microsoft.com/office/drawing/2010/main" val="0"/>
                        </a:ext>
                      </a:extLst>
                    </a:blip>
                    <a:srcRect t="55643"/>
                    <a:stretch/>
                  </pic:blipFill>
                  <pic:spPr bwMode="auto">
                    <a:xfrm>
                      <a:off x="0" y="0"/>
                      <a:ext cx="3556000" cy="3768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5AAED6" w14:textId="5078D9F1" w:rsidR="00D55AE3" w:rsidRPr="00D55AE3" w:rsidRDefault="00D55AE3" w:rsidP="00D55AE3">
      <w:pPr>
        <w:spacing w:after="240"/>
        <w:rPr>
          <w:rFonts w:ascii="Times New Roman" w:eastAsia="Times New Roman" w:hAnsi="Times New Roman" w:cs="Times New Roman"/>
          <w:kern w:val="0"/>
          <w:lang w:eastAsia="en-GB"/>
          <w14:ligatures w14:val="none"/>
        </w:rPr>
      </w:pPr>
      <w:r w:rsidRPr="00D55AE3">
        <w:rPr>
          <w:rFonts w:ascii="Times New Roman" w:eastAsia="Times New Roman" w:hAnsi="Times New Roman" w:cs="Times New Roman"/>
          <w:kern w:val="0"/>
          <w:lang w:eastAsia="en-GB"/>
          <w14:ligatures w14:val="none"/>
        </w:rPr>
        <w:br/>
      </w:r>
      <w:r w:rsidRPr="00D55AE3">
        <w:rPr>
          <w:rFonts w:ascii="Times New Roman" w:eastAsia="Times New Roman" w:hAnsi="Times New Roman" w:cs="Times New Roman"/>
          <w:kern w:val="0"/>
          <w:lang w:eastAsia="en-GB"/>
          <w14:ligatures w14:val="none"/>
        </w:rPr>
        <w:br/>
      </w:r>
    </w:p>
    <w:p w14:paraId="030CE131"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33B38104"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4AF801E4"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2CEC3067"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1A9C5B98"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74753F32"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7A3D02A3"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078EEDB2"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72B8FB91"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2FF20556" w14:textId="1E321BE2" w:rsidR="00D55AE3" w:rsidRPr="00D55AE3" w:rsidRDefault="00D55AE3" w:rsidP="00D55AE3">
      <w:pPr>
        <w:spacing w:before="240" w:after="240"/>
        <w:rPr>
          <w:rFonts w:ascii="Times New Roman" w:eastAsia="Times New Roman" w:hAnsi="Times New Roman" w:cs="Times New Roman"/>
          <w:kern w:val="0"/>
          <w:lang w:eastAsia="en-GB"/>
          <w14:ligatures w14:val="none"/>
        </w:rPr>
      </w:pPr>
      <w:r w:rsidRPr="00D55AE3">
        <w:rPr>
          <w:rFonts w:ascii="Arial" w:eastAsia="Times New Roman" w:hAnsi="Arial" w:cs="Arial"/>
          <w:b/>
          <w:bCs/>
          <w:color w:val="000000"/>
          <w:kern w:val="0"/>
          <w:sz w:val="22"/>
          <w:szCs w:val="22"/>
          <w:lang w:eastAsia="en-GB"/>
          <w14:ligatures w14:val="none"/>
        </w:rPr>
        <w:lastRenderedPageBreak/>
        <w:t>Geopolitical Risk Analysis (</w:t>
      </w:r>
      <w:r w:rsidRPr="00D55AE3">
        <w:rPr>
          <w:rFonts w:ascii="Arial" w:eastAsia="Times New Roman" w:hAnsi="Arial" w:cs="Arial"/>
          <w:b/>
          <w:bCs/>
          <w:i/>
          <w:iCs/>
          <w:color w:val="000000"/>
          <w:kern w:val="0"/>
          <w:sz w:val="22"/>
          <w:szCs w:val="22"/>
          <w:lang w:eastAsia="en-GB"/>
          <w14:ligatures w14:val="none"/>
        </w:rPr>
        <w:t>eg prompt: Geopolitical Risk for Germany</w:t>
      </w:r>
      <w:r w:rsidRPr="00D55AE3">
        <w:rPr>
          <w:rFonts w:ascii="Arial" w:eastAsia="Times New Roman" w:hAnsi="Arial" w:cs="Arial"/>
          <w:b/>
          <w:bCs/>
          <w:color w:val="000000"/>
          <w:kern w:val="0"/>
          <w:sz w:val="22"/>
          <w:szCs w:val="22"/>
          <w:lang w:eastAsia="en-GB"/>
          <w14:ligatures w14:val="none"/>
        </w:rPr>
        <w:t>)</w:t>
      </w:r>
      <w:r w:rsidRPr="00D55AE3">
        <w:rPr>
          <w:rFonts w:ascii="Arial" w:eastAsia="Times New Roman" w:hAnsi="Arial" w:cs="Arial"/>
          <w:color w:val="000000"/>
          <w:kern w:val="0"/>
          <w:sz w:val="22"/>
          <w:szCs w:val="22"/>
          <w:lang w:eastAsia="en-GB"/>
          <w14:ligatures w14:val="none"/>
        </w:rPr>
        <w:t>:</w:t>
      </w:r>
    </w:p>
    <w:p w14:paraId="72C3738E" w14:textId="2EE9861B" w:rsidR="00D55AE3" w:rsidRPr="00D55AE3" w:rsidRDefault="00D55AE3" w:rsidP="00D55AE3">
      <w:pPr>
        <w:numPr>
          <w:ilvl w:val="0"/>
          <w:numId w:val="5"/>
        </w:numPr>
        <w:spacing w:before="240"/>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Quantifies the geopolitical risk for individual countries or regions based on factors like dependency on Russian gas imports, LNG import trends, gas storage levels, and price volatility.</w:t>
      </w:r>
    </w:p>
    <w:p w14:paraId="4F34FB15" w14:textId="5A139414" w:rsidR="00D55AE3" w:rsidRPr="00D55AE3" w:rsidRDefault="00D55AE3" w:rsidP="00D55AE3">
      <w:pPr>
        <w:numPr>
          <w:ilvl w:val="0"/>
          <w:numId w:val="6"/>
        </w:numPr>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Generates normalized risk scores (0–5 scale) for easy interpretation and comparison.</w:t>
      </w:r>
    </w:p>
    <w:p w14:paraId="3E912F11" w14:textId="03646C7F" w:rsidR="00D55AE3" w:rsidRPr="00D55AE3" w:rsidRDefault="00396241" w:rsidP="00D55AE3">
      <w:pPr>
        <w:numPr>
          <w:ilvl w:val="0"/>
          <w:numId w:val="7"/>
        </w:numPr>
        <w:spacing w:after="240"/>
        <w:ind w:left="1440"/>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b/>
          <w:bCs/>
          <w:noProof/>
          <w:color w:val="000000"/>
          <w:kern w:val="0"/>
          <w:sz w:val="22"/>
          <w:szCs w:val="22"/>
          <w:lang w:eastAsia="en-GB"/>
        </w:rPr>
        <w:drawing>
          <wp:anchor distT="0" distB="0" distL="114300" distR="114300" simplePos="0" relativeHeight="251659264" behindDoc="0" locked="0" layoutInCell="1" allowOverlap="1" wp14:anchorId="2C39038C" wp14:editId="7864EA14">
            <wp:simplePos x="0" y="0"/>
            <wp:positionH relativeFrom="column">
              <wp:posOffset>3136393</wp:posOffset>
            </wp:positionH>
            <wp:positionV relativeFrom="paragraph">
              <wp:posOffset>405218</wp:posOffset>
            </wp:positionV>
            <wp:extent cx="2997843" cy="5330432"/>
            <wp:effectExtent l="0" t="0" r="0" b="3810"/>
            <wp:wrapNone/>
            <wp:docPr id="7" name="Picture 7"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aper with text and numbe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7843" cy="5330432"/>
                    </a:xfrm>
                    <a:prstGeom prst="rect">
                      <a:avLst/>
                    </a:prstGeom>
                  </pic:spPr>
                </pic:pic>
              </a:graphicData>
            </a:graphic>
            <wp14:sizeRelH relativeFrom="page">
              <wp14:pctWidth>0</wp14:pctWidth>
            </wp14:sizeRelH>
            <wp14:sizeRelV relativeFrom="page">
              <wp14:pctHeight>0</wp14:pctHeight>
            </wp14:sizeRelV>
          </wp:anchor>
        </w:drawing>
      </w:r>
      <w:r w:rsidR="00D55AE3" w:rsidRPr="00D55AE3">
        <w:rPr>
          <w:rFonts w:ascii="Arial" w:eastAsia="Times New Roman" w:hAnsi="Arial" w:cs="Arial"/>
          <w:color w:val="000000"/>
          <w:kern w:val="0"/>
          <w:sz w:val="22"/>
          <w:szCs w:val="22"/>
          <w:lang w:eastAsia="en-GB"/>
          <w14:ligatures w14:val="none"/>
        </w:rPr>
        <w:t>Provides detailed dashboards for specific countries, summarizing risk metrics in a visually digestible format.</w:t>
      </w:r>
    </w:p>
    <w:p w14:paraId="4B6B716F" w14:textId="4081DA4A" w:rsidR="00D55AE3" w:rsidRDefault="00D55AE3" w:rsidP="00D55AE3">
      <w:pPr>
        <w:spacing w:before="240" w:after="240"/>
        <w:rPr>
          <w:rFonts w:ascii="Arial" w:eastAsia="Times New Roman" w:hAnsi="Arial" w:cs="Arial"/>
          <w:b/>
          <w:bCs/>
          <w:color w:val="000000"/>
          <w:kern w:val="0"/>
          <w:sz w:val="22"/>
          <w:szCs w:val="22"/>
          <w:lang w:eastAsia="en-GB"/>
          <w14:ligatures w14:val="none"/>
        </w:rPr>
      </w:pPr>
      <w:r>
        <w:rPr>
          <w:rFonts w:ascii="Times New Roman" w:eastAsia="Times New Roman" w:hAnsi="Times New Roman" w:cs="Times New Roman"/>
          <w:noProof/>
          <w:kern w:val="0"/>
          <w:lang w:eastAsia="en-GB"/>
        </w:rPr>
        <w:drawing>
          <wp:anchor distT="0" distB="0" distL="114300" distR="114300" simplePos="0" relativeHeight="251658240" behindDoc="0" locked="0" layoutInCell="1" allowOverlap="1" wp14:anchorId="412D2118" wp14:editId="60F6CCEA">
            <wp:simplePos x="0" y="0"/>
            <wp:positionH relativeFrom="column">
              <wp:posOffset>466</wp:posOffset>
            </wp:positionH>
            <wp:positionV relativeFrom="paragraph">
              <wp:posOffset>18658</wp:posOffset>
            </wp:positionV>
            <wp:extent cx="2815159" cy="5243332"/>
            <wp:effectExtent l="0" t="0" r="4445" b="1905"/>
            <wp:wrapNone/>
            <wp:docPr id="6" name="Picture 6"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document&#10;&#10;Description automatically generated"/>
                    <pic:cNvPicPr/>
                  </pic:nvPicPr>
                  <pic:blipFill rotWithShape="1">
                    <a:blip r:embed="rId7" cstate="print">
                      <a:extLst>
                        <a:ext uri="{28A0092B-C50C-407E-A947-70E740481C1C}">
                          <a14:useLocalDpi xmlns:a14="http://schemas.microsoft.com/office/drawing/2010/main" val="0"/>
                        </a:ext>
                      </a:extLst>
                    </a:blip>
                    <a:srcRect l="34698" t="3166" r="34369"/>
                    <a:stretch/>
                  </pic:blipFill>
                  <pic:spPr bwMode="auto">
                    <a:xfrm>
                      <a:off x="0" y="0"/>
                      <a:ext cx="2815159" cy="52433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89F27C" w14:textId="09FB0C04"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7C659F77" w14:textId="4B2E934C"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588F54F0" w14:textId="4F31E939"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41065796" w14:textId="4750BE5A"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5899D8B3" w14:textId="514F324A"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2AA13BF7" w14:textId="0963BE1A"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69932A71" w14:textId="2EDC8174"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43CB2125" w14:textId="74800506"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7A56B014" w14:textId="40CB1936"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2C9ACDD9" w14:textId="37C631DF"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7443C3A7" w14:textId="4CA03F98"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65DD55EC" w14:textId="233A4ED9"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4F7BEF7F" w14:textId="7B708800"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68E35884" w14:textId="24BC118C"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2E03F1A1" w14:textId="7777777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48E6AA05" w14:textId="5AB89FA3"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557DAA44" w14:textId="185F0D17" w:rsidR="00D55AE3" w:rsidRDefault="00D55AE3" w:rsidP="00D55AE3">
      <w:pPr>
        <w:spacing w:before="240" w:after="240"/>
        <w:rPr>
          <w:rFonts w:ascii="Arial" w:eastAsia="Times New Roman" w:hAnsi="Arial" w:cs="Arial"/>
          <w:b/>
          <w:bCs/>
          <w:color w:val="000000"/>
          <w:kern w:val="0"/>
          <w:sz w:val="22"/>
          <w:szCs w:val="22"/>
          <w:lang w:eastAsia="en-GB"/>
          <w14:ligatures w14:val="none"/>
        </w:rPr>
      </w:pPr>
    </w:p>
    <w:p w14:paraId="3C317754" w14:textId="3C84EADE" w:rsidR="00E87740" w:rsidRPr="00E87740" w:rsidRDefault="00E87740" w:rsidP="00E87740">
      <w:pPr>
        <w:pStyle w:val="NormalWeb"/>
        <w:rPr>
          <w:rFonts w:ascii="Arial" w:hAnsi="Arial" w:cs="Arial"/>
          <w:i/>
          <w:iCs/>
          <w:sz w:val="22"/>
          <w:szCs w:val="22"/>
        </w:rPr>
      </w:pPr>
      <w:r w:rsidRPr="00E87740">
        <w:rPr>
          <w:rStyle w:val="Emphasis"/>
          <w:rFonts w:ascii="Arial" w:hAnsi="Arial" w:cs="Arial"/>
          <w:i w:val="0"/>
          <w:iCs w:val="0"/>
          <w:sz w:val="22"/>
          <w:szCs w:val="22"/>
        </w:rPr>
        <w:t>Geopolitical events like supply disruptions or sanctions are unpredictable. This tool quantifies those risks with a normalized score, combining factors like Russian gas dependency, LNG trends, storage levels, and price volatility.</w:t>
      </w:r>
    </w:p>
    <w:p w14:paraId="52E4512C" w14:textId="52331014" w:rsidR="00E87740" w:rsidRPr="00E87740" w:rsidRDefault="00E87740" w:rsidP="00E87740">
      <w:pPr>
        <w:pStyle w:val="NormalWeb"/>
        <w:rPr>
          <w:rFonts w:ascii="Arial" w:hAnsi="Arial" w:cs="Arial"/>
          <w:i/>
          <w:iCs/>
          <w:sz w:val="22"/>
          <w:szCs w:val="22"/>
        </w:rPr>
      </w:pPr>
      <w:r w:rsidRPr="00E87740">
        <w:rPr>
          <w:rStyle w:val="Emphasis"/>
          <w:rFonts w:ascii="Arial" w:hAnsi="Arial" w:cs="Arial"/>
          <w:i w:val="0"/>
          <w:iCs w:val="0"/>
          <w:sz w:val="22"/>
          <w:szCs w:val="22"/>
        </w:rPr>
        <w:t>Take Germany: a major energy consumer in Europe. Its risk score is driven by a high dependency on Russian gas. On the other hand, countries like Norway, with diversified supply chains, rank far lower.</w:t>
      </w:r>
    </w:p>
    <w:p w14:paraId="1D948D2D" w14:textId="77777777" w:rsidR="00616D7B" w:rsidRDefault="00D55AE3" w:rsidP="00D55AE3">
      <w:pPr>
        <w:spacing w:before="240" w:after="240"/>
        <w:rPr>
          <w:rFonts w:ascii="Arial" w:eastAsia="Times New Roman" w:hAnsi="Arial" w:cs="Arial"/>
          <w:b/>
          <w:bCs/>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Scenario-Based Insights</w:t>
      </w:r>
      <w:r w:rsidR="00532019" w:rsidRPr="00532019">
        <w:rPr>
          <w:rFonts w:ascii="Arial" w:eastAsia="Times New Roman" w:hAnsi="Arial" w:cs="Arial"/>
          <w:b/>
          <w:bCs/>
          <w:color w:val="000000"/>
          <w:kern w:val="0"/>
          <w:sz w:val="22"/>
          <w:szCs w:val="22"/>
          <w:lang w:eastAsia="en-GB"/>
          <w14:ligatures w14:val="none"/>
        </w:rPr>
        <w:t xml:space="preserve"> </w:t>
      </w:r>
    </w:p>
    <w:p w14:paraId="62C7823B" w14:textId="7CD97BEB" w:rsidR="00D55AE3" w:rsidRPr="004567A5" w:rsidRDefault="00616D7B" w:rsidP="004567A5">
      <w:pPr>
        <w:pStyle w:val="ListParagraph"/>
        <w:numPr>
          <w:ilvl w:val="0"/>
          <w:numId w:val="18"/>
        </w:numPr>
        <w:spacing w:before="240" w:after="240"/>
        <w:rPr>
          <w:rFonts w:ascii="Arial" w:eastAsia="Times New Roman" w:hAnsi="Arial" w:cs="Arial"/>
          <w:b/>
          <w:bCs/>
          <w:kern w:val="0"/>
          <w:sz w:val="22"/>
          <w:szCs w:val="22"/>
          <w:lang w:eastAsia="en-GB"/>
          <w14:ligatures w14:val="none"/>
        </w:rPr>
      </w:pPr>
      <w:r w:rsidRPr="004567A5">
        <w:rPr>
          <w:rFonts w:ascii="Arial" w:eastAsia="Times New Roman" w:hAnsi="Arial" w:cs="Arial"/>
          <w:b/>
          <w:bCs/>
          <w:color w:val="000000"/>
          <w:kern w:val="0"/>
          <w:sz w:val="22"/>
          <w:szCs w:val="22"/>
          <w:lang w:eastAsia="en-GB"/>
          <w14:ligatures w14:val="none"/>
        </w:rPr>
        <w:lastRenderedPageBreak/>
        <w:t xml:space="preserve">Energy Distributor Scenario analysis </w:t>
      </w:r>
      <w:r w:rsidR="00532019" w:rsidRPr="004567A5">
        <w:rPr>
          <w:rFonts w:ascii="Arial" w:eastAsia="Times New Roman" w:hAnsi="Arial" w:cs="Arial"/>
          <w:b/>
          <w:bCs/>
          <w:color w:val="000000"/>
          <w:kern w:val="0"/>
          <w:sz w:val="22"/>
          <w:szCs w:val="22"/>
          <w:lang w:eastAsia="en-GB"/>
          <w14:ligatures w14:val="none"/>
        </w:rPr>
        <w:t>(</w:t>
      </w:r>
      <w:r w:rsidR="00532019" w:rsidRPr="004567A5">
        <w:rPr>
          <w:rFonts w:ascii="Arial" w:eastAsia="Times New Roman" w:hAnsi="Arial" w:cs="Arial"/>
          <w:b/>
          <w:bCs/>
          <w:i/>
          <w:iCs/>
          <w:color w:val="000000"/>
          <w:kern w:val="0"/>
          <w:sz w:val="22"/>
          <w:szCs w:val="22"/>
          <w:lang w:eastAsia="en-GB"/>
          <w14:ligatures w14:val="none"/>
        </w:rPr>
        <w:t xml:space="preserve">eg prompt: </w:t>
      </w:r>
      <w:r w:rsidR="00532019" w:rsidRPr="004567A5">
        <w:rPr>
          <w:rFonts w:ascii="Arial" w:hAnsi="Arial" w:cs="Arial"/>
          <w:b/>
          <w:bCs/>
          <w:i/>
          <w:iCs/>
          <w:sz w:val="22"/>
          <w:szCs w:val="22"/>
        </w:rPr>
        <w:t>What happens if Russian gas exports to Europe decrease by 20%? Show the impact on geopolitical risk scores for all countries in the dataset</w:t>
      </w:r>
      <w:r w:rsidR="00532019" w:rsidRPr="004567A5">
        <w:rPr>
          <w:rFonts w:ascii="Arial" w:hAnsi="Arial" w:cs="Arial"/>
          <w:b/>
          <w:bCs/>
          <w:sz w:val="22"/>
          <w:szCs w:val="22"/>
        </w:rPr>
        <w:t>)</w:t>
      </w:r>
    </w:p>
    <w:p w14:paraId="1ADBF038" w14:textId="77777777" w:rsidR="00D55AE3" w:rsidRPr="00D55AE3" w:rsidRDefault="00D55AE3" w:rsidP="00D55AE3">
      <w:pPr>
        <w:numPr>
          <w:ilvl w:val="0"/>
          <w:numId w:val="8"/>
        </w:numPr>
        <w:spacing w:before="240"/>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Enables users to simulate potential events, such as a 20% decrease in Russian gas exports, and assess their impact on geopolitical risk and market trends.</w:t>
      </w:r>
    </w:p>
    <w:p w14:paraId="029B6592" w14:textId="58573A07" w:rsidR="00D55AE3" w:rsidRDefault="00D55AE3" w:rsidP="00D55AE3">
      <w:pPr>
        <w:numPr>
          <w:ilvl w:val="0"/>
          <w:numId w:val="9"/>
        </w:numPr>
        <w:spacing w:after="240"/>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 xml:space="preserve">Facilitates strategic planning by </w:t>
      </w:r>
      <w:r w:rsidR="0066728A" w:rsidRPr="00D55AE3">
        <w:rPr>
          <w:rFonts w:ascii="Arial" w:eastAsia="Times New Roman" w:hAnsi="Arial" w:cs="Arial"/>
          <w:color w:val="000000"/>
          <w:kern w:val="0"/>
          <w:sz w:val="22"/>
          <w:szCs w:val="22"/>
          <w:lang w:eastAsia="en-GB"/>
          <w14:ligatures w14:val="none"/>
        </w:rPr>
        <w:t>modelling</w:t>
      </w:r>
      <w:r w:rsidRPr="00D55AE3">
        <w:rPr>
          <w:rFonts w:ascii="Arial" w:eastAsia="Times New Roman" w:hAnsi="Arial" w:cs="Arial"/>
          <w:color w:val="000000"/>
          <w:kern w:val="0"/>
          <w:sz w:val="22"/>
          <w:szCs w:val="22"/>
          <w:lang w:eastAsia="en-GB"/>
          <w14:ligatures w14:val="none"/>
        </w:rPr>
        <w:t xml:space="preserve"> how changes in policy or market conditions affect energy dependency and pricing.</w:t>
      </w:r>
    </w:p>
    <w:p w14:paraId="79398AD8" w14:textId="6E4D9F41" w:rsidR="00532019" w:rsidRPr="00D55AE3" w:rsidRDefault="00532019" w:rsidP="00532019">
      <w:pPr>
        <w:spacing w:after="240"/>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drawing>
          <wp:anchor distT="0" distB="0" distL="114300" distR="114300" simplePos="0" relativeHeight="251663360" behindDoc="0" locked="0" layoutInCell="1" allowOverlap="1" wp14:anchorId="01AB2CAC" wp14:editId="2897FE83">
            <wp:simplePos x="0" y="0"/>
            <wp:positionH relativeFrom="column">
              <wp:posOffset>-106791</wp:posOffset>
            </wp:positionH>
            <wp:positionV relativeFrom="paragraph">
              <wp:posOffset>-623045</wp:posOffset>
            </wp:positionV>
            <wp:extent cx="5731510" cy="5832475"/>
            <wp:effectExtent l="0" t="0" r="0" b="0"/>
            <wp:wrapNone/>
            <wp:docPr id="10" name="Picture 10" descr="Screens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832475"/>
                    </a:xfrm>
                    <a:prstGeom prst="rect">
                      <a:avLst/>
                    </a:prstGeom>
                  </pic:spPr>
                </pic:pic>
              </a:graphicData>
            </a:graphic>
            <wp14:sizeRelH relativeFrom="page">
              <wp14:pctWidth>0</wp14:pctWidth>
            </wp14:sizeRelH>
            <wp14:sizeRelV relativeFrom="page">
              <wp14:pctHeight>0</wp14:pctHeight>
            </wp14:sizeRelV>
          </wp:anchor>
        </w:drawing>
      </w:r>
    </w:p>
    <w:p w14:paraId="12DB18E5"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6B8B298F"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5617E06F"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2EA924EC"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003DEE95"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23660A32"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07244D8C"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51DF5BC6"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6012B6C4"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4AE97017"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5DDD4035"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58CC91F8"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5B1348FB"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20032B3C"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545556C4"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22565045"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3F327CC0" w14:textId="77777777" w:rsidR="00532019" w:rsidRDefault="00532019" w:rsidP="00D55AE3">
      <w:pPr>
        <w:spacing w:before="240" w:after="240"/>
        <w:rPr>
          <w:rFonts w:ascii="Arial" w:eastAsia="Times New Roman" w:hAnsi="Arial" w:cs="Arial"/>
          <w:b/>
          <w:bCs/>
          <w:color w:val="000000"/>
          <w:kern w:val="0"/>
          <w:sz w:val="22"/>
          <w:szCs w:val="22"/>
          <w:lang w:eastAsia="en-GB"/>
          <w14:ligatures w14:val="none"/>
        </w:rPr>
      </w:pPr>
    </w:p>
    <w:p w14:paraId="73485D06" w14:textId="77777777" w:rsidR="00E87740" w:rsidRPr="00E87740" w:rsidRDefault="00E87740" w:rsidP="00E87740">
      <w:pPr>
        <w:pStyle w:val="NormalWeb"/>
        <w:rPr>
          <w:rFonts w:ascii="Arial" w:hAnsi="Arial" w:cs="Arial"/>
          <w:sz w:val="22"/>
          <w:szCs w:val="22"/>
        </w:rPr>
      </w:pPr>
      <w:r w:rsidRPr="00E87740">
        <w:rPr>
          <w:rStyle w:val="Emphasis"/>
          <w:rFonts w:ascii="Arial" w:hAnsi="Arial" w:cs="Arial"/>
          <w:i w:val="0"/>
          <w:iCs w:val="0"/>
          <w:sz w:val="22"/>
          <w:szCs w:val="22"/>
        </w:rPr>
        <w:t>Imagine a 20% reduction in Russian gas exports. EnergyQuantGPT projects the impact: Germany’s risk score rises significantly, while Norway remains stable. This allows distributors to anticipate supply chain vulnerabilities and make proactive adjustments.</w:t>
      </w:r>
    </w:p>
    <w:p w14:paraId="3A61C61D" w14:textId="53D44831" w:rsidR="00E87740" w:rsidRPr="00E87740" w:rsidRDefault="00E87740" w:rsidP="00E87740">
      <w:pPr>
        <w:pStyle w:val="NormalWeb"/>
        <w:rPr>
          <w:rFonts w:ascii="Arial" w:hAnsi="Arial" w:cs="Arial"/>
          <w:sz w:val="22"/>
          <w:szCs w:val="22"/>
        </w:rPr>
      </w:pPr>
      <w:r w:rsidRPr="00E87740">
        <w:rPr>
          <w:rFonts w:ascii="Arial" w:hAnsi="Arial" w:cs="Arial"/>
          <w:sz w:val="22"/>
          <w:szCs w:val="22"/>
        </w:rPr>
        <w:br/>
      </w:r>
      <w:r w:rsidRPr="00E87740">
        <w:rPr>
          <w:rStyle w:val="Emphasis"/>
          <w:rFonts w:ascii="Arial" w:hAnsi="Arial" w:cs="Arial"/>
          <w:i w:val="0"/>
          <w:iCs w:val="0"/>
          <w:sz w:val="22"/>
          <w:szCs w:val="22"/>
        </w:rPr>
        <w:t>Distributors no longer have to rely on intuition. This model provides clarity and actionable insights in uncertain markets.</w:t>
      </w:r>
    </w:p>
    <w:p w14:paraId="0C35E342" w14:textId="77777777" w:rsidR="00E87740" w:rsidRDefault="00E87740" w:rsidP="00D55AE3">
      <w:pPr>
        <w:spacing w:before="240" w:after="240"/>
        <w:rPr>
          <w:rFonts w:ascii="Arial" w:eastAsia="Times New Roman" w:hAnsi="Arial" w:cs="Arial"/>
          <w:b/>
          <w:bCs/>
          <w:color w:val="000000"/>
          <w:kern w:val="0"/>
          <w:sz w:val="22"/>
          <w:szCs w:val="22"/>
          <w:lang w:eastAsia="en-GB"/>
          <w14:ligatures w14:val="none"/>
        </w:rPr>
      </w:pPr>
    </w:p>
    <w:p w14:paraId="09BA1D46" w14:textId="77777777" w:rsidR="00E87740" w:rsidRDefault="00E87740" w:rsidP="00D55AE3">
      <w:pPr>
        <w:spacing w:before="240" w:after="240"/>
        <w:rPr>
          <w:rFonts w:ascii="Arial" w:eastAsia="Times New Roman" w:hAnsi="Arial" w:cs="Arial"/>
          <w:b/>
          <w:bCs/>
          <w:color w:val="000000"/>
          <w:kern w:val="0"/>
          <w:sz w:val="22"/>
          <w:szCs w:val="22"/>
          <w:lang w:eastAsia="en-GB"/>
          <w14:ligatures w14:val="none"/>
        </w:rPr>
      </w:pPr>
    </w:p>
    <w:p w14:paraId="1E94419F" w14:textId="1916FD54" w:rsidR="00D55AE3" w:rsidRPr="004567A5" w:rsidRDefault="00D55AE3" w:rsidP="004567A5">
      <w:pPr>
        <w:pStyle w:val="ListParagraph"/>
        <w:numPr>
          <w:ilvl w:val="0"/>
          <w:numId w:val="18"/>
        </w:numPr>
        <w:spacing w:before="240" w:after="240"/>
        <w:rPr>
          <w:rFonts w:ascii="Times New Roman" w:eastAsia="Times New Roman" w:hAnsi="Times New Roman" w:cs="Times New Roman"/>
          <w:kern w:val="0"/>
          <w:lang w:eastAsia="en-GB"/>
          <w14:ligatures w14:val="none"/>
        </w:rPr>
      </w:pPr>
      <w:r w:rsidRPr="004567A5">
        <w:rPr>
          <w:rFonts w:ascii="Arial" w:eastAsia="Times New Roman" w:hAnsi="Arial" w:cs="Arial"/>
          <w:b/>
          <w:bCs/>
          <w:color w:val="000000"/>
          <w:kern w:val="0"/>
          <w:sz w:val="22"/>
          <w:szCs w:val="22"/>
          <w:lang w:eastAsia="en-GB"/>
          <w14:ligatures w14:val="none"/>
        </w:rPr>
        <w:t>Investment Recommendations</w:t>
      </w:r>
      <w:r w:rsidR="00616D7B" w:rsidRPr="004567A5">
        <w:rPr>
          <w:rFonts w:ascii="Arial" w:eastAsia="Times New Roman" w:hAnsi="Arial" w:cs="Arial"/>
          <w:b/>
          <w:bCs/>
          <w:color w:val="000000"/>
          <w:kern w:val="0"/>
          <w:sz w:val="22"/>
          <w:szCs w:val="22"/>
          <w:lang w:eastAsia="en-GB"/>
          <w14:ligatures w14:val="none"/>
        </w:rPr>
        <w:t xml:space="preserve"> (</w:t>
      </w:r>
      <w:r w:rsidR="00616D7B" w:rsidRPr="004567A5">
        <w:rPr>
          <w:rFonts w:ascii="Arial" w:eastAsia="Times New Roman" w:hAnsi="Arial" w:cs="Arial"/>
          <w:b/>
          <w:bCs/>
          <w:i/>
          <w:iCs/>
          <w:color w:val="000000"/>
          <w:kern w:val="0"/>
          <w:sz w:val="22"/>
          <w:szCs w:val="22"/>
          <w:lang w:eastAsia="en-GB"/>
          <w14:ligatures w14:val="none"/>
        </w:rPr>
        <w:t xml:space="preserve">eg prompt: </w:t>
      </w:r>
      <w:r w:rsidR="00616D7B" w:rsidRPr="004567A5">
        <w:rPr>
          <w:rFonts w:ascii="Arial" w:hAnsi="Arial" w:cs="Arial"/>
          <w:b/>
          <w:bCs/>
          <w:i/>
          <w:iCs/>
          <w:sz w:val="22"/>
          <w:szCs w:val="22"/>
        </w:rPr>
        <w:t>Where should I invest £50 million in a green hydrogen electrolyser? Consider geopolitical risk and energy infrastructure readiness in Europe</w:t>
      </w:r>
      <w:r w:rsidR="00616D7B" w:rsidRPr="004567A5">
        <w:rPr>
          <w:rFonts w:ascii="Arial" w:hAnsi="Arial" w:cs="Arial"/>
          <w:b/>
          <w:bCs/>
          <w:sz w:val="22"/>
          <w:szCs w:val="22"/>
        </w:rPr>
        <w:t>)</w:t>
      </w:r>
    </w:p>
    <w:p w14:paraId="38A6315A" w14:textId="0406ECEC" w:rsidR="00D55AE3" w:rsidRPr="00D55AE3" w:rsidRDefault="00D55AE3" w:rsidP="00D55AE3">
      <w:pPr>
        <w:numPr>
          <w:ilvl w:val="0"/>
          <w:numId w:val="10"/>
        </w:numPr>
        <w:spacing w:before="240"/>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 xml:space="preserve">Offers location-based analysis for investment opportunities, such as building a green hydrogen </w:t>
      </w:r>
      <w:r w:rsidR="0066728A" w:rsidRPr="00D55AE3">
        <w:rPr>
          <w:rFonts w:ascii="Arial" w:eastAsia="Times New Roman" w:hAnsi="Arial" w:cs="Arial"/>
          <w:color w:val="000000"/>
          <w:kern w:val="0"/>
          <w:sz w:val="22"/>
          <w:szCs w:val="22"/>
          <w:lang w:eastAsia="en-GB"/>
          <w14:ligatures w14:val="none"/>
        </w:rPr>
        <w:t>electrolyser</w:t>
      </w:r>
      <w:r w:rsidRPr="00D55AE3">
        <w:rPr>
          <w:rFonts w:ascii="Arial" w:eastAsia="Times New Roman" w:hAnsi="Arial" w:cs="Arial"/>
          <w:color w:val="000000"/>
          <w:kern w:val="0"/>
          <w:sz w:val="22"/>
          <w:szCs w:val="22"/>
          <w:lang w:eastAsia="en-GB"/>
          <w14:ligatures w14:val="none"/>
        </w:rPr>
        <w:t xml:space="preserve"> or expanding LNG infrastructure.</w:t>
      </w:r>
    </w:p>
    <w:p w14:paraId="5AC02A34" w14:textId="59A40911" w:rsidR="00D55AE3" w:rsidRPr="00D55AE3" w:rsidRDefault="00D55AE3" w:rsidP="00D55AE3">
      <w:pPr>
        <w:numPr>
          <w:ilvl w:val="0"/>
          <w:numId w:val="11"/>
        </w:numPr>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Uses geopolitical risk scores and energy infrastructure readiness to recommend optimal locations for investments.</w:t>
      </w:r>
    </w:p>
    <w:p w14:paraId="191FE4EF" w14:textId="5DE7CDBD" w:rsidR="00D55AE3" w:rsidRDefault="004567A5" w:rsidP="00D55AE3">
      <w:pPr>
        <w:numPr>
          <w:ilvl w:val="0"/>
          <w:numId w:val="12"/>
        </w:numPr>
        <w:spacing w:after="240"/>
        <w:ind w:left="1440"/>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drawing>
          <wp:anchor distT="0" distB="0" distL="114300" distR="114300" simplePos="0" relativeHeight="251664384" behindDoc="0" locked="0" layoutInCell="1" allowOverlap="1" wp14:anchorId="4B4514B6" wp14:editId="21E75D55">
            <wp:simplePos x="0" y="0"/>
            <wp:positionH relativeFrom="column">
              <wp:posOffset>-92765</wp:posOffset>
            </wp:positionH>
            <wp:positionV relativeFrom="paragraph">
              <wp:posOffset>464047</wp:posOffset>
            </wp:positionV>
            <wp:extent cx="3258339" cy="3657600"/>
            <wp:effectExtent l="0" t="0" r="5715" b="0"/>
            <wp:wrapNone/>
            <wp:docPr id="11"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7185" cy="3667530"/>
                    </a:xfrm>
                    <a:prstGeom prst="rect">
                      <a:avLst/>
                    </a:prstGeom>
                  </pic:spPr>
                </pic:pic>
              </a:graphicData>
            </a:graphic>
            <wp14:sizeRelH relativeFrom="page">
              <wp14:pctWidth>0</wp14:pctWidth>
            </wp14:sizeRelH>
            <wp14:sizeRelV relativeFrom="page">
              <wp14:pctHeight>0</wp14:pctHeight>
            </wp14:sizeRelV>
          </wp:anchor>
        </w:drawing>
      </w:r>
      <w:r w:rsidR="00D55AE3" w:rsidRPr="00D55AE3">
        <w:rPr>
          <w:rFonts w:ascii="Arial" w:eastAsia="Times New Roman" w:hAnsi="Arial" w:cs="Arial"/>
          <w:color w:val="000000"/>
          <w:kern w:val="0"/>
          <w:sz w:val="22"/>
          <w:szCs w:val="22"/>
          <w:lang w:eastAsia="en-GB"/>
          <w14:ligatures w14:val="none"/>
        </w:rPr>
        <w:t>Tailored outputs designed for investors to evaluate risk-adjusted returns effectively.</w:t>
      </w:r>
    </w:p>
    <w:p w14:paraId="268662E5" w14:textId="4E564026" w:rsidR="00E87740" w:rsidRDefault="00E87740" w:rsidP="00E87740">
      <w:pPr>
        <w:spacing w:after="240"/>
        <w:textAlignment w:val="baseline"/>
        <w:rPr>
          <w:rFonts w:ascii="Arial" w:eastAsia="Times New Roman" w:hAnsi="Arial" w:cs="Arial"/>
          <w:color w:val="000000"/>
          <w:kern w:val="0"/>
          <w:sz w:val="22"/>
          <w:szCs w:val="22"/>
          <w:lang w:eastAsia="en-GB"/>
          <w14:ligatures w14:val="none"/>
        </w:rPr>
      </w:pPr>
    </w:p>
    <w:p w14:paraId="0BE33E73" w14:textId="7CB34535" w:rsidR="00E87740" w:rsidRDefault="00E87740" w:rsidP="00E87740">
      <w:pPr>
        <w:spacing w:after="240"/>
        <w:textAlignment w:val="baseline"/>
        <w:rPr>
          <w:rFonts w:ascii="Arial" w:eastAsia="Times New Roman" w:hAnsi="Arial" w:cs="Arial"/>
          <w:color w:val="000000"/>
          <w:kern w:val="0"/>
          <w:sz w:val="22"/>
          <w:szCs w:val="22"/>
          <w:lang w:eastAsia="en-GB"/>
          <w14:ligatures w14:val="none"/>
        </w:rPr>
      </w:pPr>
    </w:p>
    <w:p w14:paraId="6002A0C5" w14:textId="60391A11" w:rsidR="004567A5" w:rsidRDefault="004567A5" w:rsidP="00616D7B">
      <w:pPr>
        <w:pStyle w:val="NormalWeb"/>
        <w:rPr>
          <w:rStyle w:val="Emphasis"/>
          <w:rFonts w:ascii="Arial" w:hAnsi="Arial" w:cs="Arial"/>
          <w:i w:val="0"/>
          <w:iCs w:val="0"/>
          <w:sz w:val="22"/>
          <w:szCs w:val="22"/>
        </w:rPr>
      </w:pPr>
    </w:p>
    <w:p w14:paraId="7A98D319" w14:textId="71E9A28E" w:rsidR="004567A5" w:rsidRDefault="004567A5" w:rsidP="00616D7B">
      <w:pPr>
        <w:pStyle w:val="NormalWeb"/>
        <w:rPr>
          <w:rStyle w:val="Emphasis"/>
          <w:rFonts w:ascii="Arial" w:hAnsi="Arial" w:cs="Arial"/>
          <w:i w:val="0"/>
          <w:iCs w:val="0"/>
          <w:sz w:val="22"/>
          <w:szCs w:val="22"/>
        </w:rPr>
      </w:pPr>
    </w:p>
    <w:p w14:paraId="6F5D0F7D" w14:textId="4F73883B" w:rsidR="004567A5" w:rsidRDefault="004567A5" w:rsidP="00616D7B">
      <w:pPr>
        <w:pStyle w:val="NormalWeb"/>
        <w:rPr>
          <w:rStyle w:val="Emphasis"/>
          <w:rFonts w:ascii="Arial" w:hAnsi="Arial" w:cs="Arial"/>
          <w:i w:val="0"/>
          <w:iCs w:val="0"/>
          <w:sz w:val="22"/>
          <w:szCs w:val="22"/>
        </w:rPr>
      </w:pPr>
    </w:p>
    <w:p w14:paraId="7DD68E21" w14:textId="307F9B13" w:rsidR="004567A5" w:rsidRDefault="004567A5" w:rsidP="00616D7B">
      <w:pPr>
        <w:pStyle w:val="NormalWeb"/>
        <w:rPr>
          <w:rStyle w:val="Emphasis"/>
          <w:rFonts w:ascii="Arial" w:hAnsi="Arial" w:cs="Arial"/>
          <w:i w:val="0"/>
          <w:iCs w:val="0"/>
          <w:sz w:val="22"/>
          <w:szCs w:val="22"/>
        </w:rPr>
      </w:pPr>
    </w:p>
    <w:p w14:paraId="4157AB65" w14:textId="5F00FFD6" w:rsidR="004567A5" w:rsidRDefault="004567A5" w:rsidP="00616D7B">
      <w:pPr>
        <w:pStyle w:val="NormalWeb"/>
        <w:rPr>
          <w:rStyle w:val="Emphasis"/>
          <w:rFonts w:ascii="Arial" w:hAnsi="Arial" w:cs="Arial"/>
          <w:i w:val="0"/>
          <w:iCs w:val="0"/>
          <w:sz w:val="22"/>
          <w:szCs w:val="22"/>
        </w:rPr>
      </w:pPr>
    </w:p>
    <w:p w14:paraId="376EE617" w14:textId="6403E7D2" w:rsidR="004567A5" w:rsidRDefault="004567A5" w:rsidP="00616D7B">
      <w:pPr>
        <w:pStyle w:val="NormalWeb"/>
        <w:rPr>
          <w:rStyle w:val="Emphasis"/>
          <w:rFonts w:ascii="Arial" w:hAnsi="Arial" w:cs="Arial"/>
          <w:i w:val="0"/>
          <w:iCs w:val="0"/>
          <w:sz w:val="22"/>
          <w:szCs w:val="22"/>
        </w:rPr>
      </w:pPr>
    </w:p>
    <w:p w14:paraId="573D4EF8" w14:textId="6705C9F2" w:rsidR="004567A5" w:rsidRDefault="004567A5" w:rsidP="00616D7B">
      <w:pPr>
        <w:pStyle w:val="NormalWeb"/>
        <w:rPr>
          <w:rStyle w:val="Emphasis"/>
          <w:rFonts w:ascii="Arial" w:hAnsi="Arial" w:cs="Arial"/>
          <w:i w:val="0"/>
          <w:iCs w:val="0"/>
          <w:sz w:val="22"/>
          <w:szCs w:val="22"/>
        </w:rPr>
      </w:pPr>
    </w:p>
    <w:p w14:paraId="5F4637CF" w14:textId="7A89C5F0" w:rsidR="004567A5" w:rsidRDefault="004567A5" w:rsidP="00616D7B">
      <w:pPr>
        <w:pStyle w:val="NormalWeb"/>
        <w:rPr>
          <w:rStyle w:val="Emphasis"/>
          <w:rFonts w:ascii="Arial" w:hAnsi="Arial" w:cs="Arial"/>
          <w:i w:val="0"/>
          <w:iCs w:val="0"/>
          <w:sz w:val="22"/>
          <w:szCs w:val="22"/>
        </w:rPr>
      </w:pPr>
      <w:r>
        <w:rPr>
          <w:rFonts w:ascii="Arial" w:hAnsi="Arial" w:cs="Arial"/>
          <w:noProof/>
          <w:sz w:val="22"/>
          <w:szCs w:val="22"/>
          <w14:ligatures w14:val="standardContextual"/>
        </w:rPr>
        <w:drawing>
          <wp:anchor distT="0" distB="0" distL="114300" distR="114300" simplePos="0" relativeHeight="251665408" behindDoc="0" locked="0" layoutInCell="1" allowOverlap="1" wp14:anchorId="5B489CE9" wp14:editId="025C16E7">
            <wp:simplePos x="0" y="0"/>
            <wp:positionH relativeFrom="column">
              <wp:posOffset>980054</wp:posOffset>
            </wp:positionH>
            <wp:positionV relativeFrom="paragraph">
              <wp:posOffset>259687</wp:posOffset>
            </wp:positionV>
            <wp:extent cx="5400206" cy="1787704"/>
            <wp:effectExtent l="0" t="0" r="0" b="3175"/>
            <wp:wrapNone/>
            <wp:docPr id="12"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206" cy="1787704"/>
                    </a:xfrm>
                    <a:prstGeom prst="rect">
                      <a:avLst/>
                    </a:prstGeom>
                  </pic:spPr>
                </pic:pic>
              </a:graphicData>
            </a:graphic>
            <wp14:sizeRelH relativeFrom="page">
              <wp14:pctWidth>0</wp14:pctWidth>
            </wp14:sizeRelH>
            <wp14:sizeRelV relativeFrom="page">
              <wp14:pctHeight>0</wp14:pctHeight>
            </wp14:sizeRelV>
          </wp:anchor>
        </w:drawing>
      </w:r>
    </w:p>
    <w:p w14:paraId="2EAE76F2" w14:textId="6BDC3929" w:rsidR="004567A5" w:rsidRDefault="004567A5" w:rsidP="00616D7B">
      <w:pPr>
        <w:pStyle w:val="NormalWeb"/>
        <w:rPr>
          <w:rStyle w:val="Emphasis"/>
          <w:rFonts w:ascii="Arial" w:hAnsi="Arial" w:cs="Arial"/>
          <w:i w:val="0"/>
          <w:iCs w:val="0"/>
          <w:sz w:val="22"/>
          <w:szCs w:val="22"/>
        </w:rPr>
      </w:pPr>
    </w:p>
    <w:p w14:paraId="4539C358" w14:textId="761F6C0B" w:rsidR="004567A5" w:rsidRDefault="004567A5" w:rsidP="00616D7B">
      <w:pPr>
        <w:pStyle w:val="NormalWeb"/>
        <w:rPr>
          <w:rStyle w:val="Emphasis"/>
          <w:rFonts w:ascii="Arial" w:hAnsi="Arial" w:cs="Arial"/>
          <w:i w:val="0"/>
          <w:iCs w:val="0"/>
          <w:sz w:val="22"/>
          <w:szCs w:val="22"/>
        </w:rPr>
      </w:pPr>
    </w:p>
    <w:p w14:paraId="04AEC5A8" w14:textId="2F1DC052" w:rsidR="004567A5" w:rsidRDefault="004567A5" w:rsidP="00616D7B">
      <w:pPr>
        <w:pStyle w:val="NormalWeb"/>
        <w:rPr>
          <w:rStyle w:val="Emphasis"/>
          <w:rFonts w:ascii="Arial" w:hAnsi="Arial" w:cs="Arial"/>
          <w:i w:val="0"/>
          <w:iCs w:val="0"/>
          <w:sz w:val="22"/>
          <w:szCs w:val="22"/>
        </w:rPr>
      </w:pPr>
    </w:p>
    <w:p w14:paraId="4617420C" w14:textId="77777777" w:rsidR="004567A5" w:rsidRDefault="004567A5" w:rsidP="00616D7B">
      <w:pPr>
        <w:pStyle w:val="NormalWeb"/>
        <w:rPr>
          <w:rStyle w:val="Emphasis"/>
          <w:rFonts w:ascii="Arial" w:hAnsi="Arial" w:cs="Arial"/>
          <w:i w:val="0"/>
          <w:iCs w:val="0"/>
          <w:sz w:val="22"/>
          <w:szCs w:val="22"/>
        </w:rPr>
      </w:pPr>
    </w:p>
    <w:p w14:paraId="08517B82" w14:textId="6D247B0E" w:rsidR="004567A5" w:rsidRDefault="004567A5" w:rsidP="00616D7B">
      <w:pPr>
        <w:pStyle w:val="NormalWeb"/>
        <w:rPr>
          <w:rStyle w:val="Emphasis"/>
          <w:rFonts w:ascii="Arial" w:hAnsi="Arial" w:cs="Arial"/>
          <w:i w:val="0"/>
          <w:iCs w:val="0"/>
          <w:sz w:val="22"/>
          <w:szCs w:val="22"/>
        </w:rPr>
      </w:pPr>
    </w:p>
    <w:p w14:paraId="332CE047" w14:textId="77777777" w:rsidR="004567A5" w:rsidRDefault="004567A5" w:rsidP="00616D7B">
      <w:pPr>
        <w:pStyle w:val="NormalWeb"/>
        <w:rPr>
          <w:rStyle w:val="Emphasis"/>
          <w:rFonts w:ascii="Arial" w:hAnsi="Arial" w:cs="Arial"/>
          <w:i w:val="0"/>
          <w:iCs w:val="0"/>
          <w:sz w:val="22"/>
          <w:szCs w:val="22"/>
        </w:rPr>
      </w:pPr>
    </w:p>
    <w:p w14:paraId="79DA2539" w14:textId="4E7BBBFE" w:rsidR="00616D7B" w:rsidRPr="00616D7B" w:rsidRDefault="00616D7B" w:rsidP="00616D7B">
      <w:pPr>
        <w:pStyle w:val="NormalWeb"/>
        <w:rPr>
          <w:rStyle w:val="Emphasis"/>
          <w:rFonts w:ascii="Arial" w:hAnsi="Arial" w:cs="Arial"/>
          <w:i w:val="0"/>
          <w:iCs w:val="0"/>
          <w:sz w:val="22"/>
          <w:szCs w:val="22"/>
        </w:rPr>
      </w:pPr>
      <w:r w:rsidRPr="00616D7B">
        <w:rPr>
          <w:rStyle w:val="Emphasis"/>
          <w:rFonts w:ascii="Arial" w:hAnsi="Arial" w:cs="Arial"/>
          <w:i w:val="0"/>
          <w:iCs w:val="0"/>
          <w:sz w:val="22"/>
          <w:szCs w:val="22"/>
        </w:rPr>
        <w:t>This model evaluates geopolitical risk and infrastructure readiness to guide your decision.</w:t>
      </w:r>
      <w:r w:rsidRPr="00616D7B">
        <w:rPr>
          <w:rFonts w:ascii="Arial" w:hAnsi="Arial" w:cs="Arial"/>
          <w:i/>
          <w:iCs/>
          <w:sz w:val="22"/>
          <w:szCs w:val="22"/>
        </w:rPr>
        <w:br/>
      </w:r>
    </w:p>
    <w:p w14:paraId="3DA45B52" w14:textId="3531EA3A" w:rsidR="00616D7B" w:rsidRPr="00616D7B" w:rsidRDefault="00616D7B" w:rsidP="00616D7B">
      <w:pPr>
        <w:pStyle w:val="NormalWeb"/>
        <w:rPr>
          <w:rFonts w:ascii="Arial" w:hAnsi="Arial" w:cs="Arial"/>
          <w:i/>
          <w:iCs/>
          <w:sz w:val="22"/>
          <w:szCs w:val="22"/>
        </w:rPr>
      </w:pPr>
      <w:r w:rsidRPr="00616D7B">
        <w:rPr>
          <w:rStyle w:val="Emphasis"/>
          <w:rFonts w:ascii="Arial" w:hAnsi="Arial" w:cs="Arial"/>
          <w:i w:val="0"/>
          <w:iCs w:val="0"/>
          <w:sz w:val="22"/>
          <w:szCs w:val="22"/>
        </w:rPr>
        <w:t xml:space="preserve">For example, Norway’s </w:t>
      </w:r>
      <w:r w:rsidRPr="00616D7B">
        <w:rPr>
          <w:rStyle w:val="Emphasis"/>
          <w:rFonts w:ascii="Arial" w:hAnsi="Arial" w:cs="Arial"/>
          <w:i w:val="0"/>
          <w:iCs w:val="0"/>
          <w:sz w:val="22"/>
          <w:szCs w:val="22"/>
        </w:rPr>
        <w:t>low risk</w:t>
      </w:r>
      <w:r w:rsidRPr="00616D7B">
        <w:rPr>
          <w:rStyle w:val="Emphasis"/>
          <w:rFonts w:ascii="Arial" w:hAnsi="Arial" w:cs="Arial"/>
          <w:i w:val="0"/>
          <w:iCs w:val="0"/>
          <w:sz w:val="22"/>
          <w:szCs w:val="22"/>
        </w:rPr>
        <w:t xml:space="preserve"> score and high renewable infrastructure make it the ideal choice for a long-term investment. Alternatively, Germany might score higher on risk but offers a larger market for distribution.</w:t>
      </w:r>
    </w:p>
    <w:p w14:paraId="46046800" w14:textId="77777777" w:rsidR="004567A5" w:rsidRDefault="00616D7B" w:rsidP="004567A5">
      <w:pPr>
        <w:pStyle w:val="NormalWeb"/>
        <w:rPr>
          <w:rStyle w:val="Emphasis"/>
          <w:rFonts w:ascii="Arial" w:hAnsi="Arial" w:cs="Arial"/>
          <w:i w:val="0"/>
          <w:iCs w:val="0"/>
          <w:sz w:val="22"/>
          <w:szCs w:val="22"/>
        </w:rPr>
      </w:pPr>
      <w:r w:rsidRPr="00616D7B">
        <w:rPr>
          <w:rStyle w:val="Emphasis"/>
          <w:rFonts w:ascii="Arial" w:hAnsi="Arial" w:cs="Arial"/>
          <w:i w:val="0"/>
          <w:iCs w:val="0"/>
          <w:sz w:val="22"/>
          <w:szCs w:val="22"/>
        </w:rPr>
        <w:t>This is not just a tool—it’s a strategy engine for informed investment decisions.</w:t>
      </w:r>
    </w:p>
    <w:p w14:paraId="779E68B5" w14:textId="40474081" w:rsidR="00D55AE3" w:rsidRPr="00D55AE3" w:rsidRDefault="00D55AE3" w:rsidP="004567A5">
      <w:pPr>
        <w:pStyle w:val="NormalWeb"/>
        <w:numPr>
          <w:ilvl w:val="0"/>
          <w:numId w:val="18"/>
        </w:numPr>
        <w:rPr>
          <w:rFonts w:ascii="Arial" w:hAnsi="Arial" w:cs="Arial"/>
          <w:i/>
          <w:iCs/>
          <w:sz w:val="22"/>
          <w:szCs w:val="22"/>
        </w:rPr>
      </w:pPr>
      <w:r w:rsidRPr="00D55AE3">
        <w:rPr>
          <w:rFonts w:ascii="Arial" w:hAnsi="Arial" w:cs="Arial"/>
          <w:b/>
          <w:bCs/>
          <w:color w:val="000000"/>
          <w:sz w:val="22"/>
          <w:szCs w:val="22"/>
        </w:rPr>
        <w:lastRenderedPageBreak/>
        <w:t>Policy Impact Simulations</w:t>
      </w:r>
      <w:r w:rsidR="004567A5">
        <w:rPr>
          <w:rFonts w:ascii="Arial" w:hAnsi="Arial" w:cs="Arial"/>
          <w:b/>
          <w:bCs/>
          <w:color w:val="000000"/>
          <w:sz w:val="22"/>
          <w:szCs w:val="22"/>
        </w:rPr>
        <w:t xml:space="preserve"> (</w:t>
      </w:r>
      <w:r w:rsidR="004567A5" w:rsidRPr="004567A5">
        <w:rPr>
          <w:rFonts w:ascii="Arial" w:hAnsi="Arial" w:cs="Arial"/>
          <w:b/>
          <w:bCs/>
          <w:i/>
          <w:iCs/>
          <w:color w:val="000000"/>
          <w:sz w:val="22"/>
          <w:szCs w:val="22"/>
        </w:rPr>
        <w:t xml:space="preserve">eg prompt: </w:t>
      </w:r>
      <w:r w:rsidR="004567A5" w:rsidRPr="004567A5">
        <w:rPr>
          <w:rFonts w:ascii="Arial" w:hAnsi="Arial" w:cs="Arial"/>
          <w:b/>
          <w:bCs/>
          <w:i/>
          <w:iCs/>
          <w:sz w:val="22"/>
          <w:szCs w:val="22"/>
        </w:rPr>
        <w:t>Simulate the impact of stricter LNG import tariffs across Europe. Show risk score changes and energy price trends for key countries</w:t>
      </w:r>
      <w:r w:rsidR="004567A5" w:rsidRPr="004567A5">
        <w:rPr>
          <w:rFonts w:ascii="Arial" w:hAnsi="Arial" w:cs="Arial"/>
          <w:b/>
          <w:bCs/>
          <w:color w:val="000000"/>
          <w:sz w:val="22"/>
          <w:szCs w:val="22"/>
        </w:rPr>
        <w:t>)</w:t>
      </w:r>
    </w:p>
    <w:p w14:paraId="1323D753" w14:textId="64A0E3A3" w:rsidR="00D55AE3" w:rsidRPr="00D55AE3" w:rsidRDefault="00D55AE3" w:rsidP="00D55AE3">
      <w:pPr>
        <w:numPr>
          <w:ilvl w:val="0"/>
          <w:numId w:val="13"/>
        </w:numPr>
        <w:spacing w:before="240"/>
        <w:ind w:left="14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Evaluates the potential outcomes of policy changes, such as imposing stricter LNG import tariffs.</w:t>
      </w:r>
    </w:p>
    <w:p w14:paraId="61085076" w14:textId="53F7DFA4" w:rsidR="00D55AE3" w:rsidRDefault="00796B2F" w:rsidP="00D55AE3">
      <w:pPr>
        <w:numPr>
          <w:ilvl w:val="0"/>
          <w:numId w:val="14"/>
        </w:numPr>
        <w:spacing w:after="240"/>
        <w:ind w:left="1440"/>
        <w:textAlignment w:val="baseline"/>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drawing>
          <wp:anchor distT="0" distB="0" distL="114300" distR="114300" simplePos="0" relativeHeight="251666432" behindDoc="0" locked="0" layoutInCell="1" allowOverlap="1" wp14:anchorId="65518134" wp14:editId="16D3167B">
            <wp:simplePos x="0" y="0"/>
            <wp:positionH relativeFrom="column">
              <wp:posOffset>0</wp:posOffset>
            </wp:positionH>
            <wp:positionV relativeFrom="paragraph">
              <wp:posOffset>317639</wp:posOffset>
            </wp:positionV>
            <wp:extent cx="4067796" cy="4121426"/>
            <wp:effectExtent l="0" t="0" r="0" b="0"/>
            <wp:wrapNone/>
            <wp:docPr id="1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5516" cy="4129248"/>
                    </a:xfrm>
                    <a:prstGeom prst="rect">
                      <a:avLst/>
                    </a:prstGeom>
                  </pic:spPr>
                </pic:pic>
              </a:graphicData>
            </a:graphic>
            <wp14:sizeRelH relativeFrom="page">
              <wp14:pctWidth>0</wp14:pctWidth>
            </wp14:sizeRelH>
            <wp14:sizeRelV relativeFrom="page">
              <wp14:pctHeight>0</wp14:pctHeight>
            </wp14:sizeRelV>
          </wp:anchor>
        </w:drawing>
      </w:r>
      <w:r w:rsidR="00D55AE3" w:rsidRPr="00D55AE3">
        <w:rPr>
          <w:rFonts w:ascii="Arial" w:eastAsia="Times New Roman" w:hAnsi="Arial" w:cs="Arial"/>
          <w:color w:val="000000"/>
          <w:kern w:val="0"/>
          <w:sz w:val="22"/>
          <w:szCs w:val="22"/>
          <w:lang w:eastAsia="en-GB"/>
          <w14:ligatures w14:val="none"/>
        </w:rPr>
        <w:t>Provides insights into how such changes could influence energy prices, storage levels, and geopolitical risk scores.</w:t>
      </w:r>
    </w:p>
    <w:p w14:paraId="7ABE588B" w14:textId="3FC6B1CC" w:rsidR="00616D7B" w:rsidRDefault="00616D7B" w:rsidP="00616D7B">
      <w:pPr>
        <w:spacing w:after="240"/>
        <w:textAlignment w:val="baseline"/>
        <w:rPr>
          <w:rFonts w:ascii="Arial" w:eastAsia="Times New Roman" w:hAnsi="Arial" w:cs="Arial"/>
          <w:color w:val="000000"/>
          <w:kern w:val="0"/>
          <w:sz w:val="22"/>
          <w:szCs w:val="22"/>
          <w:lang w:eastAsia="en-GB"/>
          <w14:ligatures w14:val="none"/>
        </w:rPr>
      </w:pPr>
    </w:p>
    <w:p w14:paraId="0A072432" w14:textId="625D11A2" w:rsidR="00616D7B" w:rsidRDefault="00616D7B" w:rsidP="00616D7B">
      <w:pPr>
        <w:spacing w:after="240"/>
        <w:textAlignment w:val="baseline"/>
        <w:rPr>
          <w:rFonts w:ascii="Arial" w:eastAsia="Times New Roman" w:hAnsi="Arial" w:cs="Arial"/>
          <w:color w:val="000000"/>
          <w:kern w:val="0"/>
          <w:sz w:val="22"/>
          <w:szCs w:val="22"/>
          <w:lang w:eastAsia="en-GB"/>
          <w14:ligatures w14:val="none"/>
        </w:rPr>
      </w:pPr>
    </w:p>
    <w:p w14:paraId="667D217D" w14:textId="7BC27D82" w:rsidR="004567A5" w:rsidRDefault="004567A5" w:rsidP="00616D7B">
      <w:pPr>
        <w:pStyle w:val="NormalWeb"/>
        <w:rPr>
          <w:rStyle w:val="Emphasis"/>
          <w:rFonts w:ascii="Arial" w:hAnsi="Arial" w:cs="Arial"/>
          <w:i w:val="0"/>
          <w:iCs w:val="0"/>
          <w:sz w:val="22"/>
          <w:szCs w:val="22"/>
        </w:rPr>
      </w:pPr>
    </w:p>
    <w:p w14:paraId="23CCD36D" w14:textId="7DEE5F16" w:rsidR="004567A5" w:rsidRDefault="004567A5" w:rsidP="00616D7B">
      <w:pPr>
        <w:pStyle w:val="NormalWeb"/>
        <w:rPr>
          <w:rStyle w:val="Emphasis"/>
          <w:rFonts w:ascii="Arial" w:hAnsi="Arial" w:cs="Arial"/>
          <w:i w:val="0"/>
          <w:iCs w:val="0"/>
          <w:sz w:val="22"/>
          <w:szCs w:val="22"/>
        </w:rPr>
      </w:pPr>
    </w:p>
    <w:p w14:paraId="05F1EA6A" w14:textId="18AD85EF" w:rsidR="004567A5" w:rsidRDefault="004567A5" w:rsidP="00616D7B">
      <w:pPr>
        <w:pStyle w:val="NormalWeb"/>
        <w:rPr>
          <w:rStyle w:val="Emphasis"/>
          <w:rFonts w:ascii="Arial" w:hAnsi="Arial" w:cs="Arial"/>
          <w:i w:val="0"/>
          <w:iCs w:val="0"/>
          <w:sz w:val="22"/>
          <w:szCs w:val="22"/>
        </w:rPr>
      </w:pPr>
    </w:p>
    <w:p w14:paraId="0ADEAD52" w14:textId="0416DFB4" w:rsidR="004567A5" w:rsidRDefault="004567A5" w:rsidP="00616D7B">
      <w:pPr>
        <w:pStyle w:val="NormalWeb"/>
        <w:rPr>
          <w:rStyle w:val="Emphasis"/>
          <w:rFonts w:ascii="Arial" w:hAnsi="Arial" w:cs="Arial"/>
          <w:i w:val="0"/>
          <w:iCs w:val="0"/>
          <w:sz w:val="22"/>
          <w:szCs w:val="22"/>
        </w:rPr>
      </w:pPr>
    </w:p>
    <w:p w14:paraId="7E84C033" w14:textId="217F3B1E" w:rsidR="004567A5" w:rsidRDefault="004567A5" w:rsidP="00616D7B">
      <w:pPr>
        <w:pStyle w:val="NormalWeb"/>
        <w:rPr>
          <w:rStyle w:val="Emphasis"/>
          <w:rFonts w:ascii="Arial" w:hAnsi="Arial" w:cs="Arial"/>
          <w:i w:val="0"/>
          <w:iCs w:val="0"/>
          <w:sz w:val="22"/>
          <w:szCs w:val="22"/>
        </w:rPr>
      </w:pPr>
    </w:p>
    <w:p w14:paraId="1BA4988B" w14:textId="79BB2C79" w:rsidR="004567A5" w:rsidRDefault="004567A5" w:rsidP="00616D7B">
      <w:pPr>
        <w:pStyle w:val="NormalWeb"/>
        <w:rPr>
          <w:rStyle w:val="Emphasis"/>
          <w:rFonts w:ascii="Arial" w:hAnsi="Arial" w:cs="Arial"/>
          <w:i w:val="0"/>
          <w:iCs w:val="0"/>
          <w:sz w:val="22"/>
          <w:szCs w:val="22"/>
        </w:rPr>
      </w:pPr>
    </w:p>
    <w:p w14:paraId="751EEB59" w14:textId="630C3492" w:rsidR="004567A5" w:rsidRDefault="004567A5" w:rsidP="00616D7B">
      <w:pPr>
        <w:pStyle w:val="NormalWeb"/>
        <w:rPr>
          <w:rStyle w:val="Emphasis"/>
          <w:rFonts w:ascii="Arial" w:hAnsi="Arial" w:cs="Arial"/>
          <w:i w:val="0"/>
          <w:iCs w:val="0"/>
          <w:sz w:val="22"/>
          <w:szCs w:val="22"/>
        </w:rPr>
      </w:pPr>
    </w:p>
    <w:p w14:paraId="530F05BD" w14:textId="38363BFC" w:rsidR="004567A5" w:rsidRDefault="004567A5" w:rsidP="00616D7B">
      <w:pPr>
        <w:pStyle w:val="NormalWeb"/>
        <w:rPr>
          <w:rStyle w:val="Emphasis"/>
          <w:rFonts w:ascii="Arial" w:hAnsi="Arial" w:cs="Arial"/>
          <w:i w:val="0"/>
          <w:iCs w:val="0"/>
          <w:sz w:val="22"/>
          <w:szCs w:val="22"/>
        </w:rPr>
      </w:pPr>
    </w:p>
    <w:p w14:paraId="7D675BB3" w14:textId="77777777" w:rsidR="00796B2F" w:rsidRDefault="00796B2F" w:rsidP="00616D7B">
      <w:pPr>
        <w:pStyle w:val="NormalWeb"/>
        <w:rPr>
          <w:rStyle w:val="Emphasis"/>
          <w:rFonts w:ascii="Arial" w:hAnsi="Arial" w:cs="Arial"/>
          <w:i w:val="0"/>
          <w:iCs w:val="0"/>
          <w:sz w:val="22"/>
          <w:szCs w:val="22"/>
        </w:rPr>
      </w:pPr>
    </w:p>
    <w:p w14:paraId="09ADD4C6" w14:textId="320A4682" w:rsidR="00796B2F" w:rsidRDefault="00796B2F" w:rsidP="00616D7B">
      <w:pPr>
        <w:pStyle w:val="NormalWeb"/>
        <w:rPr>
          <w:rStyle w:val="Emphasis"/>
          <w:rFonts w:ascii="Arial" w:hAnsi="Arial" w:cs="Arial"/>
          <w:i w:val="0"/>
          <w:iCs w:val="0"/>
          <w:sz w:val="22"/>
          <w:szCs w:val="22"/>
        </w:rPr>
      </w:pPr>
    </w:p>
    <w:p w14:paraId="5D559891" w14:textId="4F3FAB03" w:rsidR="00796B2F" w:rsidRDefault="00796B2F" w:rsidP="00616D7B">
      <w:pPr>
        <w:pStyle w:val="NormalWeb"/>
        <w:rPr>
          <w:rStyle w:val="Emphasis"/>
          <w:rFonts w:ascii="Arial" w:hAnsi="Arial" w:cs="Arial"/>
          <w:i w:val="0"/>
          <w:iCs w:val="0"/>
          <w:sz w:val="22"/>
          <w:szCs w:val="22"/>
        </w:rPr>
      </w:pPr>
      <w:r>
        <w:rPr>
          <w:rFonts w:ascii="Arial" w:hAnsi="Arial" w:cs="Arial"/>
          <w:noProof/>
          <w:color w:val="000000"/>
          <w:sz w:val="22"/>
          <w:szCs w:val="22"/>
        </w:rPr>
        <w:drawing>
          <wp:anchor distT="0" distB="0" distL="114300" distR="114300" simplePos="0" relativeHeight="251667456" behindDoc="0" locked="0" layoutInCell="1" allowOverlap="1" wp14:anchorId="4A293085" wp14:editId="5741EAA1">
            <wp:simplePos x="0" y="0"/>
            <wp:positionH relativeFrom="column">
              <wp:posOffset>0</wp:posOffset>
            </wp:positionH>
            <wp:positionV relativeFrom="paragraph">
              <wp:posOffset>61816</wp:posOffset>
            </wp:positionV>
            <wp:extent cx="5512904" cy="1825623"/>
            <wp:effectExtent l="0" t="0" r="0" b="3810"/>
            <wp:wrapNone/>
            <wp:docPr id="1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6183" cy="1830021"/>
                    </a:xfrm>
                    <a:prstGeom prst="rect">
                      <a:avLst/>
                    </a:prstGeom>
                  </pic:spPr>
                </pic:pic>
              </a:graphicData>
            </a:graphic>
            <wp14:sizeRelH relativeFrom="page">
              <wp14:pctWidth>0</wp14:pctWidth>
            </wp14:sizeRelH>
            <wp14:sizeRelV relativeFrom="page">
              <wp14:pctHeight>0</wp14:pctHeight>
            </wp14:sizeRelV>
          </wp:anchor>
        </w:drawing>
      </w:r>
    </w:p>
    <w:p w14:paraId="7D0013FF" w14:textId="208D4556" w:rsidR="00796B2F" w:rsidRDefault="00796B2F" w:rsidP="00616D7B">
      <w:pPr>
        <w:pStyle w:val="NormalWeb"/>
        <w:rPr>
          <w:rStyle w:val="Emphasis"/>
          <w:rFonts w:ascii="Arial" w:hAnsi="Arial" w:cs="Arial"/>
          <w:i w:val="0"/>
          <w:iCs w:val="0"/>
          <w:sz w:val="22"/>
          <w:szCs w:val="22"/>
        </w:rPr>
      </w:pPr>
    </w:p>
    <w:p w14:paraId="7737CEF8" w14:textId="084451B8" w:rsidR="00796B2F" w:rsidRDefault="00796B2F" w:rsidP="00616D7B">
      <w:pPr>
        <w:pStyle w:val="NormalWeb"/>
        <w:rPr>
          <w:rStyle w:val="Emphasis"/>
          <w:rFonts w:ascii="Arial" w:hAnsi="Arial" w:cs="Arial"/>
          <w:i w:val="0"/>
          <w:iCs w:val="0"/>
          <w:sz w:val="22"/>
          <w:szCs w:val="22"/>
        </w:rPr>
      </w:pPr>
    </w:p>
    <w:p w14:paraId="6E2698C5" w14:textId="29727BCD" w:rsidR="00796B2F" w:rsidRDefault="00796B2F" w:rsidP="00616D7B">
      <w:pPr>
        <w:pStyle w:val="NormalWeb"/>
        <w:rPr>
          <w:rStyle w:val="Emphasis"/>
          <w:rFonts w:ascii="Arial" w:hAnsi="Arial" w:cs="Arial"/>
          <w:i w:val="0"/>
          <w:iCs w:val="0"/>
          <w:sz w:val="22"/>
          <w:szCs w:val="22"/>
        </w:rPr>
      </w:pPr>
    </w:p>
    <w:p w14:paraId="2B3C279D" w14:textId="43BD8023" w:rsidR="00796B2F" w:rsidRDefault="00796B2F" w:rsidP="00616D7B">
      <w:pPr>
        <w:pStyle w:val="NormalWeb"/>
        <w:rPr>
          <w:rStyle w:val="Emphasis"/>
          <w:rFonts w:ascii="Arial" w:hAnsi="Arial" w:cs="Arial"/>
          <w:i w:val="0"/>
          <w:iCs w:val="0"/>
          <w:sz w:val="22"/>
          <w:szCs w:val="22"/>
        </w:rPr>
      </w:pPr>
    </w:p>
    <w:p w14:paraId="4C8EFCE4" w14:textId="1D7BA76E" w:rsidR="00796B2F" w:rsidRDefault="00796B2F" w:rsidP="00616D7B">
      <w:pPr>
        <w:pStyle w:val="NormalWeb"/>
        <w:rPr>
          <w:rStyle w:val="Emphasis"/>
          <w:rFonts w:ascii="Arial" w:hAnsi="Arial" w:cs="Arial"/>
          <w:i w:val="0"/>
          <w:iCs w:val="0"/>
          <w:sz w:val="22"/>
          <w:szCs w:val="22"/>
        </w:rPr>
      </w:pPr>
    </w:p>
    <w:p w14:paraId="3D8A19B5" w14:textId="58907E5C" w:rsidR="00616D7B" w:rsidRDefault="00616D7B" w:rsidP="00616D7B">
      <w:pPr>
        <w:pStyle w:val="NormalWeb"/>
        <w:rPr>
          <w:rFonts w:ascii="Arial" w:hAnsi="Arial" w:cs="Arial"/>
          <w:sz w:val="22"/>
          <w:szCs w:val="22"/>
        </w:rPr>
      </w:pPr>
      <w:r w:rsidRPr="00616D7B">
        <w:rPr>
          <w:rStyle w:val="Emphasis"/>
          <w:rFonts w:ascii="Arial" w:hAnsi="Arial" w:cs="Arial"/>
          <w:i w:val="0"/>
          <w:iCs w:val="0"/>
          <w:sz w:val="22"/>
          <w:szCs w:val="22"/>
        </w:rPr>
        <w:t>What if European nations imposed stricter LNG import tariffs? EnergyQuantGPT simulates outcomes, quantifying impacts on risk scores and energy prices for each country.</w:t>
      </w:r>
    </w:p>
    <w:p w14:paraId="45AF15C6" w14:textId="63BE0366" w:rsidR="00796B2F" w:rsidRPr="00796B2F" w:rsidRDefault="00616D7B" w:rsidP="00796B2F">
      <w:pPr>
        <w:pStyle w:val="NormalWeb"/>
        <w:rPr>
          <w:rFonts w:ascii="Arial" w:hAnsi="Arial" w:cs="Arial"/>
          <w:sz w:val="22"/>
          <w:szCs w:val="22"/>
        </w:rPr>
      </w:pPr>
      <w:r w:rsidRPr="00616D7B">
        <w:rPr>
          <w:rFonts w:ascii="Arial" w:hAnsi="Arial" w:cs="Arial"/>
          <w:sz w:val="22"/>
          <w:szCs w:val="22"/>
        </w:rPr>
        <w:br/>
      </w:r>
      <w:r w:rsidRPr="00616D7B">
        <w:rPr>
          <w:rStyle w:val="Emphasis"/>
          <w:rFonts w:ascii="Arial" w:hAnsi="Arial" w:cs="Arial"/>
          <w:i w:val="0"/>
          <w:iCs w:val="0"/>
          <w:sz w:val="22"/>
          <w:szCs w:val="22"/>
        </w:rPr>
        <w:t>For instance, France’s reliance on LNG imports would see a sharper increase in risk, pushing for alternative energy sources. Policymakers can use this foresight to adjust energy diversification plans.</w:t>
      </w:r>
      <w:r w:rsidR="00693052" w:rsidRPr="00693052">
        <w:rPr>
          <w:noProof/>
          <w14:ligatures w14:val="standardContextual"/>
        </w:rPr>
        <w:pict w14:anchorId="737A855D">
          <v:rect id="_x0000_i1027" alt="" style="width:451.3pt;height:.05pt;mso-width-percent:0;mso-height-percent:0;mso-width-percent:0;mso-height-percent:0" o:hralign="center" o:hrstd="t" o:hr="t" fillcolor="#a0a0a0" stroked="f"/>
        </w:pict>
      </w:r>
    </w:p>
    <w:p w14:paraId="00200844" w14:textId="68E32019" w:rsidR="00D55AE3" w:rsidRPr="00D55AE3" w:rsidRDefault="00D55AE3" w:rsidP="00796B2F">
      <w:pPr>
        <w:rPr>
          <w:rFonts w:ascii="Times New Roman" w:eastAsia="Times New Roman" w:hAnsi="Times New Roman" w:cs="Times New Roman"/>
          <w:kern w:val="0"/>
          <w:lang w:eastAsia="en-GB"/>
          <w14:ligatures w14:val="none"/>
        </w:rPr>
      </w:pPr>
      <w:r w:rsidRPr="00D55AE3">
        <w:rPr>
          <w:rFonts w:ascii="Arial" w:eastAsia="Times New Roman" w:hAnsi="Arial" w:cs="Arial"/>
          <w:b/>
          <w:bCs/>
          <w:color w:val="000000"/>
          <w:kern w:val="0"/>
          <w:sz w:val="26"/>
          <w:szCs w:val="26"/>
          <w:lang w:eastAsia="en-GB"/>
          <w14:ligatures w14:val="none"/>
        </w:rPr>
        <w:lastRenderedPageBreak/>
        <w:t>Data and Inputs:</w:t>
      </w:r>
    </w:p>
    <w:p w14:paraId="67E9CD00" w14:textId="77777777" w:rsidR="00D55AE3" w:rsidRDefault="00D55AE3" w:rsidP="00D55AE3">
      <w:pPr>
        <w:spacing w:before="240" w:after="240"/>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EnergyQuantGPT leverages a comprehensive and curated dataset, including:</w:t>
      </w:r>
    </w:p>
    <w:p w14:paraId="4F022F73" w14:textId="68B53A26" w:rsidR="00115800" w:rsidRPr="00D55AE3" w:rsidRDefault="00115800" w:rsidP="00D55AE3">
      <w:pPr>
        <w:spacing w:before="240" w:after="240"/>
        <w:rPr>
          <w:rFonts w:ascii="Times New Roman" w:eastAsia="Times New Roman" w:hAnsi="Times New Roman" w:cs="Times New Roman"/>
          <w:kern w:val="0"/>
          <w:u w:val="single"/>
          <w:lang w:eastAsia="en-GB"/>
          <w14:ligatures w14:val="none"/>
        </w:rPr>
      </w:pPr>
      <w:r w:rsidRPr="00115800">
        <w:rPr>
          <w:rFonts w:ascii="Arial" w:eastAsia="Times New Roman" w:hAnsi="Arial" w:cs="Arial"/>
          <w:color w:val="000000"/>
          <w:kern w:val="0"/>
          <w:sz w:val="22"/>
          <w:szCs w:val="22"/>
          <w:u w:val="single"/>
          <w:lang w:eastAsia="en-GB"/>
          <w14:ligatures w14:val="none"/>
        </w:rPr>
        <w:t>Historical Data</w:t>
      </w:r>
    </w:p>
    <w:p w14:paraId="0F6A70F7" w14:textId="77777777" w:rsidR="00D55AE3" w:rsidRPr="00D55AE3" w:rsidRDefault="00D55AE3" w:rsidP="00D55AE3">
      <w:pPr>
        <w:numPr>
          <w:ilvl w:val="0"/>
          <w:numId w:val="15"/>
        </w:numPr>
        <w:spacing w:before="2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Russian Gas Dependency</w:t>
      </w:r>
      <w:r w:rsidRPr="00D55AE3">
        <w:rPr>
          <w:rFonts w:ascii="Arial" w:eastAsia="Times New Roman" w:hAnsi="Arial" w:cs="Arial"/>
          <w:color w:val="000000"/>
          <w:kern w:val="0"/>
          <w:sz w:val="22"/>
          <w:szCs w:val="22"/>
          <w:lang w:eastAsia="en-GB"/>
          <w14:ligatures w14:val="none"/>
        </w:rPr>
        <w:t>: Data on country-level import dependency on Russian gas.</w:t>
      </w:r>
    </w:p>
    <w:p w14:paraId="017C6E2E" w14:textId="77777777" w:rsidR="00D55AE3" w:rsidRPr="00D55AE3" w:rsidRDefault="00D55AE3" w:rsidP="00D55AE3">
      <w:pPr>
        <w:numPr>
          <w:ilvl w:val="0"/>
          <w:numId w:val="15"/>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LNG Import Trends</w:t>
      </w:r>
      <w:r w:rsidRPr="00D55AE3">
        <w:rPr>
          <w:rFonts w:ascii="Arial" w:eastAsia="Times New Roman" w:hAnsi="Arial" w:cs="Arial"/>
          <w:color w:val="000000"/>
          <w:kern w:val="0"/>
          <w:sz w:val="22"/>
          <w:szCs w:val="22"/>
          <w:lang w:eastAsia="en-GB"/>
          <w14:ligatures w14:val="none"/>
        </w:rPr>
        <w:t>: Historical and current trends in LNG imports across Europe.</w:t>
      </w:r>
    </w:p>
    <w:p w14:paraId="1D9B81E7" w14:textId="77777777" w:rsidR="00D55AE3" w:rsidRPr="00D55AE3" w:rsidRDefault="00D55AE3" w:rsidP="00D55AE3">
      <w:pPr>
        <w:numPr>
          <w:ilvl w:val="0"/>
          <w:numId w:val="15"/>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Gas Storage Levels</w:t>
      </w:r>
      <w:r w:rsidRPr="00D55AE3">
        <w:rPr>
          <w:rFonts w:ascii="Arial" w:eastAsia="Times New Roman" w:hAnsi="Arial" w:cs="Arial"/>
          <w:color w:val="000000"/>
          <w:kern w:val="0"/>
          <w:sz w:val="22"/>
          <w:szCs w:val="22"/>
          <w:lang w:eastAsia="en-GB"/>
          <w14:ligatures w14:val="none"/>
        </w:rPr>
        <w:t>: Weekly data on gas storage levels within EU countries.</w:t>
      </w:r>
    </w:p>
    <w:p w14:paraId="71D32E51" w14:textId="77777777" w:rsidR="00D55AE3" w:rsidRDefault="00D55AE3" w:rsidP="00D55AE3">
      <w:pPr>
        <w:numPr>
          <w:ilvl w:val="0"/>
          <w:numId w:val="15"/>
        </w:numPr>
        <w:spacing w:after="2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Natural Gas Prices</w:t>
      </w:r>
      <w:r w:rsidRPr="00D55AE3">
        <w:rPr>
          <w:rFonts w:ascii="Arial" w:eastAsia="Times New Roman" w:hAnsi="Arial" w:cs="Arial"/>
          <w:color w:val="000000"/>
          <w:kern w:val="0"/>
          <w:sz w:val="22"/>
          <w:szCs w:val="22"/>
          <w:lang w:eastAsia="en-GB"/>
          <w14:ligatures w14:val="none"/>
        </w:rPr>
        <w:t>: Historical price trends and volatility in natural gas futures markets.</w:t>
      </w:r>
    </w:p>
    <w:p w14:paraId="567B7588" w14:textId="77777777" w:rsidR="00023B0C" w:rsidRPr="00115800" w:rsidRDefault="00023B0C" w:rsidP="00115800">
      <w:pPr>
        <w:rPr>
          <w:rFonts w:ascii="Arial" w:hAnsi="Arial" w:cs="Arial"/>
          <w:sz w:val="22"/>
          <w:szCs w:val="22"/>
          <w:u w:val="single"/>
          <w:lang w:eastAsia="en-GB"/>
        </w:rPr>
      </w:pPr>
      <w:r w:rsidRPr="00115800">
        <w:rPr>
          <w:rFonts w:ascii="Arial" w:hAnsi="Arial" w:cs="Arial"/>
          <w:sz w:val="22"/>
          <w:szCs w:val="22"/>
          <w:u w:val="single"/>
          <w:lang w:eastAsia="en-GB"/>
        </w:rPr>
        <w:t>Geopolitical News and Updates</w:t>
      </w:r>
    </w:p>
    <w:p w14:paraId="55C827DE" w14:textId="77777777" w:rsidR="00115800" w:rsidRDefault="00115800" w:rsidP="00115800">
      <w:pPr>
        <w:rPr>
          <w:rFonts w:ascii="Arial" w:hAnsi="Arial" w:cs="Arial"/>
          <w:sz w:val="22"/>
          <w:szCs w:val="22"/>
          <w:lang w:eastAsia="en-GB"/>
        </w:rPr>
      </w:pPr>
    </w:p>
    <w:p w14:paraId="66E9821C" w14:textId="75D3B4B3" w:rsidR="00023B0C" w:rsidRPr="00115800" w:rsidRDefault="00023B0C" w:rsidP="00115800">
      <w:pPr>
        <w:rPr>
          <w:rFonts w:ascii="Arial" w:hAnsi="Arial" w:cs="Arial"/>
          <w:b/>
          <w:bCs/>
          <w:sz w:val="22"/>
          <w:szCs w:val="22"/>
          <w:lang w:eastAsia="en-GB"/>
        </w:rPr>
      </w:pPr>
      <w:r w:rsidRPr="00115800">
        <w:rPr>
          <w:rFonts w:ascii="Arial" w:hAnsi="Arial" w:cs="Arial"/>
          <w:b/>
          <w:bCs/>
          <w:sz w:val="22"/>
          <w:szCs w:val="22"/>
          <w:lang w:eastAsia="en-GB"/>
        </w:rPr>
        <w:t xml:space="preserve">Google News API </w:t>
      </w:r>
    </w:p>
    <w:p w14:paraId="54AE68E7" w14:textId="13C12E30" w:rsidR="00023B0C" w:rsidRPr="00115800" w:rsidRDefault="00023B0C" w:rsidP="00115800">
      <w:pPr>
        <w:pStyle w:val="ListParagraph"/>
        <w:numPr>
          <w:ilvl w:val="0"/>
          <w:numId w:val="21"/>
        </w:numPr>
        <w:rPr>
          <w:rFonts w:ascii="Arial" w:hAnsi="Arial" w:cs="Arial"/>
          <w:sz w:val="22"/>
          <w:szCs w:val="22"/>
          <w:lang w:eastAsia="en-GB"/>
        </w:rPr>
      </w:pPr>
      <w:r w:rsidRPr="00115800">
        <w:rPr>
          <w:rFonts w:ascii="Arial" w:hAnsi="Arial" w:cs="Arial"/>
          <w:sz w:val="22"/>
          <w:szCs w:val="22"/>
          <w:lang w:eastAsia="en-GB"/>
        </w:rPr>
        <w:t>Provides access to Google News articles and headlines based on specific search queries.</w:t>
      </w:r>
    </w:p>
    <w:p w14:paraId="6C9BF9F5" w14:textId="0E5EFDEA" w:rsidR="00115800" w:rsidRPr="00115800" w:rsidRDefault="00023B0C" w:rsidP="00115800">
      <w:pPr>
        <w:pStyle w:val="ListParagraph"/>
        <w:numPr>
          <w:ilvl w:val="0"/>
          <w:numId w:val="21"/>
        </w:numPr>
        <w:rPr>
          <w:rFonts w:ascii="Arial" w:hAnsi="Arial" w:cs="Arial"/>
          <w:sz w:val="22"/>
          <w:szCs w:val="22"/>
          <w:lang w:eastAsia="en-GB"/>
        </w:rPr>
      </w:pPr>
      <w:r w:rsidRPr="00115800">
        <w:rPr>
          <w:rFonts w:ascii="Arial" w:hAnsi="Arial" w:cs="Arial"/>
          <w:sz w:val="22"/>
          <w:szCs w:val="22"/>
          <w:lang w:eastAsia="en-GB"/>
        </w:rPr>
        <w:t>Can return results from various regions, languages, or categories.</w:t>
      </w:r>
    </w:p>
    <w:p w14:paraId="409ECDE1" w14:textId="28FA6FF1" w:rsidR="00115800" w:rsidRPr="00115800" w:rsidRDefault="00115800" w:rsidP="00115800">
      <w:pPr>
        <w:rPr>
          <w:rFonts w:ascii="Arial" w:hAnsi="Arial" w:cs="Arial"/>
          <w:b/>
          <w:bCs/>
          <w:sz w:val="22"/>
          <w:szCs w:val="22"/>
          <w:lang w:eastAsia="en-GB"/>
        </w:rPr>
      </w:pPr>
      <w:r w:rsidRPr="00115800">
        <w:rPr>
          <w:rFonts w:ascii="Arial" w:hAnsi="Arial" w:cs="Arial"/>
          <w:b/>
          <w:bCs/>
          <w:sz w:val="22"/>
          <w:szCs w:val="22"/>
          <w:lang w:eastAsia="en-GB"/>
        </w:rPr>
        <w:t>Thomson Reuters</w:t>
      </w:r>
    </w:p>
    <w:p w14:paraId="274CFD51" w14:textId="19A0F00B" w:rsidR="00115800" w:rsidRPr="00115800" w:rsidRDefault="00115800" w:rsidP="00115800">
      <w:pPr>
        <w:pStyle w:val="ListParagraph"/>
        <w:numPr>
          <w:ilvl w:val="0"/>
          <w:numId w:val="21"/>
        </w:numPr>
        <w:rPr>
          <w:rFonts w:ascii="Arial" w:hAnsi="Arial" w:cs="Arial"/>
          <w:sz w:val="22"/>
          <w:szCs w:val="22"/>
          <w:lang w:eastAsia="en-GB"/>
        </w:rPr>
      </w:pPr>
      <w:r w:rsidRPr="00115800">
        <w:rPr>
          <w:rFonts w:ascii="Arial" w:hAnsi="Arial" w:cs="Arial"/>
          <w:sz w:val="22"/>
          <w:szCs w:val="22"/>
          <w:lang w:eastAsia="en-GB"/>
        </w:rPr>
        <w:t>A well-known API for financial and commodity markets, including natural gas.</w:t>
      </w:r>
    </w:p>
    <w:p w14:paraId="1A94944B" w14:textId="66EBC25E" w:rsidR="00115800" w:rsidRDefault="00115800" w:rsidP="00115800">
      <w:pPr>
        <w:pStyle w:val="ListParagraph"/>
        <w:numPr>
          <w:ilvl w:val="0"/>
          <w:numId w:val="21"/>
        </w:numPr>
        <w:rPr>
          <w:rFonts w:ascii="Arial" w:hAnsi="Arial" w:cs="Arial"/>
          <w:sz w:val="22"/>
          <w:szCs w:val="22"/>
          <w:lang w:eastAsia="en-GB"/>
        </w:rPr>
      </w:pPr>
      <w:r w:rsidRPr="00115800">
        <w:rPr>
          <w:rFonts w:ascii="Arial" w:hAnsi="Arial" w:cs="Arial"/>
          <w:sz w:val="22"/>
          <w:szCs w:val="22"/>
          <w:lang w:eastAsia="en-GB"/>
        </w:rPr>
        <w:t>Provides sentiment analysis and news metadata tailored to energy and commodity sectors.</w:t>
      </w:r>
    </w:p>
    <w:p w14:paraId="5D5635D7" w14:textId="77777777" w:rsidR="00115800" w:rsidRPr="00115800" w:rsidRDefault="00115800" w:rsidP="00115800">
      <w:pPr>
        <w:rPr>
          <w:rFonts w:ascii="Arial" w:hAnsi="Arial" w:cs="Arial"/>
          <w:sz w:val="22"/>
          <w:szCs w:val="22"/>
          <w:lang w:eastAsia="en-GB"/>
        </w:rPr>
      </w:pPr>
    </w:p>
    <w:p w14:paraId="23B14D26" w14:textId="1C9E262B" w:rsidR="00796B2F" w:rsidRPr="00D55AE3" w:rsidRDefault="00023B0C" w:rsidP="00796B2F">
      <w:pPr>
        <w:spacing w:after="240"/>
        <w:textAlignment w:val="baseline"/>
        <w:rPr>
          <w:rFonts w:ascii="Arial" w:eastAsia="Times New Roman" w:hAnsi="Arial" w:cs="Arial"/>
          <w:color w:val="000000"/>
          <w:kern w:val="0"/>
          <w:sz w:val="32"/>
          <w:szCs w:val="32"/>
          <w:lang w:eastAsia="en-GB"/>
          <w14:ligatures w14:val="none"/>
        </w:rPr>
      </w:pPr>
      <w:r>
        <w:rPr>
          <w:rFonts w:ascii="Arial" w:eastAsia="Times New Roman" w:hAnsi="Arial" w:cs="Arial"/>
          <w:color w:val="000000"/>
          <w:kern w:val="0"/>
          <w:sz w:val="28"/>
          <w:szCs w:val="28"/>
          <w:highlight w:val="yellow"/>
          <w:lang w:eastAsia="en-GB"/>
          <w14:ligatures w14:val="none"/>
        </w:rPr>
        <w:t>***</w:t>
      </w:r>
      <w:r w:rsidRPr="00023B0C">
        <w:rPr>
          <w:rFonts w:ascii="Arial" w:eastAsia="Times New Roman" w:hAnsi="Arial" w:cs="Arial"/>
          <w:color w:val="000000"/>
          <w:kern w:val="0"/>
          <w:sz w:val="28"/>
          <w:szCs w:val="28"/>
          <w:highlight w:val="yellow"/>
          <w:lang w:eastAsia="en-GB"/>
          <w14:ligatures w14:val="none"/>
        </w:rPr>
        <w:t>All data files are attached in the email</w:t>
      </w:r>
    </w:p>
    <w:p w14:paraId="4DA4D5FE" w14:textId="77777777" w:rsidR="00D55AE3" w:rsidRPr="00D55AE3" w:rsidRDefault="00693052" w:rsidP="00D55AE3">
      <w:pPr>
        <w:rPr>
          <w:rFonts w:ascii="Times New Roman" w:eastAsia="Times New Roman" w:hAnsi="Times New Roman" w:cs="Times New Roman"/>
          <w:kern w:val="0"/>
          <w:lang w:eastAsia="en-GB"/>
          <w14:ligatures w14:val="none"/>
        </w:rPr>
      </w:pPr>
      <w:r w:rsidRPr="00693052">
        <w:rPr>
          <w:rFonts w:ascii="Times New Roman" w:eastAsia="Times New Roman" w:hAnsi="Times New Roman" w:cs="Times New Roman"/>
          <w:noProof/>
          <w:kern w:val="0"/>
          <w:lang w:eastAsia="en-GB"/>
        </w:rPr>
        <w:pict w14:anchorId="3E5B4722">
          <v:rect id="_x0000_i1026" alt="" style="width:451.3pt;height:.05pt;mso-width-percent:0;mso-height-percent:0;mso-width-percent:0;mso-height-percent:0" o:hralign="center" o:hrstd="t" o:hr="t" fillcolor="#a0a0a0" stroked="f"/>
        </w:pict>
      </w:r>
    </w:p>
    <w:p w14:paraId="47B25D65" w14:textId="77777777" w:rsidR="00D55AE3" w:rsidRPr="00D55AE3" w:rsidRDefault="00D55AE3" w:rsidP="00D55AE3">
      <w:pPr>
        <w:spacing w:before="280" w:after="80"/>
        <w:outlineLvl w:val="2"/>
        <w:rPr>
          <w:rFonts w:ascii="Times New Roman" w:eastAsia="Times New Roman" w:hAnsi="Times New Roman" w:cs="Times New Roman"/>
          <w:b/>
          <w:bCs/>
          <w:kern w:val="0"/>
          <w:sz w:val="27"/>
          <w:szCs w:val="27"/>
          <w:lang w:eastAsia="en-GB"/>
          <w14:ligatures w14:val="none"/>
        </w:rPr>
      </w:pPr>
      <w:r w:rsidRPr="00D55AE3">
        <w:rPr>
          <w:rFonts w:ascii="Arial" w:eastAsia="Times New Roman" w:hAnsi="Arial" w:cs="Arial"/>
          <w:b/>
          <w:bCs/>
          <w:color w:val="000000"/>
          <w:kern w:val="0"/>
          <w:sz w:val="26"/>
          <w:szCs w:val="26"/>
          <w:lang w:eastAsia="en-GB"/>
          <w14:ligatures w14:val="none"/>
        </w:rPr>
        <w:t>Technical Framework:</w:t>
      </w:r>
    </w:p>
    <w:p w14:paraId="20B5C9A7" w14:textId="77777777" w:rsidR="00D55AE3" w:rsidRPr="00D55AE3" w:rsidRDefault="00D55AE3" w:rsidP="00D55AE3">
      <w:pPr>
        <w:numPr>
          <w:ilvl w:val="0"/>
          <w:numId w:val="16"/>
        </w:numPr>
        <w:spacing w:before="2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Algorithmic Foundation</w:t>
      </w:r>
      <w:r w:rsidRPr="00D55AE3">
        <w:rPr>
          <w:rFonts w:ascii="Arial" w:eastAsia="Times New Roman" w:hAnsi="Arial" w:cs="Arial"/>
          <w:color w:val="000000"/>
          <w:kern w:val="0"/>
          <w:sz w:val="22"/>
          <w:szCs w:val="22"/>
          <w:lang w:eastAsia="en-GB"/>
          <w14:ligatures w14:val="none"/>
        </w:rPr>
        <w:t>:</w:t>
      </w:r>
    </w:p>
    <w:p w14:paraId="7905DCF6" w14:textId="77777777" w:rsidR="00D55AE3" w:rsidRPr="00D55AE3" w:rsidRDefault="00D55AE3" w:rsidP="00D55AE3">
      <w:pPr>
        <w:numPr>
          <w:ilvl w:val="1"/>
          <w:numId w:val="16"/>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Geopolitical Risk Model</w:t>
      </w:r>
      <w:r w:rsidRPr="00D55AE3">
        <w:rPr>
          <w:rFonts w:ascii="Arial" w:eastAsia="Times New Roman" w:hAnsi="Arial" w:cs="Arial"/>
          <w:color w:val="000000"/>
          <w:kern w:val="0"/>
          <w:sz w:val="22"/>
          <w:szCs w:val="22"/>
          <w:lang w:eastAsia="en-GB"/>
          <w14:ligatures w14:val="none"/>
        </w:rPr>
        <w:t>: A weighted scoring algorithm that combines dependency metrics, storage levels, LNG trends, and price volatility into a single normalized risk score.</w:t>
      </w:r>
    </w:p>
    <w:p w14:paraId="70FACCA4" w14:textId="77777777" w:rsidR="00D55AE3" w:rsidRPr="00D55AE3" w:rsidRDefault="00D55AE3" w:rsidP="00D55AE3">
      <w:pPr>
        <w:numPr>
          <w:ilvl w:val="1"/>
          <w:numId w:val="16"/>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Data Normalization</w:t>
      </w:r>
      <w:r w:rsidRPr="00D55AE3">
        <w:rPr>
          <w:rFonts w:ascii="Arial" w:eastAsia="Times New Roman" w:hAnsi="Arial" w:cs="Arial"/>
          <w:color w:val="000000"/>
          <w:kern w:val="0"/>
          <w:sz w:val="22"/>
          <w:szCs w:val="22"/>
          <w:lang w:eastAsia="en-GB"/>
          <w14:ligatures w14:val="none"/>
        </w:rPr>
        <w:t>: Ensures consistency across datasets, enabling accurate comparisons and visualizations.</w:t>
      </w:r>
    </w:p>
    <w:p w14:paraId="60899268" w14:textId="77777777" w:rsidR="00D55AE3" w:rsidRPr="00D55AE3" w:rsidRDefault="00D55AE3" w:rsidP="00D55AE3">
      <w:pPr>
        <w:numPr>
          <w:ilvl w:val="0"/>
          <w:numId w:val="16"/>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Visualization Tools</w:t>
      </w:r>
      <w:r w:rsidRPr="00D55AE3">
        <w:rPr>
          <w:rFonts w:ascii="Arial" w:eastAsia="Times New Roman" w:hAnsi="Arial" w:cs="Arial"/>
          <w:color w:val="000000"/>
          <w:kern w:val="0"/>
          <w:sz w:val="22"/>
          <w:szCs w:val="22"/>
          <w:lang w:eastAsia="en-GB"/>
          <w14:ligatures w14:val="none"/>
        </w:rPr>
        <w:t>:</w:t>
      </w:r>
    </w:p>
    <w:p w14:paraId="18C2901A" w14:textId="77777777" w:rsidR="00D55AE3" w:rsidRPr="00D55AE3" w:rsidRDefault="00D55AE3" w:rsidP="00D55AE3">
      <w:pPr>
        <w:numPr>
          <w:ilvl w:val="1"/>
          <w:numId w:val="16"/>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Automated dashboards with time-series graphs, trend lines, and risk heatmaps.</w:t>
      </w:r>
    </w:p>
    <w:p w14:paraId="7B1EF3A2" w14:textId="77777777" w:rsidR="00D55AE3" w:rsidRPr="00D55AE3" w:rsidRDefault="00D55AE3" w:rsidP="00D55AE3">
      <w:pPr>
        <w:numPr>
          <w:ilvl w:val="1"/>
          <w:numId w:val="16"/>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Embedded visuals for seamless integration into user prompts.</w:t>
      </w:r>
    </w:p>
    <w:p w14:paraId="6D7584E9" w14:textId="77777777" w:rsidR="00D55AE3" w:rsidRPr="00D55AE3" w:rsidRDefault="00D55AE3" w:rsidP="00D55AE3">
      <w:pPr>
        <w:numPr>
          <w:ilvl w:val="0"/>
          <w:numId w:val="16"/>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b/>
          <w:bCs/>
          <w:color w:val="000000"/>
          <w:kern w:val="0"/>
          <w:sz w:val="22"/>
          <w:szCs w:val="22"/>
          <w:lang w:eastAsia="en-GB"/>
          <w14:ligatures w14:val="none"/>
        </w:rPr>
        <w:t>Natural Language Processing</w:t>
      </w:r>
      <w:r w:rsidRPr="00D55AE3">
        <w:rPr>
          <w:rFonts w:ascii="Arial" w:eastAsia="Times New Roman" w:hAnsi="Arial" w:cs="Arial"/>
          <w:color w:val="000000"/>
          <w:kern w:val="0"/>
          <w:sz w:val="22"/>
          <w:szCs w:val="22"/>
          <w:lang w:eastAsia="en-GB"/>
          <w14:ligatures w14:val="none"/>
        </w:rPr>
        <w:t>:</w:t>
      </w:r>
    </w:p>
    <w:p w14:paraId="5078D09C" w14:textId="77777777" w:rsidR="00D55AE3" w:rsidRPr="00D55AE3" w:rsidRDefault="00D55AE3" w:rsidP="00D55AE3">
      <w:pPr>
        <w:numPr>
          <w:ilvl w:val="1"/>
          <w:numId w:val="16"/>
        </w:numPr>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Enables users to interact with the system through intuitive prompts like "energy dashboard" or "geopolitical risk for France."</w:t>
      </w:r>
    </w:p>
    <w:p w14:paraId="45E7D527" w14:textId="77777777" w:rsidR="00D55AE3" w:rsidRDefault="00D55AE3" w:rsidP="00D55AE3">
      <w:pPr>
        <w:numPr>
          <w:ilvl w:val="1"/>
          <w:numId w:val="16"/>
        </w:numPr>
        <w:spacing w:after="240"/>
        <w:textAlignment w:val="baseline"/>
        <w:rPr>
          <w:rFonts w:ascii="Arial" w:eastAsia="Times New Roman" w:hAnsi="Arial" w:cs="Arial"/>
          <w:color w:val="000000"/>
          <w:kern w:val="0"/>
          <w:sz w:val="22"/>
          <w:szCs w:val="22"/>
          <w:lang w:eastAsia="en-GB"/>
          <w14:ligatures w14:val="none"/>
        </w:rPr>
      </w:pPr>
      <w:r w:rsidRPr="00D55AE3">
        <w:rPr>
          <w:rFonts w:ascii="Arial" w:eastAsia="Times New Roman" w:hAnsi="Arial" w:cs="Arial"/>
          <w:color w:val="000000"/>
          <w:kern w:val="0"/>
          <w:sz w:val="22"/>
          <w:szCs w:val="22"/>
          <w:lang w:eastAsia="en-GB"/>
          <w14:ligatures w14:val="none"/>
        </w:rPr>
        <w:t>Tailors outputs based on user needs, whether it's a high-level summary or granular data-driven insights.</w:t>
      </w:r>
    </w:p>
    <w:p w14:paraId="6B00C704" w14:textId="6AD4F60F" w:rsidR="00115800" w:rsidRPr="00D55AE3" w:rsidRDefault="00115800" w:rsidP="00115800">
      <w:pPr>
        <w:spacing w:after="240"/>
        <w:textAlignment w:val="baseline"/>
        <w:rPr>
          <w:rFonts w:ascii="Arial" w:eastAsia="Times New Roman" w:hAnsi="Arial" w:cs="Arial"/>
          <w:color w:val="000000"/>
          <w:kern w:val="0"/>
          <w:sz w:val="28"/>
          <w:szCs w:val="28"/>
          <w:lang w:eastAsia="en-GB"/>
          <w14:ligatures w14:val="none"/>
        </w:rPr>
      </w:pPr>
      <w:r>
        <w:rPr>
          <w:rFonts w:ascii="Arial" w:eastAsia="Times New Roman" w:hAnsi="Arial" w:cs="Arial"/>
          <w:color w:val="000000"/>
          <w:kern w:val="0"/>
          <w:sz w:val="28"/>
          <w:szCs w:val="28"/>
          <w:highlight w:val="yellow"/>
          <w:lang w:eastAsia="en-GB"/>
          <w14:ligatures w14:val="none"/>
        </w:rPr>
        <w:t>***</w:t>
      </w:r>
      <w:r w:rsidRPr="00115800">
        <w:rPr>
          <w:rFonts w:ascii="Arial" w:eastAsia="Times New Roman" w:hAnsi="Arial" w:cs="Arial"/>
          <w:color w:val="000000"/>
          <w:kern w:val="0"/>
          <w:sz w:val="28"/>
          <w:szCs w:val="28"/>
          <w:highlight w:val="yellow"/>
          <w:lang w:eastAsia="en-GB"/>
          <w14:ligatures w14:val="none"/>
        </w:rPr>
        <w:t xml:space="preserve">Python code for these </w:t>
      </w:r>
      <w:proofErr w:type="gramStart"/>
      <w:r w:rsidRPr="00115800">
        <w:rPr>
          <w:rFonts w:ascii="Arial" w:eastAsia="Times New Roman" w:hAnsi="Arial" w:cs="Arial"/>
          <w:color w:val="000000"/>
          <w:kern w:val="0"/>
          <w:sz w:val="28"/>
          <w:szCs w:val="28"/>
          <w:highlight w:val="yellow"/>
          <w:lang w:eastAsia="en-GB"/>
          <w14:ligatures w14:val="none"/>
        </w:rPr>
        <w:t>are</w:t>
      </w:r>
      <w:proofErr w:type="gramEnd"/>
      <w:r w:rsidRPr="00115800">
        <w:rPr>
          <w:rFonts w:ascii="Arial" w:eastAsia="Times New Roman" w:hAnsi="Arial" w:cs="Arial"/>
          <w:color w:val="000000"/>
          <w:kern w:val="0"/>
          <w:sz w:val="28"/>
          <w:szCs w:val="28"/>
          <w:highlight w:val="yellow"/>
          <w:lang w:eastAsia="en-GB"/>
          <w14:ligatures w14:val="none"/>
        </w:rPr>
        <w:t xml:space="preserve"> attached to the email</w:t>
      </w:r>
    </w:p>
    <w:p w14:paraId="233BEFEE" w14:textId="6C8F16E7" w:rsidR="00D55AE3" w:rsidRPr="00D55AE3" w:rsidRDefault="00693052" w:rsidP="00D55AE3">
      <w:pPr>
        <w:rPr>
          <w:rFonts w:ascii="Times New Roman" w:eastAsia="Times New Roman" w:hAnsi="Times New Roman" w:cs="Times New Roman"/>
          <w:kern w:val="0"/>
          <w:lang w:eastAsia="en-GB"/>
          <w14:ligatures w14:val="none"/>
        </w:rPr>
      </w:pPr>
      <w:r w:rsidRPr="00693052">
        <w:rPr>
          <w:rFonts w:ascii="Times New Roman" w:eastAsia="Times New Roman" w:hAnsi="Times New Roman" w:cs="Times New Roman"/>
          <w:noProof/>
          <w:kern w:val="0"/>
          <w:lang w:eastAsia="en-GB"/>
        </w:rPr>
        <w:pict w14:anchorId="6AC9276C">
          <v:rect id="_x0000_i1025" alt="" style="width:451.3pt;height:.05pt;mso-width-percent:0;mso-height-percent:0;mso-width-percent:0;mso-height-percent:0" o:hralign="center" o:hrstd="t" o:hr="t" fillcolor="#a0a0a0" stroked="f"/>
        </w:pict>
      </w:r>
    </w:p>
    <w:p w14:paraId="2873270D" w14:textId="77777777" w:rsidR="00DF0452" w:rsidRPr="00DF0452" w:rsidRDefault="00DF0452" w:rsidP="00DF0452">
      <w:pPr>
        <w:spacing w:before="100" w:beforeAutospacing="1" w:after="100" w:afterAutospacing="1"/>
        <w:outlineLvl w:val="2"/>
        <w:rPr>
          <w:rFonts w:ascii="Arial" w:eastAsia="Times New Roman" w:hAnsi="Arial" w:cs="Arial"/>
          <w:b/>
          <w:bCs/>
          <w:kern w:val="0"/>
          <w:sz w:val="27"/>
          <w:szCs w:val="27"/>
          <w:lang w:eastAsia="en-GB"/>
          <w14:ligatures w14:val="none"/>
        </w:rPr>
      </w:pPr>
      <w:r w:rsidRPr="00DF0452">
        <w:rPr>
          <w:rFonts w:ascii="Arial" w:eastAsia="Times New Roman" w:hAnsi="Arial" w:cs="Arial"/>
          <w:b/>
          <w:bCs/>
          <w:kern w:val="0"/>
          <w:sz w:val="27"/>
          <w:szCs w:val="27"/>
          <w:lang w:eastAsia="en-GB"/>
          <w14:ligatures w14:val="none"/>
        </w:rPr>
        <w:t>EnergyQuantGPT Development Timeline</w:t>
      </w:r>
    </w:p>
    <w:p w14:paraId="64ADE859" w14:textId="77777777" w:rsidR="00DF0452" w:rsidRPr="00DF0452" w:rsidRDefault="00DF0452" w:rsidP="00DF0452">
      <w:pPr>
        <w:numPr>
          <w:ilvl w:val="0"/>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b/>
          <w:bCs/>
          <w:kern w:val="0"/>
          <w:lang w:eastAsia="en-GB"/>
          <w14:ligatures w14:val="none"/>
        </w:rPr>
        <w:t>Project Conceptualization</w:t>
      </w:r>
    </w:p>
    <w:p w14:paraId="7EB79B3C" w14:textId="272528F8"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lastRenderedPageBreak/>
        <w:t xml:space="preserve">Identified the need for a tool to </w:t>
      </w:r>
      <w:r w:rsidRPr="00DF0452">
        <w:rPr>
          <w:rFonts w:ascii="Arial" w:eastAsia="Times New Roman" w:hAnsi="Arial" w:cs="Arial"/>
          <w:kern w:val="0"/>
          <w:lang w:eastAsia="en-GB"/>
          <w14:ligatures w14:val="none"/>
        </w:rPr>
        <w:t>analyse</w:t>
      </w:r>
      <w:r w:rsidRPr="00DF0452">
        <w:rPr>
          <w:rFonts w:ascii="Arial" w:eastAsia="Times New Roman" w:hAnsi="Arial" w:cs="Arial"/>
          <w:kern w:val="0"/>
          <w:lang w:eastAsia="en-GB"/>
          <w14:ligatures w14:val="none"/>
        </w:rPr>
        <w:t xml:space="preserve"> geopolitical risks and energy market trends.</w:t>
      </w:r>
    </w:p>
    <w:p w14:paraId="64CB4521"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Defined core functionalities, including dashboards, risk analysis, and investment insights.</w:t>
      </w:r>
    </w:p>
    <w:p w14:paraId="6527F840"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Collected initial datasets (LNG data, gas storage levels, natural gas prices, etc.).</w:t>
      </w:r>
    </w:p>
    <w:p w14:paraId="496B935B" w14:textId="77777777" w:rsidR="00DF0452" w:rsidRPr="00DF0452" w:rsidRDefault="00DF0452" w:rsidP="00DF0452">
      <w:pPr>
        <w:numPr>
          <w:ilvl w:val="0"/>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b/>
          <w:bCs/>
          <w:kern w:val="0"/>
          <w:lang w:eastAsia="en-GB"/>
          <w14:ligatures w14:val="none"/>
        </w:rPr>
        <w:t>Data Preparation</w:t>
      </w:r>
    </w:p>
    <w:p w14:paraId="3F00D74F" w14:textId="3FC7C754"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Pre-processed</w:t>
      </w:r>
      <w:r w:rsidRPr="00DF0452">
        <w:rPr>
          <w:rFonts w:ascii="Arial" w:eastAsia="Times New Roman" w:hAnsi="Arial" w:cs="Arial"/>
          <w:kern w:val="0"/>
          <w:lang w:eastAsia="en-GB"/>
          <w14:ligatures w14:val="none"/>
        </w:rPr>
        <w:t xml:space="preserve"> datasets for uniformity and resolved missing data issues.</w:t>
      </w:r>
    </w:p>
    <w:p w14:paraId="1E50D5F5"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Integrated key metrics like Russian gas dependency, LNG import trends, and price volatility.</w:t>
      </w:r>
    </w:p>
    <w:p w14:paraId="1E2CCCD5" w14:textId="77777777" w:rsidR="00DF0452" w:rsidRPr="00DF0452" w:rsidRDefault="00DF0452" w:rsidP="00DF0452">
      <w:pPr>
        <w:numPr>
          <w:ilvl w:val="0"/>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b/>
          <w:bCs/>
          <w:kern w:val="0"/>
          <w:lang w:eastAsia="en-GB"/>
          <w14:ligatures w14:val="none"/>
        </w:rPr>
        <w:t>Algorithm Development</w:t>
      </w:r>
    </w:p>
    <w:p w14:paraId="37BABD07"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Built a geopolitical risk scoring algorithm using weighted metrics.</w:t>
      </w:r>
    </w:p>
    <w:p w14:paraId="11F2917C"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Designed a Python-based pipeline for visualizations and dashboards.</w:t>
      </w:r>
    </w:p>
    <w:p w14:paraId="21C3F0A8"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Normalized risk scores for easy cross-country comparisons.</w:t>
      </w:r>
    </w:p>
    <w:p w14:paraId="74F40FC1" w14:textId="77777777" w:rsidR="00DF0452" w:rsidRPr="00DF0452" w:rsidRDefault="00DF0452" w:rsidP="00DF0452">
      <w:pPr>
        <w:numPr>
          <w:ilvl w:val="0"/>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b/>
          <w:bCs/>
          <w:kern w:val="0"/>
          <w:lang w:eastAsia="en-GB"/>
          <w14:ligatures w14:val="none"/>
        </w:rPr>
        <w:t>Integration with GPT</w:t>
      </w:r>
    </w:p>
    <w:p w14:paraId="520D5E31"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Uploaded datasets and scripts to GPT’s knowledge base.</w:t>
      </w:r>
    </w:p>
    <w:p w14:paraId="65E35A09"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Designed and tested specific prompts for generating insights and visualizations.</w:t>
      </w:r>
    </w:p>
    <w:p w14:paraId="5E01FC1C" w14:textId="14499D69"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 xml:space="preserve">Fine-tuned prompt </w:t>
      </w:r>
      <w:r w:rsidRPr="00DF0452">
        <w:rPr>
          <w:rFonts w:ascii="Arial" w:eastAsia="Times New Roman" w:hAnsi="Arial" w:cs="Arial"/>
          <w:kern w:val="0"/>
          <w:lang w:eastAsia="en-GB"/>
          <w14:ligatures w14:val="none"/>
        </w:rPr>
        <w:t>behaviours</w:t>
      </w:r>
      <w:r w:rsidRPr="00DF0452">
        <w:rPr>
          <w:rFonts w:ascii="Arial" w:eastAsia="Times New Roman" w:hAnsi="Arial" w:cs="Arial"/>
          <w:kern w:val="0"/>
          <w:lang w:eastAsia="en-GB"/>
          <w14:ligatures w14:val="none"/>
        </w:rPr>
        <w:t xml:space="preserve"> for consistency and clarity.</w:t>
      </w:r>
    </w:p>
    <w:p w14:paraId="0D31AD25" w14:textId="77777777" w:rsidR="00DF0452" w:rsidRPr="00DF0452" w:rsidRDefault="00DF0452" w:rsidP="00DF0452">
      <w:pPr>
        <w:numPr>
          <w:ilvl w:val="0"/>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b/>
          <w:bCs/>
          <w:kern w:val="0"/>
          <w:lang w:eastAsia="en-GB"/>
          <w14:ligatures w14:val="none"/>
        </w:rPr>
        <w:t>Testing and Refinement</w:t>
      </w:r>
    </w:p>
    <w:p w14:paraId="45CC184B"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Validated outputs with historical data and use-case scenarios.</w:t>
      </w:r>
    </w:p>
    <w:p w14:paraId="41CCC366"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Refined algorithms and prompt responses based on test results.</w:t>
      </w:r>
    </w:p>
    <w:p w14:paraId="6770E4D6" w14:textId="77777777" w:rsidR="00DF0452" w:rsidRPr="00DF0452" w:rsidRDefault="00DF0452" w:rsidP="00DF0452">
      <w:pPr>
        <w:numPr>
          <w:ilvl w:val="0"/>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b/>
          <w:bCs/>
          <w:kern w:val="0"/>
          <w:lang w:eastAsia="en-GB"/>
          <w14:ligatures w14:val="none"/>
        </w:rPr>
        <w:t>Scenario Simulation Development</w:t>
      </w:r>
    </w:p>
    <w:p w14:paraId="7107DC33"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Added features for dynamic scenario-based analyses, like investment recommendations and policy impact assessments.</w:t>
      </w:r>
    </w:p>
    <w:p w14:paraId="55979766" w14:textId="77777777" w:rsidR="00DF0452" w:rsidRPr="00DF0452" w:rsidRDefault="00DF0452" w:rsidP="00DF0452">
      <w:pPr>
        <w:numPr>
          <w:ilvl w:val="0"/>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b/>
          <w:bCs/>
          <w:kern w:val="0"/>
          <w:lang w:eastAsia="en-GB"/>
          <w14:ligatures w14:val="none"/>
        </w:rPr>
        <w:t>Presentation Preparation</w:t>
      </w:r>
    </w:p>
    <w:p w14:paraId="3397FC19"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Developed materials to showcase EnergyQuantGPT, including example outputs and live demonstrations.</w:t>
      </w:r>
    </w:p>
    <w:p w14:paraId="68AF0EF7" w14:textId="77777777" w:rsidR="00DF0452" w:rsidRPr="00DF0452" w:rsidRDefault="00DF0452" w:rsidP="00DF0452">
      <w:pPr>
        <w:numPr>
          <w:ilvl w:val="1"/>
          <w:numId w:val="22"/>
        </w:numPr>
        <w:spacing w:before="100" w:beforeAutospacing="1" w:after="100" w:afterAutospacing="1"/>
        <w:rPr>
          <w:rFonts w:ascii="Arial" w:eastAsia="Times New Roman" w:hAnsi="Arial" w:cs="Arial"/>
          <w:kern w:val="0"/>
          <w:lang w:eastAsia="en-GB"/>
          <w14:ligatures w14:val="none"/>
        </w:rPr>
      </w:pPr>
      <w:r w:rsidRPr="00DF0452">
        <w:rPr>
          <w:rFonts w:ascii="Arial" w:eastAsia="Times New Roman" w:hAnsi="Arial" w:cs="Arial"/>
          <w:kern w:val="0"/>
          <w:lang w:eastAsia="en-GB"/>
          <w14:ligatures w14:val="none"/>
        </w:rPr>
        <w:t>Highlighted capabilities with specific use-case scenarios for different audiences.</w:t>
      </w:r>
    </w:p>
    <w:p w14:paraId="428C6C56" w14:textId="77777777" w:rsidR="00DF0452" w:rsidRPr="00D55AE3" w:rsidRDefault="00DF0452" w:rsidP="00D55AE3">
      <w:pPr>
        <w:spacing w:before="240" w:after="240"/>
        <w:rPr>
          <w:rFonts w:ascii="Times New Roman" w:eastAsia="Times New Roman" w:hAnsi="Times New Roman" w:cs="Times New Roman"/>
          <w:kern w:val="0"/>
          <w:lang w:eastAsia="en-GB"/>
          <w14:ligatures w14:val="none"/>
        </w:rPr>
      </w:pPr>
    </w:p>
    <w:p w14:paraId="161E57D2" w14:textId="77777777" w:rsidR="00D55AE3" w:rsidRPr="00D55AE3" w:rsidRDefault="00D55AE3" w:rsidP="00D55AE3">
      <w:pPr>
        <w:rPr>
          <w:rFonts w:ascii="Times New Roman" w:eastAsia="Times New Roman" w:hAnsi="Times New Roman" w:cs="Times New Roman"/>
          <w:kern w:val="0"/>
          <w:lang w:eastAsia="en-GB"/>
          <w14:ligatures w14:val="none"/>
        </w:rPr>
      </w:pPr>
    </w:p>
    <w:p w14:paraId="1D44A58C" w14:textId="77777777" w:rsidR="003568AE" w:rsidRDefault="003568AE"/>
    <w:sectPr w:rsidR="003568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4835"/>
    <w:multiLevelType w:val="multilevel"/>
    <w:tmpl w:val="DAD6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14511"/>
    <w:multiLevelType w:val="multilevel"/>
    <w:tmpl w:val="A978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C0764"/>
    <w:multiLevelType w:val="multilevel"/>
    <w:tmpl w:val="5C3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A4E17"/>
    <w:multiLevelType w:val="hybridMultilevel"/>
    <w:tmpl w:val="8060842C"/>
    <w:lvl w:ilvl="0" w:tplc="C1349F30">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4E1460"/>
    <w:multiLevelType w:val="multilevel"/>
    <w:tmpl w:val="91D669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1D67DB"/>
    <w:multiLevelType w:val="multilevel"/>
    <w:tmpl w:val="1BF01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6A4E08"/>
    <w:multiLevelType w:val="multilevel"/>
    <w:tmpl w:val="A4A606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09C512B"/>
    <w:multiLevelType w:val="multilevel"/>
    <w:tmpl w:val="4A0AC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0234C6"/>
    <w:multiLevelType w:val="multilevel"/>
    <w:tmpl w:val="AB08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BB7DC1"/>
    <w:multiLevelType w:val="multilevel"/>
    <w:tmpl w:val="3F32E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946A85"/>
    <w:multiLevelType w:val="multilevel"/>
    <w:tmpl w:val="9EB0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595DAB"/>
    <w:multiLevelType w:val="multilevel"/>
    <w:tmpl w:val="5162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663F18"/>
    <w:multiLevelType w:val="hybridMultilevel"/>
    <w:tmpl w:val="F2F8CFF6"/>
    <w:lvl w:ilvl="0" w:tplc="919CBB1C">
      <w:start w:val="1"/>
      <w:numFmt w:val="decimal"/>
      <w:lvlText w:val="%1."/>
      <w:lvlJc w:val="left"/>
      <w:pPr>
        <w:ind w:left="720" w:hanging="360"/>
      </w:pPr>
      <w:rPr>
        <w:rFonts w:ascii="Arial" w:hAnsi="Arial" w:cs="Arial" w:hint="default"/>
        <w:b/>
        <w:bCs/>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70446120">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 w16cid:durableId="317077476">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569266876">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67642127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400713608">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886918725">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875003101">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375928849">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423455846">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53179820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023551552">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337272325">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249117508">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401752938">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661500471">
    <w:abstractNumId w:val="9"/>
  </w:num>
  <w:num w:numId="16" w16cid:durableId="259607605">
    <w:abstractNumId w:val="5"/>
  </w:num>
  <w:num w:numId="17" w16cid:durableId="1066150115">
    <w:abstractNumId w:val="7"/>
  </w:num>
  <w:num w:numId="18" w16cid:durableId="1686394730">
    <w:abstractNumId w:val="12"/>
  </w:num>
  <w:num w:numId="19" w16cid:durableId="812216988">
    <w:abstractNumId w:val="8"/>
  </w:num>
  <w:num w:numId="20" w16cid:durableId="2058124421">
    <w:abstractNumId w:val="6"/>
  </w:num>
  <w:num w:numId="21" w16cid:durableId="314340395">
    <w:abstractNumId w:val="3"/>
  </w:num>
  <w:num w:numId="22" w16cid:durableId="11899490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AE3"/>
    <w:rsid w:val="00023B0C"/>
    <w:rsid w:val="00115800"/>
    <w:rsid w:val="003568AE"/>
    <w:rsid w:val="00396241"/>
    <w:rsid w:val="004567A5"/>
    <w:rsid w:val="00532019"/>
    <w:rsid w:val="00616D7B"/>
    <w:rsid w:val="0066728A"/>
    <w:rsid w:val="00693052"/>
    <w:rsid w:val="00796B2F"/>
    <w:rsid w:val="00C53408"/>
    <w:rsid w:val="00D55AE3"/>
    <w:rsid w:val="00DF0452"/>
    <w:rsid w:val="00E877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10F40"/>
  <w15:chartTrackingRefBased/>
  <w15:docId w15:val="{A7F15FE1-E1E7-E14E-A280-922D1D984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55AE3"/>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55AE3"/>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D55AE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E87740"/>
    <w:rPr>
      <w:i/>
      <w:iCs/>
    </w:rPr>
  </w:style>
  <w:style w:type="character" w:styleId="Strong">
    <w:name w:val="Strong"/>
    <w:basedOn w:val="DefaultParagraphFont"/>
    <w:uiPriority w:val="22"/>
    <w:qFormat/>
    <w:rsid w:val="00E87740"/>
    <w:rPr>
      <w:b/>
      <w:bCs/>
    </w:rPr>
  </w:style>
  <w:style w:type="paragraph" w:styleId="ListParagraph">
    <w:name w:val="List Paragraph"/>
    <w:basedOn w:val="Normal"/>
    <w:uiPriority w:val="34"/>
    <w:qFormat/>
    <w:rsid w:val="004567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18349">
      <w:bodyDiv w:val="1"/>
      <w:marLeft w:val="0"/>
      <w:marRight w:val="0"/>
      <w:marTop w:val="0"/>
      <w:marBottom w:val="0"/>
      <w:divBdr>
        <w:top w:val="none" w:sz="0" w:space="0" w:color="auto"/>
        <w:left w:val="none" w:sz="0" w:space="0" w:color="auto"/>
        <w:bottom w:val="none" w:sz="0" w:space="0" w:color="auto"/>
        <w:right w:val="none" w:sz="0" w:space="0" w:color="auto"/>
      </w:divBdr>
    </w:div>
    <w:div w:id="695471239">
      <w:bodyDiv w:val="1"/>
      <w:marLeft w:val="0"/>
      <w:marRight w:val="0"/>
      <w:marTop w:val="0"/>
      <w:marBottom w:val="0"/>
      <w:divBdr>
        <w:top w:val="none" w:sz="0" w:space="0" w:color="auto"/>
        <w:left w:val="none" w:sz="0" w:space="0" w:color="auto"/>
        <w:bottom w:val="none" w:sz="0" w:space="0" w:color="auto"/>
        <w:right w:val="none" w:sz="0" w:space="0" w:color="auto"/>
      </w:divBdr>
    </w:div>
    <w:div w:id="1144279255">
      <w:bodyDiv w:val="1"/>
      <w:marLeft w:val="0"/>
      <w:marRight w:val="0"/>
      <w:marTop w:val="0"/>
      <w:marBottom w:val="0"/>
      <w:divBdr>
        <w:top w:val="none" w:sz="0" w:space="0" w:color="auto"/>
        <w:left w:val="none" w:sz="0" w:space="0" w:color="auto"/>
        <w:bottom w:val="none" w:sz="0" w:space="0" w:color="auto"/>
        <w:right w:val="none" w:sz="0" w:space="0" w:color="auto"/>
      </w:divBdr>
    </w:div>
    <w:div w:id="1207597259">
      <w:bodyDiv w:val="1"/>
      <w:marLeft w:val="0"/>
      <w:marRight w:val="0"/>
      <w:marTop w:val="0"/>
      <w:marBottom w:val="0"/>
      <w:divBdr>
        <w:top w:val="none" w:sz="0" w:space="0" w:color="auto"/>
        <w:left w:val="none" w:sz="0" w:space="0" w:color="auto"/>
        <w:bottom w:val="none" w:sz="0" w:space="0" w:color="auto"/>
        <w:right w:val="none" w:sz="0" w:space="0" w:color="auto"/>
      </w:divBdr>
    </w:div>
    <w:div w:id="1311324373">
      <w:bodyDiv w:val="1"/>
      <w:marLeft w:val="0"/>
      <w:marRight w:val="0"/>
      <w:marTop w:val="0"/>
      <w:marBottom w:val="0"/>
      <w:divBdr>
        <w:top w:val="none" w:sz="0" w:space="0" w:color="auto"/>
        <w:left w:val="none" w:sz="0" w:space="0" w:color="auto"/>
        <w:bottom w:val="none" w:sz="0" w:space="0" w:color="auto"/>
        <w:right w:val="none" w:sz="0" w:space="0" w:color="auto"/>
      </w:divBdr>
    </w:div>
    <w:div w:id="1595285336">
      <w:bodyDiv w:val="1"/>
      <w:marLeft w:val="0"/>
      <w:marRight w:val="0"/>
      <w:marTop w:val="0"/>
      <w:marBottom w:val="0"/>
      <w:divBdr>
        <w:top w:val="none" w:sz="0" w:space="0" w:color="auto"/>
        <w:left w:val="none" w:sz="0" w:space="0" w:color="auto"/>
        <w:bottom w:val="none" w:sz="0" w:space="0" w:color="auto"/>
        <w:right w:val="none" w:sz="0" w:space="0" w:color="auto"/>
      </w:divBdr>
    </w:div>
    <w:div w:id="1737782388">
      <w:bodyDiv w:val="1"/>
      <w:marLeft w:val="0"/>
      <w:marRight w:val="0"/>
      <w:marTop w:val="0"/>
      <w:marBottom w:val="0"/>
      <w:divBdr>
        <w:top w:val="none" w:sz="0" w:space="0" w:color="auto"/>
        <w:left w:val="none" w:sz="0" w:space="0" w:color="auto"/>
        <w:bottom w:val="none" w:sz="0" w:space="0" w:color="auto"/>
        <w:right w:val="none" w:sz="0" w:space="0" w:color="auto"/>
      </w:divBdr>
    </w:div>
    <w:div w:id="191674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1154</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Pace (UG)</dc:creator>
  <cp:keywords/>
  <dc:description/>
  <cp:lastModifiedBy>Danny Pace (UG)</cp:lastModifiedBy>
  <cp:revision>1</cp:revision>
  <dcterms:created xsi:type="dcterms:W3CDTF">2024-12-08T20:56:00Z</dcterms:created>
  <dcterms:modified xsi:type="dcterms:W3CDTF">2024-12-08T22:03:00Z</dcterms:modified>
</cp:coreProperties>
</file>