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left"/>
      </w:pPr>
      <w:r>
        <w:rPr>
          <w:rFonts w:ascii="Calibri" w:hAnsi="Microsoft YaHei" w:eastAsia="Microsoft YaHei"/>
          <w:b/>
          <w:color w:val="6B2C91"/>
          <w:sz w:val="22"/>
        </w:rPr>
        <w:t>METERSPHERE</w:t>
      </w:r>
    </w:p>
    <w:p>
      <w:pPr>
        <w:pStyle w:val="Title"/>
      </w:pPr>
      <w:r>
        <w:rPr>
          <w:rFonts w:ascii="Calibri" w:hAnsi="Microsoft YaHei" w:eastAsia="Microsoft YaHei"/>
          <w:b/>
          <w:color w:val="6B2C91"/>
          <w:sz w:val="52"/>
        </w:rPr>
        <w:t>AI 生成用例改造方案</w:t>
      </w:r>
    </w:p>
    <w:p>
      <w:pPr>
        <w:pStyle w:val="Subtitle"/>
      </w:pPr>
      <w:r>
        <w:rPr>
          <w:rFonts w:ascii="Calibri" w:hAnsi="Microsoft YaHei" w:eastAsia="Microsoft YaHei"/>
          <w:color w:val="68717A"/>
          <w:sz w:val="26"/>
        </w:rPr>
        <w:t>测试用例模块新增【生成用例】Tab及产品方案智能解析能力</w:t>
      </w:r>
    </w:p>
    <w:p>
      <w:pPr>
        <w:pStyle w:val="Callout"/>
        <w:shd w:fill="F5F1F8"/>
      </w:pPr>
      <w:r>
        <w:rPr>
          <w:rFonts w:ascii="Calibri" w:hAnsi="Microsoft YaHei" w:eastAsia="Microsoft YaHei"/>
          <w:b/>
          <w:color w:val="6B2C91"/>
          <w:sz w:val="22"/>
        </w:rPr>
        <w:t xml:space="preserve">方案结论  </w:t>
      </w:r>
      <w:r>
        <w:rPr>
          <w:rFonts w:ascii="Calibri" w:hAnsi="Microsoft YaHei" w:eastAsia="Microsoft YaHei"/>
          <w:color w:val="202124"/>
          <w:sz w:val="22"/>
        </w:rPr>
        <w:t>新增独立的“生成用例”工作台，采用左侧 AI 对话、右侧草稿列表与用例详情的布局。AI 先生成可编辑草稿，经用户确认后再写入正式用例库。</w:t>
      </w:r>
    </w:p>
    <w:p>
      <w:pPr>
        <w:spacing w:after="140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文档属性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文档类型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产品与技术改造方案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适用模块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测试用例 / 功能用例 / AI能力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版本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编制日期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2026-08-05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文档状态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评审稿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1. 项目背景与目标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2. 需求范围与边界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3. 总体方案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4. 页面与交互设计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5. AI生成及草稿管理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6. 产品方案上传与解析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7. AI连接与Provider设计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8. 后端服务与接口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9. 数据模型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10. 权限、安全与审计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11. AI行为禁令与工作准则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12. 实施计划与工作量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13. 测试与验收标准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14. 风险与应对</w:t>
      </w:r>
    </w:p>
    <w:p>
      <w:pPr>
        <w:spacing w:after="100"/>
      </w:pPr>
      <w:r>
        <w:rPr>
          <w:rFonts w:ascii="Calibri" w:hAnsi="Microsoft YaHei" w:eastAsia="Microsoft YaHei"/>
          <w:color w:val="78439A"/>
          <w:sz w:val="21"/>
        </w:rPr>
        <w:t>15. 结论</w:t>
      </w:r>
    </w:p>
    <w:p>
      <w:r>
        <w:br w:type="page"/>
      </w:r>
    </w:p>
    <w:p>
      <w:pPr>
        <w:pStyle w:val="Heading1"/>
      </w:pPr>
      <w:r>
        <w:t>1. 项目背景与目标</w:t>
      </w:r>
    </w:p>
    <w:p>
      <w:r>
        <w:t>当前功能用例模块已经支持执行用例、Xmind 用例、用例列表、用例详情及 AI 辅助生成能力，但 AI 能力主要以抽屉方式存在，产品方案上传、结构化草稿预览、正式入库前确认以及多 AI 服务连接尚未形成完整工作流。</w:t>
      </w:r>
    </w:p>
    <w:p>
      <w:pPr>
        <w:pStyle w:val="Heading2"/>
      </w:pPr>
      <w:r>
        <w:t>1.1 建设目标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在【用例】与【评审】之间新增一级 Tab【生成用例】。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建立面向测试用例生成的固定 AI 工作台，而非临时抽屉。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支持上传并存档产品方案，上传成功后自动解析并触发 AI 生成。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生成结果进入右侧草稿列表，字段形态与手工新建用例保持一致。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用户确认后批量写入正式用例库，并保留生成来源和审计信息。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兼容系统模型、个人模型、OAuth 服务及企业 Agent 网关。</w:t>
      </w:r>
    </w:p>
    <w:p>
      <w:pPr>
        <w:pStyle w:val="Heading2"/>
      </w:pPr>
      <w:r>
        <w:t>1.2 核心设计原则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草稿先行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模型输出先进入草稿区，避免未经确认的数据污染正式用例库。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能力复用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复用现有 AI 会话、模型配置、MinIO、用例实体和保存逻辑。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结构化输出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优先使用 JSON Schema，不把 Markdown 标题解析作为唯一数据通道。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安全隔离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按项目、用户和权限隔离文件、会话、草稿与模型凭据。</w:t>
            </w:r>
          </w:p>
        </w:tc>
      </w:tr>
    </w:tbl>
    <w:p>
      <w:pPr>
        <w:spacing w:after="20"/>
      </w:pPr>
    </w:p>
    <w:p>
      <w:pPr>
        <w:pStyle w:val="Heading1"/>
      </w:pPr>
      <w:r>
        <w:t>2. 需求范围与边界</w:t>
      </w:r>
    </w:p>
    <w:p>
      <w:pPr>
        <w:pStyle w:val="Heading2"/>
      </w:pPr>
      <w:r>
        <w:t>2.1 本期范围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新增生成用例页面、路由、菜单和权限。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AI 对话、产品方案上传、解析进度与模型连接入口。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草稿用例列表、详情编辑、删除、重新生成和批量保存。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生成任务、来源文件、草稿数据及正式用例关联。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异常处理、操作日志、数据隔离和基础调用统计。</w:t>
      </w:r>
    </w:p>
    <w:p>
      <w:pPr>
        <w:pStyle w:val="Heading2"/>
      </w:pPr>
      <w:r>
        <w:t>2.2 边界说明</w:t>
      </w:r>
    </w:p>
    <w:p>
      <w:pPr>
        <w:pStyle w:val="Callout"/>
        <w:shd w:fill="F5F1F8"/>
      </w:pPr>
      <w:r>
        <w:rPr>
          <w:rFonts w:ascii="Calibri" w:hAnsi="Microsoft YaHei" w:eastAsia="Microsoft YaHei"/>
          <w:b/>
          <w:color w:val="6B2C91"/>
          <w:sz w:val="22"/>
        </w:rPr>
        <w:t xml:space="preserve">重要边界  </w:t>
      </w:r>
      <w:r>
        <w:rPr>
          <w:rFonts w:ascii="Calibri" w:hAnsi="Microsoft YaHei" w:eastAsia="Microsoft YaHei"/>
          <w:color w:val="202124"/>
          <w:sz w:val="22"/>
        </w:rPr>
        <w:t>Cursor、Codex、WorkBuddy 等通常是 AI 客户端或 Agent 产品，并不都向第三方系统提供统一模型 API。因此“连接AI”应连接模型服务或 Agent 网关；GitHub 登录只承担身份授权，不天然等同于获得这些产品的模型调用权限。</w:t>
      </w:r>
    </w:p>
    <w:p>
      <w:r>
        <w:t>“文件格式不限”建议拆分为“均可存档”和“可自动解析”两个口径。系统允许未识别格式留档，但首期自动解析范围限定为 PDF、DOC/DOCX、XLS/XLSX、PPT/PPTX、TXT、MD、HTML、JSON、XML、YAML 与常见图片格式。</w:t>
      </w:r>
    </w:p>
    <w:p>
      <w:pPr>
        <w:pStyle w:val="Heading1"/>
      </w:pPr>
      <w:r>
        <w:t>3. 总体方案</w:t>
      </w:r>
    </w:p>
    <w:p>
      <w:pPr>
        <w:pStyle w:val="Heading2"/>
      </w:pPr>
      <w:r>
        <w:t>3.1 功能架构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2700"/>
        <w:gridCol w:w="5360"/>
      </w:tblGrid>
      <w:tr>
        <w:trPr>
          <w:cantSplit/>
          <w:tblHeader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交互层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AI对话、文件上传、草稿列表、用例详情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承载输入、进度、预览、编辑和确认。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业务层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会话服务、解析任务、生成任务、草稿服务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组织异步流程、校验、去重和状态管理。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AI适配层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Provider Adapter、OAuth、Agent Gateway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统一模型调用、凭据、限流、超时和重试。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领域层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FunctionalCaseService、模板、自定义字段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按现有业务规则创建正式功能用例。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基础设施层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MySQL、MinIO、WebSocket/SSE、任务队列</w:t>
            </w:r>
          </w:p>
        </w:tc>
        <w:tc>
          <w:tcPr>
            <w:tcW w:type="dxa" w:w="5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保存元数据、原文件、状态事件和审计记录。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3.2 核心处理链路</w:t>
      </w:r>
    </w:p>
    <w:p>
      <w:pPr>
        <w:pStyle w:val="ListNumber"/>
        <w:spacing w:after="80"/>
      </w:pPr>
      <w:r>
        <w:rPr>
          <w:rFonts w:ascii="Calibri" w:hAnsi="Microsoft YaHei" w:eastAsia="Microsoft YaHei"/>
          <w:color w:val="202124"/>
          <w:sz w:val="21"/>
        </w:rPr>
        <w:t>用户输入需求或上传产品方案。</w:t>
      </w:r>
    </w:p>
    <w:p>
      <w:pPr>
        <w:pStyle w:val="ListNumber"/>
        <w:spacing w:after="80"/>
      </w:pPr>
      <w:r>
        <w:rPr>
          <w:rFonts w:ascii="Calibri" w:hAnsi="Microsoft YaHei" w:eastAsia="Microsoft YaHei"/>
          <w:color w:val="202124"/>
          <w:sz w:val="21"/>
        </w:rPr>
        <w:t>后台完成文件存档、内容提取、OCR与切片。</w:t>
      </w:r>
    </w:p>
    <w:p>
      <w:pPr>
        <w:pStyle w:val="ListNumber"/>
        <w:spacing w:after="80"/>
      </w:pPr>
      <w:r>
        <w:rPr>
          <w:rFonts w:ascii="Calibri" w:hAnsi="Microsoft YaHei" w:eastAsia="Microsoft YaHei"/>
          <w:color w:val="202124"/>
          <w:sz w:val="21"/>
        </w:rPr>
        <w:t>AI按项目模板输出结构化用例。</w:t>
      </w:r>
    </w:p>
    <w:p>
      <w:pPr>
        <w:pStyle w:val="ListNumber"/>
        <w:spacing w:after="80"/>
      </w:pPr>
      <w:r>
        <w:rPr>
          <w:rFonts w:ascii="Calibri" w:hAnsi="Microsoft YaHei" w:eastAsia="Microsoft YaHei"/>
          <w:color w:val="202124"/>
          <w:sz w:val="21"/>
        </w:rPr>
        <w:t>后端完成字段校验、规则校验、重复检测和安全过滤。</w:t>
      </w:r>
    </w:p>
    <w:p>
      <w:pPr>
        <w:pStyle w:val="ListNumber"/>
        <w:spacing w:after="80"/>
      </w:pPr>
      <w:r>
        <w:rPr>
          <w:rFonts w:ascii="Calibri" w:hAnsi="Microsoft YaHei" w:eastAsia="Microsoft YaHei"/>
          <w:color w:val="202124"/>
          <w:sz w:val="21"/>
        </w:rPr>
        <w:t>草稿写入数据库并实时推送到右侧列表。</w:t>
      </w:r>
    </w:p>
    <w:p>
      <w:pPr>
        <w:pStyle w:val="ListNumber"/>
        <w:spacing w:after="80"/>
      </w:pPr>
      <w:r>
        <w:rPr>
          <w:rFonts w:ascii="Calibri" w:hAnsi="Microsoft YaHei" w:eastAsia="Microsoft YaHei"/>
          <w:color w:val="202124"/>
          <w:sz w:val="21"/>
        </w:rPr>
        <w:t>用户编辑、勾选并批量确认。</w:t>
      </w:r>
    </w:p>
    <w:p>
      <w:pPr>
        <w:pStyle w:val="ListNumber"/>
        <w:spacing w:after="80"/>
      </w:pPr>
      <w:r>
        <w:rPr>
          <w:rFonts w:ascii="Calibri" w:hAnsi="Microsoft YaHei" w:eastAsia="Microsoft YaHei"/>
          <w:color w:val="202124"/>
          <w:sz w:val="21"/>
        </w:rPr>
        <w:t>系统通过正式用例服务写入功能用例库并记录来源。</w:t>
      </w:r>
    </w:p>
    <w:p>
      <w:pPr>
        <w:pStyle w:val="Heading1"/>
      </w:pPr>
      <w:r>
        <w:t>4. 页面与交互设计</w:t>
      </w:r>
    </w:p>
    <w:p>
      <w:pPr>
        <w:pStyle w:val="Heading2"/>
      </w:pPr>
      <w:r>
        <w:t>4.1 顶部导航</w:t>
      </w:r>
    </w:p>
    <w:p>
      <w:r>
        <w:t>调整后的一级导航顺序为：用例｜生成用例｜评审｜测试报告。新增独立路由 /case-management/caseGenerate，并支持项目切换、页面缓存和直接链接访问。</w:t>
      </w:r>
    </w:p>
    <w:p>
      <w:pPr>
        <w:pStyle w:val="Heading2"/>
      </w:pPr>
      <w:r>
        <w:t>4.2 页面布局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400"/>
        <w:gridCol w:w="62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建议宽度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主要内容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AI对话区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30%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会话记录、方案附件、模型选择、输入框、发送/停止生成。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用例列表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35%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草稿筛选、勾选、删除、重新生成、批量保存。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用例详情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35%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名称、等级、前置条件、步骤、预期结果、标签、自定义字段。</w:t>
            </w:r>
          </w:p>
        </w:tc>
      </w:tr>
    </w:tbl>
    <w:p>
      <w:pPr>
        <w:spacing w:after="20"/>
      </w:pPr>
    </w:p>
    <w:p>
      <w:r>
        <w:t>页面不展示【执行用例】和【Xmind用例】子 Tab，不展示左侧模块树及回收站。分栏支持拖动；窄屏时用例详情转换为抽屉。</w:t>
      </w:r>
    </w:p>
    <w:p>
      <w:pPr>
        <w:pStyle w:val="Heading2"/>
      </w:pPr>
      <w:r>
        <w:t>4.3 关键交互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【上传产品方案】：上传后显示文件、进度、解析状态，并自动触发解析。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【连接AI】：选择系统模型、个人模型或新增连接，支持测试连接和重新授权。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【发送】：提交文本需求；生成期间可停止，失败后可重试。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草稿列表：支持全选、批量删除、重新生成、状态筛选和冲突提示。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用例详情：复用手工新建用例字段与校验，修改后自动保存草稿。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【保存到用例库】：选择模块与模板，校验通过后批量创建正式用例。</w:t>
      </w:r>
    </w:p>
    <w:p>
      <w:pPr>
        <w:pStyle w:val="Heading2"/>
      </w:pPr>
      <w:r>
        <w:t>4.4 现有页面参考</w:t>
      </w:r>
    </w:p>
    <w:p>
      <w:r>
        <w:drawing>
          <wp:inline xmlns:a="http://schemas.openxmlformats.org/drawingml/2006/main" xmlns:pic="http://schemas.openxmlformats.org/drawingml/2006/picture">
            <wp:extent cx="5897880" cy="2948940"/>
            <wp:docPr id="1" name="Picture 1" descr="现有 MeterSphere 测试用例页面及生成用例 Tab 新增位置参考" title="现有 MeterSphere 测试用例页面及生成用例 Tab 新增位置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e2caabc-f04b-402f-a32d-bfcc103285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Microsoft YaHei" w:eastAsia="Microsoft YaHei"/>
          <w:i/>
          <w:color w:val="68717A"/>
          <w:sz w:val="18"/>
        </w:rPr>
        <w:t>图 1  现有测试用例页面与新增 Tab 位置参考</w:t>
      </w:r>
    </w:p>
    <w:p>
      <w:r>
        <w:drawing>
          <wp:inline xmlns:a="http://schemas.openxmlformats.org/drawingml/2006/main" xmlns:pic="http://schemas.openxmlformats.org/drawingml/2006/picture">
            <wp:extent cx="3088324" cy="4251960"/>
            <wp:docPr id="2" name="Picture 2" descr="IDE Agent AI 对话窗口交互参考" title="IDE Agent AI 对话窗口交互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3a12c7b-cae3-48bf-8404-f2fffc80f98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8324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Microsoft YaHei" w:eastAsia="Microsoft YaHei"/>
          <w:i/>
          <w:color w:val="68717A"/>
          <w:sz w:val="18"/>
        </w:rPr>
        <w:t>图 2  AI Agent 对话窗口交互参考</w:t>
      </w:r>
    </w:p>
    <w:p>
      <w:pPr>
        <w:pStyle w:val="Heading1"/>
      </w:pPr>
      <w:r>
        <w:t>5. AI生成及草稿管理</w:t>
      </w:r>
    </w:p>
    <w:p>
      <w:pPr>
        <w:pStyle w:val="Heading2"/>
      </w:pPr>
      <w:r>
        <w:t>5.1 结构化生成</w:t>
      </w:r>
    </w:p>
    <w:p>
      <w:r>
        <w:t>模型返回统一 CaseGenerationResult，至少包含名称、等级、编辑模式、前置条件、步骤、预期结果、标签和来源引用。后端使用 JSON Schema 校验，并在模型输出不合规时执行一次结构修复；仍失败则保留错误信息，不创建正式用例。</w:t>
      </w:r>
    </w:p>
    <w:p>
      <w:pPr>
        <w:pStyle w:val="Heading2"/>
      </w:pPr>
      <w:r>
        <w:t>5.2 校验规则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用例名称、项目、模板和模块为必填项。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用例等级必须属于平台枚举，步骤和预期结果必须对应。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自定义字段满足模板的类型、必填、枚举和长度规则。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控制单次生成上限，建议默认 50 条、最大 100 条。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按名称、步骤内容和项目维度生成指纹，提示重复用例。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草稿版本使用乐观锁，防止多窗口修改覆盖。</w:t>
      </w:r>
    </w:p>
    <w:p>
      <w:pPr>
        <w:pStyle w:val="Heading2"/>
      </w:pPr>
      <w:r>
        <w:t>5.3 正式入库</w:t>
      </w:r>
    </w:p>
    <w:p>
      <w:r>
        <w:t>确认入库时调用现有 FunctionalCaseService 的新增能力，不继续扩大直接 Mapper 插入方式。这样可统一复用编号、模板、自定义字段、操作日志、事件、附件和权限校验。保存成功后草稿标记为 SAVED，并记录 formal_case_id；正式用例保留 ai_create=true。</w:t>
      </w:r>
    </w:p>
    <w:p>
      <w:pPr>
        <w:pStyle w:val="Heading1"/>
      </w:pPr>
      <w:r>
        <w:t>6. 产品方案上传与解析</w:t>
      </w:r>
    </w:p>
    <w:p>
      <w:pPr>
        <w:pStyle w:val="Heading2"/>
      </w:pPr>
      <w:r>
        <w:t>6.1 存储策略</w:t>
      </w:r>
    </w:p>
    <w:p>
      <w:r>
        <w:t>原文件保存至现有 MinIO/文件服务，数据库仅保存文件元数据、解析状态、哈希和业务关联。完整解析文本可保存到对象存储，数据库保存摘要、章节索引和错误信息。SHA-256 用于重复文件识别。</w:t>
      </w:r>
    </w:p>
    <w:p>
      <w:pPr>
        <w:pStyle w:val="Heading2"/>
      </w:pPr>
      <w:r>
        <w:t>6.2 异步状态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350"/>
        <w:gridCol w:w="451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前端表现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UPLOADED</w:t>
            </w:r>
          </w:p>
        </w:tc>
        <w:tc>
          <w:tcPr>
            <w:tcW w:type="dxa" w:w="3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文件存档完成</w:t>
            </w:r>
          </w:p>
        </w:tc>
        <w:tc>
          <w:tcPr>
            <w:tcW w:type="dxa" w:w="4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显示上传成功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PARSING</w:t>
            </w:r>
          </w:p>
        </w:tc>
        <w:tc>
          <w:tcPr>
            <w:tcW w:type="dxa" w:w="3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文本提取/OCR中</w:t>
            </w:r>
          </w:p>
        </w:tc>
        <w:tc>
          <w:tcPr>
            <w:tcW w:type="dxa" w:w="4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显示解析进度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PARSED</w:t>
            </w:r>
          </w:p>
        </w:tc>
        <w:tc>
          <w:tcPr>
            <w:tcW w:type="dxa" w:w="3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可用于生成</w:t>
            </w:r>
          </w:p>
        </w:tc>
        <w:tc>
          <w:tcPr>
            <w:tcW w:type="dxa" w:w="4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自动发起生成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GENERATING</w:t>
            </w:r>
          </w:p>
        </w:tc>
        <w:tc>
          <w:tcPr>
            <w:tcW w:type="dxa" w:w="3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模型生成中</w:t>
            </w:r>
          </w:p>
        </w:tc>
        <w:tc>
          <w:tcPr>
            <w:tcW w:type="dxa" w:w="4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流式输出并追加草稿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GENERATED</w:t>
            </w:r>
          </w:p>
        </w:tc>
        <w:tc>
          <w:tcPr>
            <w:tcW w:type="dxa" w:w="3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草稿完成</w:t>
            </w:r>
          </w:p>
        </w:tc>
        <w:tc>
          <w:tcPr>
            <w:tcW w:type="dxa" w:w="4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开放编辑与批量保存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FAILED</w:t>
            </w:r>
          </w:p>
        </w:tc>
        <w:tc>
          <w:tcPr>
            <w:tcW w:type="dxa" w:w="3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解析或生成失败</w:t>
            </w:r>
          </w:p>
        </w:tc>
        <w:tc>
          <w:tcPr>
            <w:tcW w:type="dxa" w:w="4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显示原因及重试入口</w:t>
            </w:r>
          </w:p>
        </w:tc>
      </w:tr>
    </w:tbl>
    <w:p>
      <w:pPr>
        <w:spacing w:after="20"/>
      </w:pPr>
    </w:p>
    <w:p>
      <w:pPr>
        <w:pStyle w:val="Heading2"/>
      </w:pPr>
      <w:r>
        <w:t>6.3 文件安全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扩展名与 MIME 双重校验；限制单文件大小、数量及总容量。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压缩文件限制解压层级、文件数和解压后总大小，防止压缩炸弹。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预留病毒扫描接口；禁止可执行文件参与自动解析。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解析任务设置超时、重试上限和资源配额。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下载、删除、重新解析均记录项目、用户和时间。</w:t>
      </w:r>
    </w:p>
    <w:p>
      <w:pPr>
        <w:pStyle w:val="Heading1"/>
      </w:pPr>
      <w:r>
        <w:t>7. AI连接与Provider设计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200"/>
        <w:gridCol w:w="2700"/>
        <w:gridCol w:w="26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连接类型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授权方式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典型对象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模型API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API Key / Base URL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OpenAI、Azure OpenAI、DeepSeek、通义、Ollama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第一期优先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OAuth服务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OAuth 2.0 / OIDC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GitHub身份、企业AI平台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按Provider实现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Agent网关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MCP / 自定义协议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企业Agent、Codex服务端任务、WorkBuddy网关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第三期扩展</w:t>
            </w:r>
          </w:p>
        </w:tc>
      </w:tr>
    </w:tbl>
    <w:p>
      <w:pPr>
        <w:spacing w:after="20"/>
      </w:pPr>
    </w:p>
    <w:p>
      <w:r>
        <w:t>现有 ai_model_source、系统模型配置和个人模型配置继续作为主要配置来源。Provider Adapter 统一负责模型能力声明、鉴权、请求转换、流式响应、超时、重试、限流、错误码和使用量统计。</w:t>
      </w:r>
    </w:p>
    <w:p>
      <w:pPr>
        <w:pStyle w:val="Heading2"/>
      </w:pPr>
      <w:r>
        <w:t>7.1 凭据要求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API Key、OAuth access token 和 refresh token 必须加密存储。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前端永不回显完整凭据，日志与异常信息必须脱敏。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个人连接仅本人使用；系统连接按组织与项目权限授权。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支持连接测试、过期检测、刷新、撤销与系统默认模型回退。</w:t>
      </w:r>
    </w:p>
    <w:p>
      <w:pPr>
        <w:pStyle w:val="Heading1"/>
      </w:pPr>
      <w:r>
        <w:t>8. 后端服务与接口</w:t>
      </w:r>
    </w:p>
    <w:p>
      <w:pPr>
        <w:pStyle w:val="Heading2"/>
      </w:pPr>
      <w:r>
        <w:t>8.1 现有能力复用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现有能力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复用方向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FunctionalCaseAIService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复用提示词配置、对话和AI生成基础逻辑，改造成结构化输出。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AI Conversation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继续保存会话与消息，补充项目和业务场景关联。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ai_model_source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继续承载系统/个人模型连接。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FunctionalCaseService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作为草稿确认后正式入库的唯一领域入口。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MinIO/FileService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保存产品方案原文件和解析结果文件。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WebSocket能力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推送解析、生成和批量保存进度。</w:t>
            </w:r>
          </w:p>
        </w:tc>
      </w:tr>
    </w:tbl>
    <w:p>
      <w:pPr>
        <w:spacing w:after="20"/>
      </w:pPr>
    </w:p>
    <w:p>
      <w:pPr>
        <w:pStyle w:val="Heading2"/>
      </w:pPr>
      <w:r>
        <w:t>8.2 新增接口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4750"/>
        <w:gridCol w:w="3210"/>
      </w:tblGrid>
      <w:tr>
        <w:trPr>
          <w:cantSplit/>
          <w:tblHeader w:val="true"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接口组</w:t>
            </w:r>
          </w:p>
        </w:tc>
        <w:tc>
          <w:tcPr>
            <w:tcW w:type="dxa" w:w="4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示例接口</w:t>
            </w:r>
          </w:p>
        </w:tc>
        <w:tc>
          <w:tcPr>
            <w:tcW w:type="dxa" w:w="3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会话</w:t>
            </w:r>
          </w:p>
        </w:tc>
        <w:tc>
          <w:tcPr>
            <w:tcW w:type="dxa" w:w="4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POST /functional/case/ai/session</w:t>
            </w:r>
          </w:p>
        </w:tc>
        <w:tc>
          <w:tcPr>
            <w:tcW w:type="dxa" w:w="3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创建生成用例会话。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文档</w:t>
            </w:r>
          </w:p>
        </w:tc>
        <w:tc>
          <w:tcPr>
            <w:tcW w:type="dxa" w:w="4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POST /functional/case/ai/document/upload</w:t>
            </w:r>
          </w:p>
        </w:tc>
        <w:tc>
          <w:tcPr>
            <w:tcW w:type="dxa" w:w="3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上传并自动触发解析。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生成</w:t>
            </w:r>
          </w:p>
        </w:tc>
        <w:tc>
          <w:tcPr>
            <w:tcW w:type="dxa" w:w="4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POST /functional/case/ai/generation/stream</w:t>
            </w:r>
          </w:p>
        </w:tc>
        <w:tc>
          <w:tcPr>
            <w:tcW w:type="dxa" w:w="3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流式生成结构化草稿。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草稿</w:t>
            </w:r>
          </w:p>
        </w:tc>
        <w:tc>
          <w:tcPr>
            <w:tcW w:type="dxa" w:w="4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POST /functional/case/ai/draft/page</w:t>
            </w:r>
          </w:p>
        </w:tc>
        <w:tc>
          <w:tcPr>
            <w:tcW w:type="dxa" w:w="3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分页查询草稿。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草稿</w:t>
            </w:r>
          </w:p>
        </w:tc>
        <w:tc>
          <w:tcPr>
            <w:tcW w:type="dxa" w:w="4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PUT /functional/case/ai/draft/{id}</w:t>
            </w:r>
          </w:p>
        </w:tc>
        <w:tc>
          <w:tcPr>
            <w:tcW w:type="dxa" w:w="3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修改单条草稿。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入库</w:t>
            </w:r>
          </w:p>
        </w:tc>
        <w:tc>
          <w:tcPr>
            <w:tcW w:type="dxa" w:w="4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POST /functional/case/ai/draft/batch-save</w:t>
            </w:r>
          </w:p>
        </w:tc>
        <w:tc>
          <w:tcPr>
            <w:tcW w:type="dxa" w:w="3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批量创建正式用例。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模型</w:t>
            </w:r>
          </w:p>
        </w:tc>
        <w:tc>
          <w:tcPr>
            <w:tcW w:type="dxa" w:w="4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POST /functional/case/ai/provider/test</w:t>
            </w:r>
          </w:p>
        </w:tc>
        <w:tc>
          <w:tcPr>
            <w:tcW w:type="dxa" w:w="3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测试模型连接。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OAuth</w:t>
            </w:r>
          </w:p>
        </w:tc>
        <w:tc>
          <w:tcPr>
            <w:tcW w:type="dxa" w:w="4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GET /functional/case/ai/oauth/{provider}/callback</w:t>
            </w:r>
          </w:p>
        </w:tc>
        <w:tc>
          <w:tcPr>
            <w:tcW w:type="dxa" w:w="3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完成授权回调。</w:t>
            </w:r>
          </w:p>
        </w:tc>
      </w:tr>
    </w:tbl>
    <w:p>
      <w:pPr>
        <w:spacing w:after="20"/>
      </w:pPr>
    </w:p>
    <w:p>
      <w:pPr>
        <w:pStyle w:val="Heading1"/>
      </w:pPr>
      <w:r>
        <w:t>9. 数据模型</w:t>
      </w:r>
    </w:p>
    <w:p>
      <w:pPr>
        <w:pStyle w:val="Heading2"/>
      </w:pPr>
      <w:r>
        <w:t>9.1 AI生成任务 functional_case_ai_generation</w:t>
      </w:r>
    </w:p>
    <w:p>
      <w:r>
        <w:t>记录项目、会话、模型、提示词、任务状态、Token 用量、执行时长和错误信息，用于异步任务控制、调用统计和问题追溯。</w:t>
      </w:r>
    </w:p>
    <w:p>
      <w:pPr>
        <w:pStyle w:val="Heading2"/>
      </w:pPr>
      <w:r>
        <w:t>9.2 产品方案 ai_source_document</w:t>
      </w:r>
    </w:p>
    <w:p>
      <w:r>
        <w:t>记录 project_id、conversation_id、file_id、原始文件名、MIME、大小、SHA-256、解析状态、解析结果位置、解析器和创建人。</w:t>
      </w:r>
    </w:p>
    <w:p>
      <w:pPr>
        <w:pStyle w:val="Heading2"/>
      </w:pPr>
      <w:r>
        <w:t>9.3 草稿 functional_case_ai_draft</w:t>
      </w:r>
    </w:p>
    <w:p>
      <w:r>
        <w:t>记录生成任务、来源文件、模块、模板、名称、等级、编辑模式、前置条件、步骤、预期结果、标签、自定义字段、校验状态、草稿状态、正式用例 ID、版本和审计字段。</w:t>
      </w:r>
    </w:p>
    <w:p>
      <w:pPr>
        <w:pStyle w:val="Callout"/>
        <w:shd w:fill="F5F1F8"/>
      </w:pPr>
      <w:r>
        <w:rPr>
          <w:rFonts w:ascii="Calibri" w:hAnsi="Microsoft YaHei" w:eastAsia="Microsoft YaHei"/>
          <w:b/>
          <w:color w:val="6B2C91"/>
          <w:sz w:val="22"/>
        </w:rPr>
        <w:t xml:space="preserve">数据关系  </w:t>
      </w:r>
      <w:r>
        <w:rPr>
          <w:rFonts w:ascii="Calibri" w:hAnsi="Microsoft YaHei" w:eastAsia="Microsoft YaHei"/>
          <w:color w:val="202124"/>
          <w:sz w:val="22"/>
        </w:rPr>
        <w:t>一个会话可关联多个产品方案与多次生成任务；一次生成任务产生多条草稿；一条草稿最多关联一条正式功能用例。</w:t>
      </w:r>
    </w:p>
    <w:p>
      <w:pPr>
        <w:pStyle w:val="Heading1"/>
      </w:pPr>
      <w:r>
        <w:t>10. 权限、安全与审计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控制项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方案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功能权限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READ、GENERATE、UPLOAD、SAVE、CONFIG，首期可映射现有功能用例权限。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数据权限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查询和操作均校验 project_id 与当前用户项目成员关系。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模型安全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凭据加密、前端掩码、日志脱敏、OAuth token刷新与撤销。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内容安全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上传检测、Prompt注入防护、敏感信息脱敏、输出字段白名单。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审计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记录上传、解析、生成、编辑、删除、保存、授权和连接测试。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成本控制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项目级模型白名单、并发限制、Token配额和单任务用例数量上限。</w:t>
            </w:r>
          </w:p>
        </w:tc>
      </w:tr>
    </w:tbl>
    <w:p>
      <w:pPr>
        <w:spacing w:after="20"/>
      </w:pPr>
    </w:p>
    <w:p>
      <w:pPr>
        <w:pStyle w:val="Heading1"/>
      </w:pPr>
      <w:r>
        <w:t>11. AI行为禁令与工作准则</w:t>
      </w:r>
    </w:p>
    <w:p>
      <w:pPr>
        <w:pStyle w:val="Callout"/>
        <w:shd w:fill="F5F1F8"/>
      </w:pPr>
      <w:r>
        <w:rPr>
          <w:rFonts w:ascii="Calibri" w:hAnsi="Microsoft YaHei" w:eastAsia="Microsoft YaHei"/>
          <w:b/>
          <w:color w:val="6B2C91"/>
          <w:sz w:val="22"/>
        </w:rPr>
        <w:t xml:space="preserve">强制约束  </w:t>
      </w:r>
      <w:r>
        <w:rPr>
          <w:rFonts w:ascii="Calibri" w:hAnsi="Microsoft YaHei" w:eastAsia="Microsoft YaHei"/>
          <w:color w:val="202124"/>
          <w:sz w:val="22"/>
        </w:rPr>
        <w:t>本章规则适用于参与需求分析、方案解析、代码生成、接口调用、测试执行、结果汇报及自动化操作的所有 AI。规则属于强制性治理要求，不得通过提示词、模型切换、Agent 转交或任务拆分规避。</w:t>
      </w:r>
    </w:p>
    <w:p>
      <w:pPr>
        <w:pStyle w:val="Heading2"/>
      </w:pPr>
      <w:r>
        <w:t>11.1 三项AI禁令</w:t>
      </w:r>
    </w:p>
    <w:p>
      <w:pPr>
        <w:pStyle w:val="ListNumber"/>
        <w:spacing w:after="80"/>
      </w:pPr>
      <w:r>
        <w:rPr>
          <w:rFonts w:ascii="Calibri" w:hAnsi="Microsoft YaHei" w:eastAsia="Microsoft YaHei"/>
          <w:color w:val="202124"/>
          <w:sz w:val="21"/>
        </w:rPr>
        <w:t>不得以任何理由敷衍、欺瞒用户。AI必须如实说明实际执行过程、结果、限制、异常和未验证事项，不得伪造接口响应、测试结果、文件状态或完成证明。</w:t>
      </w:r>
    </w:p>
    <w:p>
      <w:pPr>
        <w:pStyle w:val="ListNumber"/>
        <w:spacing w:after="80"/>
      </w:pPr>
      <w:r>
        <w:rPr>
          <w:rFonts w:ascii="Calibri" w:hAnsi="Microsoft YaHei" w:eastAsia="Microsoft YaHei"/>
          <w:color w:val="202124"/>
          <w:sz w:val="21"/>
        </w:rPr>
        <w:t>不得以任何理由将未完成内容或部分完成内容标记为完成。存在未实现、未测试、未验证、执行失败或依赖外部条件的事项时，必须明确标记为未完成、部分完成或阻塞，并列出剩余工作。</w:t>
      </w:r>
    </w:p>
    <w:p>
      <w:pPr>
        <w:pStyle w:val="ListNumber"/>
        <w:spacing w:after="80"/>
      </w:pPr>
      <w:r>
        <w:rPr>
          <w:rFonts w:ascii="Calibri" w:hAnsi="Microsoft YaHei" w:eastAsia="Microsoft YaHei"/>
          <w:color w:val="202124"/>
          <w:sz w:val="21"/>
        </w:rPr>
        <w:t>必须谨记并遵守“八耻八荣”。在发生规则冲突、信息不足或执行结果不确定时，应停止高风险操作，查阅依据、完成验证或请求人类确认。</w:t>
      </w:r>
    </w:p>
    <w:p>
      <w:pPr>
        <w:pStyle w:val="Heading2"/>
      </w:pPr>
      <w:r>
        <w:t>11.2 八耻八荣</w:t>
      </w:r>
    </w:p>
    <w:p>
      <w:pPr>
        <w:spacing w:before="100" w:after="40"/>
      </w:pPr>
      <w:r>
        <w:rPr>
          <w:rFonts w:ascii="Calibri" w:hAnsi="Microsoft YaHei" w:eastAsia="Microsoft YaHei"/>
          <w:b/>
          <w:color w:val="78439A"/>
          <w:sz w:val="22"/>
        </w:rPr>
        <w:t>以暗猜接口为耻，以认真查阅为荣</w:t>
      </w:r>
    </w:p>
    <w:p>
      <w:pPr>
        <w:spacing w:after="120"/>
        <w:ind w:left="317"/>
      </w:pPr>
      <w:r>
        <w:t>AI调用接口或函数前，应查阅接口文档、类型定义、源代码或可验证示例，确认名称、参数、权限、返回值及异常行为，不得凭名称或经验猜测调用方式。</w:t>
      </w:r>
    </w:p>
    <w:p>
      <w:pPr>
        <w:spacing w:before="100" w:after="40"/>
      </w:pPr>
      <w:r>
        <w:rPr>
          <w:rFonts w:ascii="Calibri" w:hAnsi="Microsoft YaHei" w:eastAsia="Microsoft YaHei"/>
          <w:b/>
          <w:color w:val="78439A"/>
          <w:sz w:val="22"/>
        </w:rPr>
        <w:t>以模糊执行为耻，以寻求确认为荣</w:t>
      </w:r>
    </w:p>
    <w:p>
      <w:pPr>
        <w:spacing w:after="120"/>
        <w:ind w:left="317"/>
      </w:pPr>
      <w:r>
        <w:t>对于目标、范围、参数或影响不明确且可能改变业务结果的操作，应通过验证或人类确认消除歧义；确认前不得执行不可逆或高风险操作。</w:t>
      </w:r>
    </w:p>
    <w:p>
      <w:pPr>
        <w:spacing w:before="100" w:after="40"/>
      </w:pPr>
      <w:r>
        <w:rPr>
          <w:rFonts w:ascii="Calibri" w:hAnsi="Microsoft YaHei" w:eastAsia="Microsoft YaHei"/>
          <w:b/>
          <w:color w:val="78439A"/>
          <w:sz w:val="22"/>
        </w:rPr>
        <w:t>以盲想业务为耻，以人类确认为荣</w:t>
      </w:r>
    </w:p>
    <w:p>
      <w:pPr>
        <w:spacing w:after="120"/>
        <w:ind w:left="317"/>
      </w:pPr>
      <w:r>
        <w:t>AI不得凭空补充业务规则。应优先依据已确认需求、现有业务代码、数据规则和产品文档；无法确定时应明确列出未知项并请求业务人员确认。</w:t>
      </w:r>
    </w:p>
    <w:p>
      <w:pPr>
        <w:spacing w:before="100" w:after="40"/>
      </w:pPr>
      <w:r>
        <w:rPr>
          <w:rFonts w:ascii="Calibri" w:hAnsi="Microsoft YaHei" w:eastAsia="Microsoft YaHei"/>
          <w:b/>
          <w:color w:val="78439A"/>
          <w:sz w:val="22"/>
        </w:rPr>
        <w:t>以创造接口为耻，以复用现有为荣</w:t>
      </w:r>
    </w:p>
    <w:p>
      <w:pPr>
        <w:spacing w:after="120"/>
        <w:ind w:left="317"/>
      </w:pPr>
      <w:r>
        <w:t>新增接口、服务或数据模型前，必须检索并评估现有能力。能够通过现有接口、领域服务或公共组件满足需求时，应优先复用并保持单一业务入口。</w:t>
      </w:r>
    </w:p>
    <w:p>
      <w:pPr>
        <w:spacing w:before="100" w:after="40"/>
      </w:pPr>
      <w:r>
        <w:rPr>
          <w:rFonts w:ascii="Calibri" w:hAnsi="Microsoft YaHei" w:eastAsia="Microsoft YaHei"/>
          <w:b/>
          <w:color w:val="78439A"/>
          <w:sz w:val="22"/>
        </w:rPr>
        <w:t>以跳过验证为耻，以主动测试为荣</w:t>
      </w:r>
    </w:p>
    <w:p>
      <w:pPr>
        <w:spacing w:after="120"/>
        <w:ind w:left="317"/>
      </w:pPr>
      <w:r>
        <w:t>AI生成或修改的代码必须执行与风险相匹配的编译、单元测试、接口测试或页面验证。无法测试时必须说明原因、未覆盖范围和潜在风险，不得直接宣称可上线。</w:t>
      </w:r>
    </w:p>
    <w:p>
      <w:pPr>
        <w:spacing w:before="100" w:after="40"/>
      </w:pPr>
      <w:r>
        <w:rPr>
          <w:rFonts w:ascii="Calibri" w:hAnsi="Microsoft YaHei" w:eastAsia="Microsoft YaHei"/>
          <w:b/>
          <w:color w:val="78439A"/>
          <w:sz w:val="22"/>
        </w:rPr>
        <w:t>以破坏架构为耻，以遵循规范为荣</w:t>
      </w:r>
    </w:p>
    <w:p>
      <w:pPr>
        <w:spacing w:after="120"/>
        <w:ind w:left="317"/>
      </w:pPr>
      <w:r>
        <w:t>AI应遵守项目分层、权限、异常处理、事务、日志、国际化、数据迁移和编码规范，不得为局部便利绕过领域服务或破坏既有架构边界。</w:t>
      </w:r>
    </w:p>
    <w:p>
      <w:pPr>
        <w:spacing w:before="100" w:after="40"/>
      </w:pPr>
      <w:r>
        <w:rPr>
          <w:rFonts w:ascii="Calibri" w:hAnsi="Microsoft YaHei" w:eastAsia="Microsoft YaHei"/>
          <w:b/>
          <w:color w:val="78439A"/>
          <w:sz w:val="22"/>
        </w:rPr>
        <w:t>以假装理解为耻，以诚实无知为荣</w:t>
      </w:r>
    </w:p>
    <w:p>
      <w:pPr>
        <w:spacing w:after="120"/>
        <w:ind w:left="317"/>
      </w:pPr>
      <w:r>
        <w:t>当AI无法理解需求、代码或外部系统行为时，应如实说明不确定性，继续查阅可用资料或请求帮助，不得以推测内容冒充确定结论。</w:t>
      </w:r>
    </w:p>
    <w:p>
      <w:pPr>
        <w:spacing w:before="100" w:after="40"/>
      </w:pPr>
      <w:r>
        <w:rPr>
          <w:rFonts w:ascii="Calibri" w:hAnsi="Microsoft YaHei" w:eastAsia="Microsoft YaHei"/>
          <w:b/>
          <w:color w:val="78439A"/>
          <w:sz w:val="22"/>
        </w:rPr>
        <w:t>以盲目修改为耻，以谨慎重构为荣</w:t>
      </w:r>
    </w:p>
    <w:p>
      <w:pPr>
        <w:spacing w:after="120"/>
        <w:ind w:left="317"/>
      </w:pPr>
      <w:r>
        <w:t>修改前应定位影响范围、调用链、数据兼容性和回滚方案；重构应保持行为兼容、控制改动边界，并通过测试证明未引入回归。</w:t>
      </w:r>
    </w:p>
    <w:p>
      <w:pPr>
        <w:pStyle w:val="Heading2"/>
      </w:pPr>
      <w:r>
        <w:t>11.3 执行与验收要求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AI每次任务必须保留输入依据、实际操作、验证证据、最终状态和剩余事项。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完成状态至少区分：未开始、进行中、部分完成、已完成、失败、阻塞；只有全部验收条件满足时才可标记“已完成”。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接口调用、数据写入、文件操作和代码修改应可追溯；关键操作应记录调用目标、参数摘要、结果及异常。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AI输出必须区分事实、推断和建议。未经验证的内容应显式标注，不得包装成确定事实。</w:t>
      </w:r>
    </w:p>
    <w:p>
      <w:pPr>
        <w:pStyle w:val="ListBullet"/>
        <w:spacing w:after="80" w:line="264" w:lineRule="auto"/>
      </w:pPr>
      <w:r>
        <w:rPr>
          <w:rFonts w:ascii="Calibri" w:hAnsi="Microsoft YaHei" w:eastAsia="Microsoft YaHei"/>
          <w:color w:val="202124"/>
          <w:sz w:val="21"/>
        </w:rPr>
        <w:t>发现违反本章规则时，应终止错误链路、如实披露影响、恢复可恢复内容并重新完成验证。</w:t>
      </w:r>
    </w:p>
    <w:p>
      <w:pPr>
        <w:pStyle w:val="Heading1"/>
      </w:pPr>
      <w:r>
        <w:t>12. 实施计划与工作量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540"/>
        <w:gridCol w:w="1440"/>
        <w:gridCol w:w="1440"/>
        <w:gridCol w:w="144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前端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后端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测试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一期：生成闭环</w:t>
            </w:r>
          </w:p>
        </w:tc>
        <w:tc>
          <w:tcPr>
            <w:tcW w:type="dxa" w:w="3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新Tab、AI对话、结构化草稿、编辑与正式入库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8-12人日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8-12人日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5-7人日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二期：方案解析</w:t>
            </w:r>
          </w:p>
        </w:tc>
        <w:tc>
          <w:tcPr>
            <w:tcW w:type="dxa" w:w="3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文件存档、Office/PDF/图片解析、OCR、异步进度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4-6人日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10-15人日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5-8人日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三期：多Provider</w:t>
            </w:r>
          </w:p>
        </w:tc>
        <w:tc>
          <w:tcPr>
            <w:tcW w:type="dxa" w:w="35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OAuth、Agent网关、额度统计、企业连接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4-8人日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10-20人日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4-8人日</w:t>
            </w:r>
          </w:p>
        </w:tc>
      </w:tr>
    </w:tbl>
    <w:p>
      <w:pPr>
        <w:spacing w:after="20"/>
      </w:pPr>
    </w:p>
    <w:p>
      <w:r>
        <w:t>以上为开发工作量区间，不含外部 Provider 商务申请、模型采购、病毒扫描服务部署及超大规模性能专项。建议一期先完成可用闭环，二期补齐方案解析，三期按真实接入对象落地 OAuth/Agent。</w:t>
      </w:r>
    </w:p>
    <w:p>
      <w:pPr>
        <w:pStyle w:val="Heading1"/>
      </w:pPr>
      <w:r>
        <w:t>13. 测试与验收标准</w:t>
      </w:r>
    </w:p>
    <w:p>
      <w:pPr>
        <w:spacing w:after="100"/>
        <w:ind w:left="72"/>
      </w:pPr>
      <w:r>
        <w:rPr>
          <w:rFonts w:ascii="Calibri" w:hAnsi="Microsoft YaHei" w:eastAsia="Microsoft YaHei"/>
          <w:b/>
          <w:color w:val="6B2C91"/>
          <w:sz w:val="22"/>
        </w:rPr>
        <w:t xml:space="preserve">☐ 01  </w:t>
      </w:r>
      <w:r>
        <w:rPr>
          <w:rFonts w:ascii="Calibri" w:hAnsi="Microsoft YaHei" w:eastAsia="Microsoft YaHei"/>
          <w:color w:val="202124"/>
          <w:sz w:val="22"/>
        </w:rPr>
        <w:t>【生成用例】位于【用例】和【评审】之间，并拥有独立可访问路由。</w:t>
      </w:r>
    </w:p>
    <w:p>
      <w:pPr>
        <w:spacing w:after="100"/>
        <w:ind w:left="72"/>
      </w:pPr>
      <w:r>
        <w:rPr>
          <w:rFonts w:ascii="Calibri" w:hAnsi="Microsoft YaHei" w:eastAsia="Microsoft YaHei"/>
          <w:b/>
          <w:color w:val="6B2C91"/>
          <w:sz w:val="22"/>
        </w:rPr>
        <w:t xml:space="preserve">☐ 02  </w:t>
      </w:r>
      <w:r>
        <w:rPr>
          <w:rFonts w:ascii="Calibri" w:hAnsi="Microsoft YaHei" w:eastAsia="Microsoft YaHei"/>
          <w:color w:val="202124"/>
          <w:sz w:val="22"/>
        </w:rPr>
        <w:t>页面不显示执行用例、Xmind 用例、模块树和回收站。</w:t>
      </w:r>
    </w:p>
    <w:p>
      <w:pPr>
        <w:spacing w:after="100"/>
        <w:ind w:left="72"/>
      </w:pPr>
      <w:r>
        <w:rPr>
          <w:rFonts w:ascii="Calibri" w:hAnsi="Microsoft YaHei" w:eastAsia="Microsoft YaHei"/>
          <w:b/>
          <w:color w:val="6B2C91"/>
          <w:sz w:val="22"/>
        </w:rPr>
        <w:t xml:space="preserve">☐ 03  </w:t>
      </w:r>
      <w:r>
        <w:rPr>
          <w:rFonts w:ascii="Calibri" w:hAnsi="Microsoft YaHei" w:eastAsia="Microsoft YaHei"/>
          <w:color w:val="202124"/>
          <w:sz w:val="22"/>
        </w:rPr>
        <w:t>文本需求和已支持的产品方案均可触发 AI 生成。</w:t>
      </w:r>
    </w:p>
    <w:p>
      <w:pPr>
        <w:spacing w:after="100"/>
        <w:ind w:left="72"/>
      </w:pPr>
      <w:r>
        <w:rPr>
          <w:rFonts w:ascii="Calibri" w:hAnsi="Microsoft YaHei" w:eastAsia="Microsoft YaHei"/>
          <w:b/>
          <w:color w:val="6B2C91"/>
          <w:sz w:val="22"/>
        </w:rPr>
        <w:t xml:space="preserve">☐ 04  </w:t>
      </w:r>
      <w:r>
        <w:rPr>
          <w:rFonts w:ascii="Calibri" w:hAnsi="Microsoft YaHei" w:eastAsia="Microsoft YaHei"/>
          <w:color w:val="202124"/>
          <w:sz w:val="22"/>
        </w:rPr>
        <w:t>生成结果进入草稿列表，且字段与手工新建功能用例一致。</w:t>
      </w:r>
    </w:p>
    <w:p>
      <w:pPr>
        <w:spacing w:after="100"/>
        <w:ind w:left="72"/>
      </w:pPr>
      <w:r>
        <w:rPr>
          <w:rFonts w:ascii="Calibri" w:hAnsi="Microsoft YaHei" w:eastAsia="Microsoft YaHei"/>
          <w:b/>
          <w:color w:val="6B2C91"/>
          <w:sz w:val="22"/>
        </w:rPr>
        <w:t xml:space="preserve">☐ 05  </w:t>
      </w:r>
      <w:r>
        <w:rPr>
          <w:rFonts w:ascii="Calibri" w:hAnsi="Microsoft YaHei" w:eastAsia="Microsoft YaHei"/>
          <w:color w:val="202124"/>
          <w:sz w:val="22"/>
        </w:rPr>
        <w:t>未经用户确认，正式用例表中不得产生新记录。</w:t>
      </w:r>
    </w:p>
    <w:p>
      <w:pPr>
        <w:spacing w:after="100"/>
        <w:ind w:left="72"/>
      </w:pPr>
      <w:r>
        <w:rPr>
          <w:rFonts w:ascii="Calibri" w:hAnsi="Microsoft YaHei" w:eastAsia="Microsoft YaHei"/>
          <w:b/>
          <w:color w:val="6B2C91"/>
          <w:sz w:val="22"/>
        </w:rPr>
        <w:t xml:space="preserve">☐ 06  </w:t>
      </w:r>
      <w:r>
        <w:rPr>
          <w:rFonts w:ascii="Calibri" w:hAnsi="Microsoft YaHei" w:eastAsia="Microsoft YaHei"/>
          <w:color w:val="202124"/>
          <w:sz w:val="22"/>
        </w:rPr>
        <w:t>批量保存后，可在【用例】Tab查询到用例，且 ai_create=true。</w:t>
      </w:r>
    </w:p>
    <w:p>
      <w:pPr>
        <w:spacing w:after="100"/>
        <w:ind w:left="72"/>
      </w:pPr>
      <w:r>
        <w:rPr>
          <w:rFonts w:ascii="Calibri" w:hAnsi="Microsoft YaHei" w:eastAsia="Microsoft YaHei"/>
          <w:b/>
          <w:color w:val="6B2C91"/>
          <w:sz w:val="22"/>
        </w:rPr>
        <w:t xml:space="preserve">☐ 07  </w:t>
      </w:r>
      <w:r>
        <w:rPr>
          <w:rFonts w:ascii="Calibri" w:hAnsi="Microsoft YaHei" w:eastAsia="Microsoft YaHei"/>
          <w:color w:val="202124"/>
          <w:sz w:val="22"/>
        </w:rPr>
        <w:t>上传文件在对象存储和数据库中均有可追溯记录。</w:t>
      </w:r>
    </w:p>
    <w:p>
      <w:pPr>
        <w:spacing w:after="100"/>
        <w:ind w:left="72"/>
      </w:pPr>
      <w:r>
        <w:rPr>
          <w:rFonts w:ascii="Calibri" w:hAnsi="Microsoft YaHei" w:eastAsia="Microsoft YaHei"/>
          <w:b/>
          <w:color w:val="6B2C91"/>
          <w:sz w:val="22"/>
        </w:rPr>
        <w:t xml:space="preserve">☐ 08  </w:t>
      </w:r>
      <w:r>
        <w:rPr>
          <w:rFonts w:ascii="Calibri" w:hAnsi="Microsoft YaHei" w:eastAsia="Microsoft YaHei"/>
          <w:color w:val="202124"/>
          <w:sz w:val="22"/>
        </w:rPr>
        <w:t>AI超时、断流、格式错误或解析失败时不产生残缺正式用例。</w:t>
      </w:r>
    </w:p>
    <w:p>
      <w:pPr>
        <w:spacing w:after="100"/>
        <w:ind w:left="72"/>
      </w:pPr>
      <w:r>
        <w:rPr>
          <w:rFonts w:ascii="Calibri" w:hAnsi="Microsoft YaHei" w:eastAsia="Microsoft YaHei"/>
          <w:b/>
          <w:color w:val="6B2C91"/>
          <w:sz w:val="22"/>
        </w:rPr>
        <w:t xml:space="preserve">☐ 09  </w:t>
      </w:r>
      <w:r>
        <w:rPr>
          <w:rFonts w:ascii="Calibri" w:hAnsi="Microsoft YaHei" w:eastAsia="Microsoft YaHei"/>
          <w:color w:val="202124"/>
          <w:sz w:val="22"/>
        </w:rPr>
        <w:t>不同项目和用户之间的文件、会话、草稿和凭据不可越权访问。</w:t>
      </w:r>
    </w:p>
    <w:p>
      <w:pPr>
        <w:spacing w:after="100"/>
        <w:ind w:left="72"/>
      </w:pPr>
      <w:r>
        <w:rPr>
          <w:rFonts w:ascii="Calibri" w:hAnsi="Microsoft YaHei" w:eastAsia="Microsoft YaHei"/>
          <w:b/>
          <w:color w:val="6B2C91"/>
          <w:sz w:val="22"/>
        </w:rPr>
        <w:t xml:space="preserve">☐ 10  </w:t>
      </w:r>
      <w:r>
        <w:rPr>
          <w:rFonts w:ascii="Calibri" w:hAnsi="Microsoft YaHei" w:eastAsia="Microsoft YaHei"/>
          <w:color w:val="202124"/>
          <w:sz w:val="22"/>
        </w:rPr>
        <w:t>上传、生成、修改、删除、保存和授权均形成审计记录。</w:t>
      </w:r>
    </w:p>
    <w:p>
      <w:pPr>
        <w:spacing w:after="100"/>
        <w:ind w:left="72"/>
      </w:pPr>
      <w:r>
        <w:rPr>
          <w:rFonts w:ascii="Calibri" w:hAnsi="Microsoft YaHei" w:eastAsia="Microsoft YaHei"/>
          <w:b/>
          <w:color w:val="6B2C91"/>
          <w:sz w:val="22"/>
        </w:rPr>
        <w:t xml:space="preserve">☐ 11  </w:t>
      </w:r>
      <w:r>
        <w:rPr>
          <w:rFonts w:ascii="Calibri" w:hAnsi="Microsoft YaHei" w:eastAsia="Microsoft YaHei"/>
          <w:color w:val="202124"/>
          <w:sz w:val="22"/>
        </w:rPr>
        <w:t>离开页面再次进入后，可恢复未保存草稿和历史对话。</w:t>
      </w:r>
    </w:p>
    <w:p>
      <w:pPr>
        <w:spacing w:after="100"/>
        <w:ind w:left="72"/>
      </w:pPr>
      <w:r>
        <w:rPr>
          <w:rFonts w:ascii="Calibri" w:hAnsi="Microsoft YaHei" w:eastAsia="Microsoft YaHei"/>
          <w:b/>
          <w:color w:val="6B2C91"/>
          <w:sz w:val="22"/>
        </w:rPr>
        <w:t xml:space="preserve">☐ 12  </w:t>
      </w:r>
      <w:r>
        <w:rPr>
          <w:rFonts w:ascii="Calibri" w:hAnsi="Microsoft YaHei" w:eastAsia="Microsoft YaHei"/>
          <w:color w:val="202124"/>
          <w:sz w:val="22"/>
        </w:rPr>
        <w:t>并发、数量、文件大小和Token配额均受到限制并有明确提示。</w:t>
      </w:r>
    </w:p>
    <w:p>
      <w:pPr>
        <w:spacing w:after="100"/>
        <w:ind w:left="72"/>
      </w:pPr>
      <w:r>
        <w:rPr>
          <w:rFonts w:ascii="Calibri" w:hAnsi="Microsoft YaHei" w:eastAsia="Microsoft YaHei"/>
          <w:b/>
          <w:color w:val="6B2C91"/>
          <w:sz w:val="22"/>
        </w:rPr>
        <w:t xml:space="preserve">☐ 13  </w:t>
      </w:r>
      <w:r>
        <w:rPr>
          <w:rFonts w:ascii="Calibri" w:hAnsi="Microsoft YaHei" w:eastAsia="Microsoft YaHei"/>
          <w:color w:val="202124"/>
          <w:sz w:val="22"/>
        </w:rPr>
        <w:t>AI任务状态、验证证据和剩余事项如实记录，部分完成或未验证内容不得标记为已完成。</w:t>
      </w:r>
    </w:p>
    <w:p>
      <w:pPr>
        <w:pStyle w:val="Heading1"/>
      </w:pPr>
      <w:r>
        <w:t>14. 风险与应对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2600"/>
        <w:gridCol w:w="4710"/>
      </w:tblGrid>
      <w:tr>
        <w:trPr>
          <w:cantSplit/>
          <w:tblHeader w:val="true"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6B2C91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/>
                <w:color w:val="FFFFFF"/>
                <w:sz w:val="19"/>
              </w:rPr>
              <w:t>应对措施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模型输出不稳定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草稿字段缺失或格式错误</w:t>
            </w:r>
          </w:p>
        </w:tc>
        <w:tc>
          <w:tcPr>
            <w:tcW w:type="dxa" w:w="4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JSON Schema、结构修复、字段白名单、人工确认。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大文件解析耗时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请求超时、资源占用高</w:t>
            </w:r>
          </w:p>
        </w:tc>
        <w:tc>
          <w:tcPr>
            <w:tcW w:type="dxa" w:w="4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异步任务、切片、配额、超时和失败重试。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直接入库绕过规则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正式用例数据不完整</w:t>
            </w:r>
          </w:p>
        </w:tc>
        <w:tc>
          <w:tcPr>
            <w:tcW w:type="dxa" w:w="4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统一通过 FunctionalCaseService 入库。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外部产品无开放API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无法直接连接Cursor/Codex</w:t>
            </w:r>
          </w:p>
        </w:tc>
        <w:tc>
          <w:tcPr>
            <w:tcW w:type="dxa" w:w="4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使用模型API或企业Agent网关，接入前确认官方能力。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敏感方案外发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合规风险</w:t>
            </w:r>
          </w:p>
        </w:tc>
        <w:tc>
          <w:tcPr>
            <w:tcW w:type="dxa" w:w="4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私有模型优先、脱敏、模型白名单、审计和用户告知。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重复用例过多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用例库膨胀</w:t>
            </w:r>
          </w:p>
        </w:tc>
        <w:tc>
          <w:tcPr>
            <w:tcW w:type="dxa" w:w="4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A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Microsoft YaHei" w:eastAsia="Microsoft YaHei"/>
                <w:b w:val="0"/>
                <w:color w:val="202124"/>
                <w:sz w:val="19"/>
              </w:rPr>
              <w:t>生成指纹、相似度提示、确认前去重。</w:t>
            </w:r>
          </w:p>
        </w:tc>
      </w:tr>
    </w:tbl>
    <w:p>
      <w:pPr>
        <w:spacing w:after="20"/>
      </w:pPr>
    </w:p>
    <w:p>
      <w:pPr>
        <w:pStyle w:val="Heading1"/>
      </w:pPr>
      <w:r>
        <w:t>15. 结论</w:t>
      </w:r>
    </w:p>
    <w:p>
      <w:r>
        <w:t>本次改造可建立从“产品方案/文本需求”到“AI生成草稿”、再到“人工确认并写入正式用例库”的完整闭环。项目已有 AI 会话、模型配置、功能用例生成、文件服务和用例保存基础，实施重点应集中在固定工作台、结构化草稿、方案解析和 Provider 适配四个方面。</w:t>
      </w:r>
    </w:p>
    <w:p>
      <w:pPr>
        <w:pStyle w:val="Callout"/>
        <w:shd w:fill="F5F1F8"/>
      </w:pPr>
      <w:r>
        <w:rPr>
          <w:rFonts w:ascii="Calibri" w:hAnsi="Microsoft YaHei" w:eastAsia="Microsoft YaHei"/>
          <w:b/>
          <w:color w:val="6B2C91"/>
          <w:sz w:val="22"/>
        </w:rPr>
        <w:t xml:space="preserve">推荐决策  </w:t>
      </w:r>
      <w:r>
        <w:rPr>
          <w:rFonts w:ascii="Calibri" w:hAnsi="Microsoft YaHei" w:eastAsia="Microsoft YaHei"/>
          <w:color w:val="202124"/>
          <w:sz w:val="22"/>
        </w:rPr>
        <w:t>批准按三期实施；一期优先实现文本生成、草稿预览和正式入库闭环。产品方案解析与多 Provider 授权在一期接口和数据模型中预留扩展点。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Microsoft YaHei" w:eastAsia="Microsoft YaHei"/>
        <w:color w:val="68717A"/>
        <w:sz w:val="17"/>
      </w:rPr>
      <w:t xml:space="preserve">MeterSphere AI生成用例改造方案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Microsoft YaHei" w:eastAsia="Microsoft YaHei"/>
        <w:b/>
        <w:color w:val="68717A"/>
        <w:sz w:val="17"/>
      </w:rPr>
      <w:t>METERSPHERE · TECHNICAL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B2C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843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8439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B2C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871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40" w:after="160"/>
      <w:ind w:left="259" w:right="259"/>
    </w:pPr>
    <w:rPr>
      <w:rFonts w:ascii="Microsoft YaHei" w:hAnsi="Microsoft YaHei" w:eastAsia="Microsoft YaHei"/>
      <w:color w:val="78439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MeterSphere AI生成用例改造方案</dc:title>
  <dc:subject>测试用例模块AI生成能力改造</dc:subject>
  <dc:creator>MeterSphere 项目组</dc:creator>
  <cp:keywords>MeterSphere, AI, 测试用例, 改造方案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