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F08B" w14:textId="51A0A976" w:rsidR="00247BF6" w:rsidRDefault="00247BF6">
      <w:pPr>
        <w:pStyle w:val="a6"/>
      </w:pPr>
      <w:r>
        <w:t xml:space="preserve">Магистерская работа. </w:t>
      </w:r>
      <w:proofErr w:type="spellStart"/>
      <w:r>
        <w:t>Минасян</w:t>
      </w:r>
      <w:proofErr w:type="spellEnd"/>
      <w:r>
        <w:t xml:space="preserve">. </w:t>
      </w:r>
    </w:p>
    <w:sdt>
      <w:sdtPr>
        <w:id w:val="-969588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D1E652" w14:textId="73154DAE" w:rsidR="00247BF6" w:rsidRDefault="00247BF6">
          <w:pPr>
            <w:pStyle w:val="a6"/>
          </w:pPr>
          <w:r>
            <w:t>Оглавление</w:t>
          </w:r>
        </w:p>
        <w:p w14:paraId="08686ADC" w14:textId="5967F56A" w:rsidR="00247BF6" w:rsidRDefault="00247BF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4202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37BA" w14:textId="78D2AFE5" w:rsidR="00247BF6" w:rsidRDefault="00247B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64203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7E7" w14:textId="77FFAA52" w:rsidR="00247BF6" w:rsidRDefault="00247B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64204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Основная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3307" w14:textId="7E85EE56" w:rsidR="00247BF6" w:rsidRDefault="00247B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64205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99A8" w14:textId="29BC549F" w:rsidR="00247BF6" w:rsidRDefault="00247BF6">
          <w:r>
            <w:rPr>
              <w:b/>
              <w:bCs/>
            </w:rPr>
            <w:fldChar w:fldCharType="end"/>
          </w:r>
        </w:p>
      </w:sdtContent>
    </w:sdt>
    <w:p w14:paraId="103ABBEF" w14:textId="77777777" w:rsidR="00247BF6" w:rsidRDefault="00247BF6" w:rsidP="00651578">
      <w:pPr>
        <w:pStyle w:val="1"/>
        <w:jc w:val="both"/>
        <w:rPr>
          <w:rFonts w:ascii="Times New Roman" w:hAnsi="Times New Roman" w:cs="Times New Roman"/>
        </w:rPr>
      </w:pPr>
    </w:p>
    <w:p w14:paraId="637603D9" w14:textId="6684D05F" w:rsidR="003674E3" w:rsidRPr="00651578" w:rsidRDefault="003674E3" w:rsidP="00651578">
      <w:pPr>
        <w:pStyle w:val="1"/>
        <w:jc w:val="both"/>
        <w:rPr>
          <w:rFonts w:ascii="Times New Roman" w:hAnsi="Times New Roman" w:cs="Times New Roman"/>
        </w:rPr>
      </w:pPr>
      <w:bookmarkStart w:id="0" w:name="_Toc513764202"/>
      <w:r w:rsidRPr="00651578">
        <w:rPr>
          <w:rFonts w:ascii="Times New Roman" w:hAnsi="Times New Roman" w:cs="Times New Roman"/>
        </w:rPr>
        <w:t>Введение</w:t>
      </w:r>
      <w:bookmarkEnd w:id="0"/>
    </w:p>
    <w:p w14:paraId="02D7E11E" w14:textId="5FEC45EC" w:rsidR="00DA2F11" w:rsidRPr="00651578" w:rsidRDefault="003674E3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EndPr/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658E70F6" w:rsidR="0089698E" w:rsidRPr="00651578" w:rsidRDefault="00DA2F11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EndPr/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EndPr/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EndPr/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DE87F9A" w14:textId="1AC7466F" w:rsidR="0054347F" w:rsidRPr="00651578" w:rsidRDefault="001E7A5C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Несмотря на то, что спекулятивность рынка криптовалюты подтверждается многими научными публикациями, спекулятивная связь </w:t>
      </w:r>
      <w:r w:rsidR="00E21BD7" w:rsidRPr="00651578">
        <w:rPr>
          <w:rFonts w:ascii="Times New Roman" w:hAnsi="Times New Roman" w:cs="Times New Roman"/>
          <w:sz w:val="28"/>
          <w:szCs w:val="28"/>
        </w:rPr>
        <w:t>на рынке — это рынке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слабо изучена. Спекулятивная связь между рынками криптовалюты может вызывать эффект домино</w:t>
      </w:r>
      <w:r w:rsidR="00D161F8" w:rsidRPr="00651578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21BD7" w:rsidRPr="00651578">
        <w:rPr>
          <w:rFonts w:ascii="Times New Roman" w:hAnsi="Times New Roman" w:cs="Times New Roman"/>
          <w:sz w:val="28"/>
          <w:szCs w:val="28"/>
        </w:rPr>
        <w:t>что ,</w:t>
      </w:r>
      <w:proofErr w:type="gramEnd"/>
      <w:r w:rsidR="00E21BD7" w:rsidRPr="00651578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</w:t>
      </w:r>
      <w:r w:rsidR="00E21BD7" w:rsidRPr="00651578">
        <w:rPr>
          <w:rFonts w:ascii="Times New Roman" w:hAnsi="Times New Roman" w:cs="Times New Roman"/>
          <w:sz w:val="28"/>
          <w:szCs w:val="28"/>
        </w:rPr>
        <w:lastRenderedPageBreak/>
        <w:t>рынке криптовалюты.</w:t>
      </w:r>
      <w:r w:rsidR="002261F9" w:rsidRPr="00651578">
        <w:rPr>
          <w:rFonts w:ascii="Times New Roman" w:hAnsi="Times New Roman" w:cs="Times New Roman"/>
          <w:sz w:val="28"/>
          <w:szCs w:val="28"/>
        </w:rPr>
        <w:t xml:space="preserve"> Описанное выше обстоятельство обосновывает актуальность исследования спекулятивных процессов такого рода. 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="006963BF" w:rsidRPr="00651578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 между различными криптовалютами. </w:t>
      </w:r>
      <w:r w:rsidR="00BB6AAF" w:rsidRPr="00651578">
        <w:rPr>
          <w:rFonts w:ascii="Times New Roman" w:hAnsi="Times New Roman" w:cs="Times New Roman"/>
          <w:sz w:val="28"/>
          <w:szCs w:val="28"/>
        </w:rPr>
        <w:t>Логичным представляется для анализа спекулятивных процессов рассматривать волатильность той или иной криптовалюты, так как это то, что на интуитивном уровне может отражать спекулятивные процессы на рынке криптовалюты.</w:t>
      </w:r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В данной работе мы под нестабильностью будет понимать степень волатильности временного ряда </w:t>
      </w:r>
      <w:r w:rsidR="008F46A2" w:rsidRPr="00651578">
        <w:rPr>
          <w:rFonts w:ascii="Times New Roman" w:hAnsi="Times New Roman" w:cs="Times New Roman"/>
          <w:sz w:val="28"/>
          <w:szCs w:val="28"/>
        </w:rPr>
        <w:t>и будет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исследована спекулятивная связь между тремя основными криптовалютами, </w:t>
      </w:r>
      <w:r w:rsidR="0054347F" w:rsidRPr="00651578">
        <w:rPr>
          <w:rFonts w:ascii="Times New Roman" w:hAnsi="Times New Roman" w:cs="Times New Roman"/>
          <w:sz w:val="28"/>
          <w:szCs w:val="28"/>
          <w:highlight w:val="yellow"/>
        </w:rPr>
        <w:t>чья рыночная капитализация составляет более 60% от общей капитализации рынка криптовалют –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gramStart"/>
      <w:r w:rsidR="0054347F" w:rsidRPr="00651578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47F" w:rsidRPr="00651578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) и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54347F" w:rsidRPr="00651578">
        <w:rPr>
          <w:rFonts w:ascii="Times New Roman" w:hAnsi="Times New Roman" w:cs="Times New Roman"/>
          <w:sz w:val="28"/>
          <w:szCs w:val="28"/>
        </w:rPr>
        <w:t>).</w:t>
      </w:r>
    </w:p>
    <w:p w14:paraId="3A8654B5" w14:textId="03561D49" w:rsidR="00CF49E0" w:rsidRPr="00651578" w:rsidRDefault="00A536DB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в данной работе мы будет придерживаться </w:t>
      </w:r>
      <w:sdt>
        <w:sdtPr>
          <w:rPr>
            <w:rFonts w:ascii="Times New Roman" w:hAnsi="Times New Roman" w:cs="Times New Roman"/>
            <w:sz w:val="28"/>
            <w:szCs w:val="28"/>
          </w:rPr>
          <w:id w:val="-786966763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CITATION Llo \l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A54E5D" w:rsidRPr="00651578">
        <w:rPr>
          <w:rFonts w:ascii="Times New Roman" w:hAnsi="Times New Roman" w:cs="Times New Roman"/>
          <w:sz w:val="28"/>
          <w:szCs w:val="28"/>
        </w:rPr>
        <w:t>, а для моделирования волатильности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, которая объяснялась бы спекулятивными процессами будет использоваться 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="00455ADD" w:rsidRPr="00651578">
        <w:rPr>
          <w:rFonts w:ascii="Times New Roman" w:hAnsi="Times New Roman" w:cs="Times New Roman"/>
          <w:sz w:val="28"/>
          <w:szCs w:val="28"/>
        </w:rPr>
        <w:t>-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модели, при формировании которых мы будет </w:t>
      </w:r>
      <w:r w:rsidR="00D03158" w:rsidRPr="00651578">
        <w:rPr>
          <w:rFonts w:ascii="Times New Roman" w:hAnsi="Times New Roman" w:cs="Times New Roman"/>
          <w:sz w:val="28"/>
          <w:szCs w:val="28"/>
        </w:rPr>
        <w:t>придерживаться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03158" w:rsidRPr="00651578">
        <w:rPr>
          <w:rFonts w:ascii="Times New Roman" w:hAnsi="Times New Roman" w:cs="Times New Roman"/>
          <w:sz w:val="28"/>
          <w:szCs w:val="28"/>
        </w:rPr>
        <w:t xml:space="preserve">статьи </w:t>
      </w:r>
      <w:sdt>
        <w:sdtPr>
          <w:rPr>
            <w:rFonts w:ascii="Times New Roman" w:hAnsi="Times New Roman" w:cs="Times New Roman"/>
            <w:sz w:val="28"/>
            <w:szCs w:val="28"/>
          </w:rPr>
          <w:id w:val="818085946"/>
          <w:citation/>
        </w:sdtPr>
        <w:sdtEndPr/>
        <w:sdtContent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03158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E0F9C" w14:textId="7422807B" w:rsidR="00801740" w:rsidRPr="00651578" w:rsidRDefault="00801740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</w:t>
      </w:r>
      <w:r w:rsidR="00660BDC" w:rsidRPr="00651578">
        <w:rPr>
          <w:rFonts w:ascii="Times New Roman" w:hAnsi="Times New Roman" w:cs="Times New Roman"/>
          <w:sz w:val="28"/>
          <w:szCs w:val="28"/>
        </w:rPr>
        <w:t>ом данного исследования является</w:t>
      </w:r>
      <w:r w:rsidR="00BC748C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2739B6" w:rsidRPr="00651578">
        <w:rPr>
          <w:rFonts w:ascii="Times New Roman" w:hAnsi="Times New Roman" w:cs="Times New Roman"/>
          <w:sz w:val="28"/>
          <w:szCs w:val="28"/>
        </w:rPr>
        <w:t xml:space="preserve">спекулятивная связь между </w:t>
      </w:r>
      <w:proofErr w:type="gramStart"/>
      <w:r w:rsidR="002739B6" w:rsidRPr="00651578">
        <w:rPr>
          <w:rFonts w:ascii="Times New Roman" w:hAnsi="Times New Roman" w:cs="Times New Roman"/>
          <w:sz w:val="28"/>
          <w:szCs w:val="28"/>
        </w:rPr>
        <w:t>криптовалютами</w:t>
      </w:r>
      <w:r w:rsidR="0036490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122752" w:rsidRPr="006515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E4CBEF" w14:textId="58783A81" w:rsidR="00801740" w:rsidRPr="00651578" w:rsidRDefault="00660BDC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 Объект исследования: </w:t>
      </w:r>
      <w:r w:rsidR="0000651D" w:rsidRPr="00651578">
        <w:rPr>
          <w:rFonts w:ascii="Times New Roman" w:hAnsi="Times New Roman" w:cs="Times New Roman"/>
          <w:sz w:val="28"/>
          <w:szCs w:val="28"/>
        </w:rPr>
        <w:t>спекулятивная волатильность на рынке криптовалюты.</w:t>
      </w:r>
    </w:p>
    <w:p w14:paraId="30FFCC65" w14:textId="2FCD59E3" w:rsidR="002B2F39" w:rsidRPr="00651578" w:rsidRDefault="002B2F3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описания тестируемые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321EBFF" w:rsidR="00660BDC" w:rsidRPr="00651578" w:rsidRDefault="00CB1174" w:rsidP="006515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На рынке криптовалюты существуют спекулятивные процессы</w:t>
      </w:r>
    </w:p>
    <w:p w14:paraId="07675B79" w14:textId="3496B8FB" w:rsidR="00DA461B" w:rsidRPr="00651578" w:rsidRDefault="00DA461B" w:rsidP="006515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Спекулятивные процессы, вызывающие нестабильность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( волатильность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) 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</w:t>
      </w:r>
      <w:r w:rsidR="009656E5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39E2FF4D" w:rsidR="00801740" w:rsidRPr="00651578" w:rsidRDefault="00E100E6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тех криптовалют, для которых будет подтверждена гипотеза о наличии спекулятивных процессов, будут протестированы гипотезы о связях спекулятивных процессов тестом </w:t>
      </w:r>
      <w:proofErr w:type="spellStart"/>
      <w:r w:rsidRPr="00651578">
        <w:rPr>
          <w:rFonts w:ascii="Times New Roman" w:hAnsi="Times New Roman" w:cs="Times New Roman"/>
          <w:sz w:val="28"/>
          <w:szCs w:val="28"/>
          <w:highlight w:val="yellow"/>
        </w:rPr>
        <w:t>Гранжера</w:t>
      </w:r>
      <w:proofErr w:type="spellEnd"/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на причинность</w:t>
      </w:r>
      <w:r w:rsidR="00823B09" w:rsidRPr="0065157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23B09" w:rsidRPr="00651578">
        <w:rPr>
          <w:rFonts w:ascii="Times New Roman" w:hAnsi="Times New Roman" w:cs="Times New Roman"/>
          <w:sz w:val="28"/>
          <w:szCs w:val="28"/>
        </w:rPr>
        <w:t xml:space="preserve"> Тест позволит понять спекулятивную связь и даже причинность между различыми криптовалютами</w:t>
      </w:r>
      <w:r w:rsidR="00C22E0D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8F6C7" w14:textId="23748FDE" w:rsidR="007023CA" w:rsidRPr="00651578" w:rsidRDefault="007023CA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6C6516E6" w:rsidR="00247BF6" w:rsidRDefault="00247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EFFBB" w14:textId="0160AF24" w:rsidR="00213714" w:rsidRPr="00247BF6" w:rsidRDefault="00213714" w:rsidP="00651578">
      <w:pPr>
        <w:pStyle w:val="1"/>
        <w:jc w:val="both"/>
        <w:rPr>
          <w:rFonts w:ascii="Times New Roman" w:hAnsi="Times New Roman" w:cs="Times New Roman"/>
        </w:rPr>
      </w:pPr>
      <w:bookmarkStart w:id="1" w:name="_Toc513764203"/>
      <w:r w:rsidRPr="00247BF6">
        <w:rPr>
          <w:rFonts w:ascii="Times New Roman" w:hAnsi="Times New Roman" w:cs="Times New Roman"/>
        </w:rPr>
        <w:lastRenderedPageBreak/>
        <w:t>Обзор литературы</w:t>
      </w:r>
      <w:bookmarkEnd w:id="1"/>
    </w:p>
    <w:p w14:paraId="73EDF939" w14:textId="76AAA6F7" w:rsidR="005E04C8" w:rsidRPr="00651578" w:rsidRDefault="0021371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62843609" w:rsidR="00B5366F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EndPr/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609CA8D8" w:rsidR="00213714" w:rsidRPr="00651578" w:rsidRDefault="00D4583C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EndPr/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</w:t>
      </w:r>
      <w:r w:rsidR="002A4A1F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EndPr>
          <w:rPr>
            <w:rStyle w:val="fontstyle01"/>
          </w:rPr>
        </w:sdtEnd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EndPr>
          <w:rPr>
            <w:rStyle w:val="fontstyle01"/>
          </w:rPr>
        </w:sdtEnd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3FEFDD21" w:rsidR="005E04C8" w:rsidRPr="00651578" w:rsidRDefault="003F7BA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EndPr/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</w:t>
      </w:r>
      <w:r w:rsidR="004832AB" w:rsidRPr="00651578">
        <w:rPr>
          <w:rFonts w:ascii="Times New Roman" w:hAnsi="Times New Roman" w:cs="Times New Roman"/>
          <w:sz w:val="28"/>
          <w:szCs w:val="28"/>
        </w:rPr>
        <w:lastRenderedPageBreak/>
        <w:t>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EndPr/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56373B32" w:rsidR="00E82709" w:rsidRPr="00651578" w:rsidRDefault="00E8270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coherence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47BF6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Kri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[10]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47BF6">
        <w:rPr>
          <w:rFonts w:ascii="Times New Roman" w:hAnsi="Times New Roman" w:cs="Times New Roman"/>
          <w:sz w:val="28"/>
          <w:szCs w:val="28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1031C7C7" w:rsidR="007A4E14" w:rsidRPr="00651578" w:rsidRDefault="00B204F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EndPr/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EndPr/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EndPr/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>Данное предположение было 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4FC08B1F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</w:t>
      </w:r>
      <w:r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4E4C2A4F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95E57E" w14:textId="62928B6F" w:rsidR="00247BF6" w:rsidRDefault="00247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FA096" w14:textId="5193B130" w:rsidR="006F4B5C" w:rsidRPr="00651578" w:rsidRDefault="00C11594" w:rsidP="00247BF6">
      <w:pPr>
        <w:pStyle w:val="1"/>
        <w:jc w:val="both"/>
        <w:rPr>
          <w:rFonts w:ascii="Times New Roman" w:hAnsi="Times New Roman" w:cs="Times New Roman"/>
        </w:rPr>
      </w:pPr>
      <w:bookmarkStart w:id="2" w:name="_Toc513764204"/>
      <w:r w:rsidRPr="00651578">
        <w:rPr>
          <w:rFonts w:ascii="Times New Roman" w:hAnsi="Times New Roman" w:cs="Times New Roman"/>
        </w:rPr>
        <w:lastRenderedPageBreak/>
        <w:t>Основная часть:</w:t>
      </w:r>
      <w:bookmarkEnd w:id="2"/>
    </w:p>
    <w:p w14:paraId="2A016338" w14:textId="39C02D5A" w:rsidR="00405DD0" w:rsidRPr="00651578" w:rsidRDefault="00405DD0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Для каждой из 3 криптовалют (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Ethereum</w:t>
      </w:r>
      <w:r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A43804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A43804" w:rsidRPr="00651578">
        <w:rPr>
          <w:rFonts w:ascii="Times New Roman" w:hAnsi="Times New Roman" w:cs="Times New Roman"/>
          <w:sz w:val="28"/>
          <w:szCs w:val="28"/>
        </w:rPr>
        <w:t>) строится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сле</w:t>
      </w:r>
      <w:bookmarkStart w:id="3" w:name="_GoBack"/>
      <w:bookmarkEnd w:id="3"/>
      <w:r w:rsidRPr="00651578">
        <w:rPr>
          <w:rFonts w:ascii="Times New Roman" w:hAnsi="Times New Roman" w:cs="Times New Roman"/>
          <w:sz w:val="28"/>
          <w:szCs w:val="28"/>
        </w:rPr>
        <w:t>дующая модель:</w:t>
      </w:r>
    </w:p>
    <w:p w14:paraId="0F438567" w14:textId="75158440" w:rsidR="00C11594" w:rsidRPr="00651578" w:rsidRDefault="00C11594" w:rsidP="006515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EndPr/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47BF6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47BF6" w:rsidRPr="00247BF6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3E01E6" w14:textId="021EB212" w:rsidR="00C11594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2769586" w14:textId="4E87BB22" w:rsidR="00C11594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11594"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</w:p>
    <w:p w14:paraId="4822F87E" w14:textId="6C07C601" w:rsidR="00405DD0" w:rsidRPr="00651578" w:rsidRDefault="00405DD0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AR(1)X-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GARCH(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1,1) model </w:t>
      </w:r>
    </w:p>
    <w:p w14:paraId="26CF30BE" w14:textId="6A21B0E8" w:rsidR="00186FD8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19AA3D7F" w14:textId="6BFBA635" w:rsidR="00CF5A7C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30241D37" w14:textId="249603B1" w:rsidR="00CF5A7C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4B521989" w14:textId="01440D01" w:rsidR="00186FD8" w:rsidRPr="00651578" w:rsidRDefault="00186FD8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</w:t>
      </w:r>
      <w:r w:rsidR="00CF5A7C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составляющую во временном ряду. 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B0FFBFA" w14:textId="215E9B72" w:rsidR="00405DD0" w:rsidRPr="00651578" w:rsidRDefault="00405DD0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EndPr/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247BF6" w:rsidRPr="00247BF6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процессы: </w:t>
      </w:r>
    </w:p>
    <w:p w14:paraId="2AB37D90" w14:textId="7D77AC08" w:rsidR="00405DD0" w:rsidRPr="00505426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+ϵ </m:t>
          </m:r>
        </m:oMath>
      </m:oMathPara>
    </w:p>
    <w:p w14:paraId="730FAC7C" w14:textId="177F5BF2" w:rsidR="00505426" w:rsidRPr="00505426" w:rsidRDefault="00505426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– моё творчество. </w:t>
      </w:r>
    </w:p>
    <w:p w14:paraId="454724F6" w14:textId="05C1F8EF" w:rsidR="00505426" w:rsidRPr="00505426" w:rsidRDefault="00505426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оценки объяснённой волатильности, объяснённые спекулятивными процессами. </w:t>
      </w:r>
    </w:p>
    <w:p w14:paraId="429E1C52" w14:textId="25222B35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 криптовалют далее проверяется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(преемственность) спекулятивной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валотильности</w:t>
      </w:r>
      <w:proofErr w:type="spellEnd"/>
    </w:p>
    <w:p w14:paraId="2C3EE955" w14:textId="289932BE" w:rsidR="00311ED3" w:rsidRPr="00651578" w:rsidRDefault="00A4380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7766B309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proofErr w:type="gramStart"/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</w:t>
      </w:r>
      <w:proofErr w:type="gramEnd"/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4AE7C081" w14:textId="77777777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2D319D" w14:textId="55C6CDA2" w:rsidR="00C11594" w:rsidRPr="00651578" w:rsidRDefault="00C11594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51B950" w14:textId="77777777" w:rsidR="00C11594" w:rsidRPr="00651578" w:rsidRDefault="00C11594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8E426" w14:textId="19A54D5D" w:rsidR="005E04C8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5AE2A" w14:textId="77777777" w:rsidR="005E04C8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bookmarkStart w:id="4" w:name="_Toc51376420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EndPr/>
      <w:sdtContent>
        <w:p w14:paraId="16A225F2" w14:textId="52DD0BEA" w:rsidR="00A536DB" w:rsidRPr="00651578" w:rsidRDefault="00A536DB" w:rsidP="00651578">
          <w:pPr>
            <w:pStyle w:val="1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4C607BB3" w14:textId="77777777" w:rsidR="00247BF6" w:rsidRDefault="00A536DB" w:rsidP="00247BF6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247BF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9001"/>
              </w:tblGrid>
              <w:tr w:rsidR="00247BF6" w:rsidRPr="00247BF6" w14:paraId="6F5EE0F6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C7660D0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6CDCC9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247BF6" w14:paraId="6BAD0918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5E92452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232771" w14:textId="77777777" w:rsidR="00247BF6" w:rsidRDefault="00247BF6">
                    <w:pPr>
                      <w:pStyle w:val="a4"/>
                      <w:rPr>
                        <w:noProof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247B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247BF6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247BF6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247BF6" w:rsidRPr="00247BF6" w14:paraId="45F07C17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842BF0C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A82DC3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247BF6" w:rsidRPr="00247BF6" w14:paraId="42B1E268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D54790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27248C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247BF6" w:rsidRPr="00247BF6" w14:paraId="3BF14E10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D477790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2A999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247BF6" w14:paraId="627424C0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34CA2D7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0FE295" w14:textId="77777777" w:rsidR="00247BF6" w:rsidRDefault="00247BF6">
                    <w:pPr>
                      <w:pStyle w:val="a4"/>
                      <w:rPr>
                        <w:noProof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247B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247BF6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247BF6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247BF6" w:rsidRPr="00247BF6" w14:paraId="7DF92424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CB2C38D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4BDFC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247BF6" w14:paraId="4F69A6BD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9EC70BD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DDFA5" w14:textId="77777777" w:rsidR="00247BF6" w:rsidRDefault="00247BF6">
                    <w:pPr>
                      <w:pStyle w:val="a4"/>
                      <w:rPr>
                        <w:noProof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247B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247BF6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247BF6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247BF6" w:rsidRPr="00247BF6" w14:paraId="466028B2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32E8CC9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DBB29E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247BF6" w:rsidRPr="00247BF6" w14:paraId="55D122C0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2061193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DD173B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247BF6" w:rsidRPr="00247BF6" w14:paraId="063F8FB1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32F0461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7D4E7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247BF6" w:rsidRPr="00247BF6" w14:paraId="144B8C54" w14:textId="77777777" w:rsidTr="00247BF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F7830BF" w14:textId="77777777" w:rsidR="00247BF6" w:rsidRDefault="00247BF6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F2F91C" w14:textId="77777777" w:rsidR="00247BF6" w:rsidRPr="00247BF6" w:rsidRDefault="00247BF6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247BF6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</w:tbl>
            <w:p w14:paraId="31532E3C" w14:textId="77777777" w:rsidR="00247BF6" w:rsidRDefault="00247BF6" w:rsidP="00247BF6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Pr="00651578" w:rsidRDefault="00A536DB" w:rsidP="00247BF6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5B6D748" w14:textId="66067FFB" w:rsidR="00CA689A" w:rsidRPr="00651578" w:rsidRDefault="00CA689A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80073"/>
    <w:rsid w:val="00082CD6"/>
    <w:rsid w:val="0009068E"/>
    <w:rsid w:val="000A0E99"/>
    <w:rsid w:val="000D38C5"/>
    <w:rsid w:val="000F0A15"/>
    <w:rsid w:val="000F5CBF"/>
    <w:rsid w:val="00105BC7"/>
    <w:rsid w:val="00106541"/>
    <w:rsid w:val="00122752"/>
    <w:rsid w:val="00183D39"/>
    <w:rsid w:val="00186FD8"/>
    <w:rsid w:val="001910A8"/>
    <w:rsid w:val="00197A47"/>
    <w:rsid w:val="001A00F2"/>
    <w:rsid w:val="001A6FE7"/>
    <w:rsid w:val="001E7A5C"/>
    <w:rsid w:val="00213714"/>
    <w:rsid w:val="0022351D"/>
    <w:rsid w:val="002248B1"/>
    <w:rsid w:val="002261F9"/>
    <w:rsid w:val="00234BE2"/>
    <w:rsid w:val="00241AB7"/>
    <w:rsid w:val="00247BF6"/>
    <w:rsid w:val="00251EF0"/>
    <w:rsid w:val="00255FAE"/>
    <w:rsid w:val="002739B6"/>
    <w:rsid w:val="00273C1B"/>
    <w:rsid w:val="00274B4E"/>
    <w:rsid w:val="0029410D"/>
    <w:rsid w:val="002A4A1F"/>
    <w:rsid w:val="002B2F39"/>
    <w:rsid w:val="002E2DD0"/>
    <w:rsid w:val="002E734A"/>
    <w:rsid w:val="002F1DAB"/>
    <w:rsid w:val="00303483"/>
    <w:rsid w:val="00304CC5"/>
    <w:rsid w:val="003110DF"/>
    <w:rsid w:val="00311ED3"/>
    <w:rsid w:val="0035396D"/>
    <w:rsid w:val="0036490F"/>
    <w:rsid w:val="003674E3"/>
    <w:rsid w:val="003B5B5A"/>
    <w:rsid w:val="003E1CF0"/>
    <w:rsid w:val="003E6A7D"/>
    <w:rsid w:val="003F031A"/>
    <w:rsid w:val="003F7BA9"/>
    <w:rsid w:val="00405DD0"/>
    <w:rsid w:val="0041197C"/>
    <w:rsid w:val="0042688E"/>
    <w:rsid w:val="00435268"/>
    <w:rsid w:val="00455ADD"/>
    <w:rsid w:val="0046281F"/>
    <w:rsid w:val="0046534F"/>
    <w:rsid w:val="004661CE"/>
    <w:rsid w:val="0048174C"/>
    <w:rsid w:val="004832AB"/>
    <w:rsid w:val="0049537A"/>
    <w:rsid w:val="004A5497"/>
    <w:rsid w:val="004B03F8"/>
    <w:rsid w:val="004D2D7A"/>
    <w:rsid w:val="004E46A1"/>
    <w:rsid w:val="00505426"/>
    <w:rsid w:val="005066CA"/>
    <w:rsid w:val="0050788F"/>
    <w:rsid w:val="005214F6"/>
    <w:rsid w:val="0054347F"/>
    <w:rsid w:val="005617CC"/>
    <w:rsid w:val="005641A9"/>
    <w:rsid w:val="00572825"/>
    <w:rsid w:val="00580178"/>
    <w:rsid w:val="00581A96"/>
    <w:rsid w:val="00582B52"/>
    <w:rsid w:val="00590E26"/>
    <w:rsid w:val="005C7338"/>
    <w:rsid w:val="005E04C8"/>
    <w:rsid w:val="006251F7"/>
    <w:rsid w:val="00635E2C"/>
    <w:rsid w:val="00651578"/>
    <w:rsid w:val="00660BDC"/>
    <w:rsid w:val="006726BC"/>
    <w:rsid w:val="006963BF"/>
    <w:rsid w:val="00697794"/>
    <w:rsid w:val="006A48D6"/>
    <w:rsid w:val="006B5CEB"/>
    <w:rsid w:val="006F4B5C"/>
    <w:rsid w:val="007023CA"/>
    <w:rsid w:val="00704684"/>
    <w:rsid w:val="00712445"/>
    <w:rsid w:val="007320FE"/>
    <w:rsid w:val="00736444"/>
    <w:rsid w:val="00742DF7"/>
    <w:rsid w:val="00777DEB"/>
    <w:rsid w:val="007A4E14"/>
    <w:rsid w:val="007C5B69"/>
    <w:rsid w:val="00801740"/>
    <w:rsid w:val="008023EA"/>
    <w:rsid w:val="00823B09"/>
    <w:rsid w:val="00847C95"/>
    <w:rsid w:val="0085247C"/>
    <w:rsid w:val="00863446"/>
    <w:rsid w:val="008759DC"/>
    <w:rsid w:val="0089556B"/>
    <w:rsid w:val="008960E6"/>
    <w:rsid w:val="0089698E"/>
    <w:rsid w:val="008D1356"/>
    <w:rsid w:val="008D2709"/>
    <w:rsid w:val="008F46A2"/>
    <w:rsid w:val="009250C4"/>
    <w:rsid w:val="009362E8"/>
    <w:rsid w:val="00940E24"/>
    <w:rsid w:val="0096507F"/>
    <w:rsid w:val="009656E5"/>
    <w:rsid w:val="00965BE5"/>
    <w:rsid w:val="009734A5"/>
    <w:rsid w:val="009802B0"/>
    <w:rsid w:val="009A0202"/>
    <w:rsid w:val="009D0458"/>
    <w:rsid w:val="00A05A7A"/>
    <w:rsid w:val="00A235ED"/>
    <w:rsid w:val="00A25140"/>
    <w:rsid w:val="00A25F20"/>
    <w:rsid w:val="00A3063A"/>
    <w:rsid w:val="00A31C30"/>
    <w:rsid w:val="00A40B09"/>
    <w:rsid w:val="00A43804"/>
    <w:rsid w:val="00A536DB"/>
    <w:rsid w:val="00A54E5D"/>
    <w:rsid w:val="00A6689C"/>
    <w:rsid w:val="00A90384"/>
    <w:rsid w:val="00A90F81"/>
    <w:rsid w:val="00AC4C48"/>
    <w:rsid w:val="00AC7E70"/>
    <w:rsid w:val="00AF466C"/>
    <w:rsid w:val="00B141F1"/>
    <w:rsid w:val="00B1631A"/>
    <w:rsid w:val="00B204F9"/>
    <w:rsid w:val="00B5366F"/>
    <w:rsid w:val="00B56963"/>
    <w:rsid w:val="00B961B9"/>
    <w:rsid w:val="00BA33B5"/>
    <w:rsid w:val="00BB610F"/>
    <w:rsid w:val="00BB6AAF"/>
    <w:rsid w:val="00BC748C"/>
    <w:rsid w:val="00C03360"/>
    <w:rsid w:val="00C07CB3"/>
    <w:rsid w:val="00C11594"/>
    <w:rsid w:val="00C22E0D"/>
    <w:rsid w:val="00C32F3C"/>
    <w:rsid w:val="00C64E26"/>
    <w:rsid w:val="00C820F6"/>
    <w:rsid w:val="00CA4568"/>
    <w:rsid w:val="00CA689A"/>
    <w:rsid w:val="00CB1174"/>
    <w:rsid w:val="00CC68CC"/>
    <w:rsid w:val="00CE67F3"/>
    <w:rsid w:val="00CF49E0"/>
    <w:rsid w:val="00CF5A7C"/>
    <w:rsid w:val="00D03158"/>
    <w:rsid w:val="00D071FA"/>
    <w:rsid w:val="00D161F8"/>
    <w:rsid w:val="00D42E80"/>
    <w:rsid w:val="00D4583C"/>
    <w:rsid w:val="00D9220D"/>
    <w:rsid w:val="00DA1C36"/>
    <w:rsid w:val="00DA2F11"/>
    <w:rsid w:val="00DA461B"/>
    <w:rsid w:val="00DA47F0"/>
    <w:rsid w:val="00DA6F38"/>
    <w:rsid w:val="00E049D7"/>
    <w:rsid w:val="00E100E6"/>
    <w:rsid w:val="00E21BD7"/>
    <w:rsid w:val="00E21D40"/>
    <w:rsid w:val="00E33A13"/>
    <w:rsid w:val="00E41858"/>
    <w:rsid w:val="00E76DB6"/>
    <w:rsid w:val="00E82709"/>
    <w:rsid w:val="00E83B3B"/>
    <w:rsid w:val="00EA114B"/>
    <w:rsid w:val="00F01654"/>
    <w:rsid w:val="00F5509E"/>
    <w:rsid w:val="00F61B74"/>
    <w:rsid w:val="00F72E15"/>
    <w:rsid w:val="00F91336"/>
    <w:rsid w:val="00F92D07"/>
    <w:rsid w:val="00FA2622"/>
    <w:rsid w:val="00FB59B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247B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7BF6"/>
    <w:pPr>
      <w:spacing w:after="100"/>
    </w:pPr>
  </w:style>
  <w:style w:type="character" w:styleId="a7">
    <w:name w:val="Hyperlink"/>
    <w:basedOn w:val="a0"/>
    <w:uiPriority w:val="99"/>
    <w:unhideWhenUsed/>
    <w:rsid w:val="00247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89"/>
    <w:rsid w:val="003B7A89"/>
    <w:rsid w:val="005021B9"/>
    <w:rsid w:val="00505655"/>
    <w:rsid w:val="0090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BibOrder>12</b:BibOrder>
    <b:YearSuffix/>
    <b:RefOrder>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BibOrder>2</b:BibOrder>
    <b:YearSuffix/>
    <b:RefOrder>2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BibOrder>6</b:BibOrder>
    <b:YearSuffix/>
    <b:RefOrder>3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BibOrder>8</b:BibOrder>
    <b:YearSuffix/>
    <b:RefOrder>4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BibOrder>11</b:BibOrder>
    <b:YearSuffix/>
    <b:RefOrder>5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BibOrder>3</b:BibOrder>
    <b:YearSuffix/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BibOrder>4</b:BibOrder>
    <b:YearSuffix/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BibOrder>9</b:BibOrder>
    <b:YearSuffix/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BibOrder>1</b:BibOrder>
    <b:YearSuffix/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BibOrder>5</b:BibOrder>
    <b:YearSuffix/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BibOrder>7</b:BibOrder>
    <b:YearSuffix/>
    <b:RefOrder>11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BibOrder>10</b:BibOrder>
    <b:YearSuffix/>
    <b:RefOrder>12</b:RefOrder>
  </b:Source>
</b:Sources>
</file>

<file path=customXml/itemProps1.xml><?xml version="1.0" encoding="utf-8"?>
<ds:datastoreItem xmlns:ds="http://schemas.openxmlformats.org/officeDocument/2006/customXml" ds:itemID="{5E2018A4-EFA9-4925-A2A0-340840B8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5</cp:revision>
  <dcterms:created xsi:type="dcterms:W3CDTF">2018-05-10T21:29:00Z</dcterms:created>
  <dcterms:modified xsi:type="dcterms:W3CDTF">2018-05-10T22:08:00Z</dcterms:modified>
</cp:coreProperties>
</file>