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pBdr>
          <w:bottom w:val="single" w:color="C5A24D" w:sz="8" w:space="1"/>
        </w:pBdr>
        <w:spacing w:before="0" w:after="0"/>
      </w:pPr>
    </w:p>
    <w:p>
      <w:pPr>
        <w:spacing w:before="400" w:after="0"/>
      </w:pPr>
    </w:p>
    <w:p>
      <w:pPr>
        <w:spacing w:before="0" w:after="200"/>
        <w:jc w:val="center"/>
      </w:pPr>
      <w:r>
        <w:rPr>
          <w:rFonts w:ascii="Calibri" w:cs="Calibri" w:eastAsia="Calibri" w:hAnsi="Calibri"/>
          <w:b/>
          <w:bCs/>
          <w:color w:val="C5A24D"/>
          <w:spacing w:val="200"/>
          <w:sz w:val="18"/>
          <w:szCs w:val="18"/>
        </w:rPr>
        <w:t xml:space="preserve">CONFIDENTIAL</w:t>
      </w:r>
    </w:p>
    <w:p>
      <w:pPr>
        <w:spacing w:before="200" w:after="100"/>
        <w:jc w:val="center"/>
      </w:pPr>
      <w:r>
        <w:rPr>
          <w:rFonts w:ascii="Georgia" w:cs="Georgia" w:eastAsia="Georgia" w:hAnsi="Georgia"/>
          <w:b/>
          <w:bCs/>
          <w:color w:val="0A2E1A"/>
          <w:sz w:val="44"/>
          <w:szCs w:val="44"/>
        </w:rPr>
        <w:t xml:space="preserve">PARTNERSHIP PROPOSAL</w:t>
      </w:r>
    </w:p>
    <w:p>
      <w:pPr>
        <w:spacing w:before="100" w:after="200"/>
        <w:jc w:val="center"/>
      </w:pPr>
      <w:r>
        <w:rPr>
          <w:rFonts w:ascii="Georgia" w:cs="Georgia" w:eastAsia="Georgia" w:hAnsi="Georgia"/>
          <w:color w:val="C5A24D"/>
          <w:sz w:val="28"/>
          <w:szCs w:val="28"/>
        </w:rPr>
        <w:t xml:space="preserve">Sovereign Vantage™  ×  Copper ClearLoop®</w:t>
      </w:r>
    </w:p>
    <w:p>
      <w:pPr>
        <w:spacing w:before="100" w:after="0"/>
      </w:pPr>
    </w:p>
    <w:p>
      <w:pPr>
        <w:spacing w:before="0" w:after="200"/>
        <w:jc w:val="center"/>
      </w:pPr>
      <w:r>
        <w:rPr>
          <w:rFonts w:ascii="Calibri" w:cs="Calibri" w:eastAsia="Calibri" w:hAnsi="Calibri"/>
          <w:i/>
          <w:iCs/>
          <w:color w:val="666666"/>
          <w:sz w:val="22"/>
          <w:szCs w:val="22"/>
        </w:rPr>
        <w:t xml:space="preserve">Extending Off-Exchange Settlement to the Next Generation</w:t>
      </w:r>
    </w:p>
    <w:p>
      <w:pPr>
        <w:spacing w:before="0" w:after="400"/>
        <w:jc w:val="center"/>
      </w:pPr>
      <w:r>
        <w:rPr>
          <w:rFonts w:ascii="Calibri" w:cs="Calibri" w:eastAsia="Calibri" w:hAnsi="Calibri"/>
          <w:i/>
          <w:iCs/>
          <w:color w:val="666666"/>
          <w:sz w:val="22"/>
          <w:szCs w:val="22"/>
        </w:rPr>
        <w:t xml:space="preserve">of Self-Sovereign Wealth Management</w:t>
      </w:r>
    </w:p>
    <w:p>
      <w:pPr>
        <w:spacing w:before="200" w:after="0"/>
      </w:pPr>
    </w:p>
    <w:p>
      <w:pPr>
        <w:pBdr>
          <w:bottom w:val="single" w:color="C5A24D" w:sz="8" w:space="1"/>
        </w:pBdr>
        <w:spacing w:before="0" w:after="0"/>
      </w:pPr>
    </w:p>
    <w:p>
      <w:pPr>
        <w:spacing w:before="8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Calibri" w:cs="Calibri" w:eastAsia="Calibri" w:hAnsi="Calibri"/>
                <w:b/>
                <w:bCs/>
                <w:color w:val="C5A24D"/>
                <w:spacing w:val="100"/>
                <w:sz w:val="16"/>
                <w:szCs w:val="16"/>
              </w:rPr>
              <w:t xml:space="preserve">PREPARED FOR</w:t>
            </w:r>
          </w:p>
          <w:p>
            <w:pPr>
              <w:spacing w:before="80"/>
            </w:pPr>
            <w:r>
              <w:rPr>
                <w:rFonts w:ascii="Calibri" w:cs="Calibri" w:eastAsia="Calibri" w:hAnsi="Calibri"/>
                <w:color w:val="333333"/>
                <w:sz w:val="20"/>
                <w:szCs w:val="20"/>
              </w:rPr>
              <w:t xml:space="preserve">Amar Kuchinad, Global CEO</w:t>
            </w:r>
          </w:p>
          <w:p>
            <w:r>
              <w:rPr>
                <w:rFonts w:ascii="Calibri" w:cs="Calibri" w:eastAsia="Calibri" w:hAnsi="Calibri"/>
                <w:color w:val="333333"/>
                <w:sz w:val="20"/>
                <w:szCs w:val="20"/>
              </w:rPr>
              <w:t xml:space="preserve">Rosie Murphy Williams, COO</w:t>
            </w:r>
          </w:p>
          <w:p>
            <w:r>
              <w:rPr>
                <w:rFonts w:ascii="Calibri" w:cs="Calibri" w:eastAsia="Calibri" w:hAnsi="Calibri"/>
                <w:color w:val="333333"/>
                <w:sz w:val="20"/>
                <w:szCs w:val="20"/>
              </w:rPr>
              <w:t xml:space="preserve">Copper Technologies Ltd.</w:t>
            </w:r>
          </w:p>
          <w:p>
            <w:r>
              <w:rPr>
                <w:rFonts w:ascii="Calibri" w:cs="Calibri" w:eastAsia="Calibri" w:hAnsi="Calibri"/>
                <w:color w:val="666666"/>
                <w:sz w:val="20"/>
                <w:szCs w:val="20"/>
              </w:rPr>
              <w:t xml:space="preserve">Zug, Switzerland</w:t>
            </w:r>
          </w:p>
        </w:tc>
        <w:tc>
          <w:tcPr>
            <w:tcW w:type="dxa" w:w="4513"/>
            <w:tcBorders>
              <w:top w:val="none" w:color="FFFFFF" w:sz="0"/>
              <w:left w:val="none" w:color="FFFFFF" w:sz="0"/>
              <w:bottom w:val="none" w:color="FFFFFF" w:sz="0"/>
              <w:right w:val="none" w:color="FFFFFF" w:sz="0"/>
            </w:tcBorders>
          </w:tcPr>
          <w:p>
            <w:pPr>
              <w:jc w:val="right"/>
            </w:pPr>
            <w:r>
              <w:rPr>
                <w:rFonts w:ascii="Calibri" w:cs="Calibri" w:eastAsia="Calibri" w:hAnsi="Calibri"/>
                <w:b/>
                <w:bCs/>
                <w:color w:val="C5A24D"/>
                <w:spacing w:val="100"/>
                <w:sz w:val="16"/>
                <w:szCs w:val="16"/>
              </w:rPr>
              <w:t xml:space="preserve">PREPARED BY</w:t>
            </w:r>
          </w:p>
          <w:p>
            <w:pPr>
              <w:spacing w:before="80"/>
              <w:jc w:val="right"/>
            </w:pPr>
            <w:r>
              <w:rPr>
                <w:rFonts w:ascii="Calibri" w:cs="Calibri" w:eastAsia="Calibri" w:hAnsi="Calibri"/>
                <w:color w:val="333333"/>
                <w:sz w:val="20"/>
                <w:szCs w:val="20"/>
              </w:rPr>
              <w:t xml:space="preserve">Mike Stahl, Founder &amp; CEO</w:t>
            </w:r>
          </w:p>
          <w:p>
            <w:pPr>
              <w:jc w:val="right"/>
            </w:pPr>
            <w:r>
              <w:rPr>
                <w:rFonts w:ascii="Calibri" w:cs="Calibri" w:eastAsia="Calibri" w:hAnsi="Calibri"/>
                <w:color w:val="333333"/>
                <w:sz w:val="20"/>
                <w:szCs w:val="20"/>
              </w:rPr>
              <w:t xml:space="preserve">MiWealth Pty Ltd</w:t>
            </w:r>
          </w:p>
          <w:p>
            <w:pPr>
              <w:jc w:val="right"/>
            </w:pPr>
            <w:r>
              <w:rPr>
                <w:rFonts w:ascii="Calibri" w:cs="Calibri" w:eastAsia="Calibri" w:hAnsi="Calibri"/>
                <w:color w:val="666666"/>
                <w:sz w:val="20"/>
                <w:szCs w:val="20"/>
              </w:rPr>
              <w:t xml:space="preserve">Adelaide, Australia</w:t>
            </w:r>
          </w:p>
          <w:p>
            <w:pPr>
              <w:jc w:val="right"/>
            </w:pPr>
            <w:r>
              <w:rPr>
                <w:rFonts w:ascii="Calibri" w:cs="Calibri" w:eastAsia="Calibri" w:hAnsi="Calibri"/>
                <w:color w:val="666666"/>
                <w:sz w:val="20"/>
                <w:szCs w:val="20"/>
              </w:rPr>
              <w:t xml:space="preserve">February 2026</w:t>
            </w:r>
          </w:p>
        </w:tc>
      </w:tr>
    </w:tbl>
    <w:p>
      <w:pPr>
        <w:sectPr>
          <w:pgSz w:w="11906" w:h="16838" w:orient="portrait"/>
          <w:pgMar w:top="1440" w:right="1440" w:bottom="1440" w:left="1440" w:header="708" w:footer="708" w:gutter="0"/>
          <w:pgNumType/>
          <w:docGrid w:linePitch="360"/>
        </w:sectPr>
      </w:pPr>
    </w:p>
    <w:p>
      <w:pPr>
        <w:spacing w:before="360" w:after="180"/>
      </w:pPr>
      <w:r>
        <w:rPr>
          <w:rFonts w:ascii="Georgia" w:cs="Georgia" w:eastAsia="Georgia" w:hAnsi="Georgia"/>
          <w:b/>
          <w:bCs/>
          <w:color w:val="0A2E1A"/>
          <w:sz w:val="26"/>
          <w:szCs w:val="26"/>
        </w:rPr>
        <w:t xml:space="preserve">1. EXECUTIVE SUMMARY</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MiWealth Pty Ltd proposes a strategic integration between Sovereign Vantage™, our AI-powered self-sovereign wealth management platform, and Copper’s ClearLoop® off-exchange settlement network.</w:t>
      </w:r>
    </w:p>
    <w:p>
      <w:pPr>
        <w:spacing w:before="80" w:after="80" w:line="300"/>
        <w:jc w:val="left"/>
      </w:pPr>
      <w:r>
        <w:rPr>
          <w:rFonts w:ascii="Calibri" w:cs="Calibri" w:eastAsia="Calibri" w:hAnsi="Calibri"/>
          <w:color w:val="333333"/>
          <w:sz w:val="21"/>
          <w:szCs w:val="21"/>
        </w:rPr>
        <w:t xml:space="preserve">The opportunity is straightforward: </w:t>
      </w:r>
      <w:r>
        <w:rPr>
          <w:rFonts w:ascii="Calibri" w:cs="Calibri" w:eastAsia="Calibri" w:hAnsi="Calibri"/>
          <w:b/>
          <w:bCs/>
          <w:color w:val="333333"/>
          <w:sz w:val="21"/>
          <w:szCs w:val="21"/>
        </w:rPr>
        <w:t xml:space="preserve">Sovereign Vantage delivers a new, high-value client segment directly into ClearLoop’s custody and settlement infrastructure.</w:t>
      </w:r>
      <w:r>
        <w:rPr>
          <w:rFonts w:ascii="Calibri" w:cs="Calibri" w:eastAsia="Calibri" w:hAnsi="Calibri"/>
          <w:color w:val="333333"/>
          <w:sz w:val="21"/>
          <w:szCs w:val="21"/>
        </w:rPr>
        <w:t xml:space="preserve"> Our platform serves high-net-worth individuals and family offices who demand institutional-grade security, autonomous AI-driven trading, and absolute sovereignty over their assets. These clients are precisely the demographic ClearLoop was built for — yet they currently lack a seamless on-ramp to off-exchange settlement.</w:t>
      </w:r>
    </w:p>
    <w:p>
      <w:pPr>
        <w:spacing w:before="80" w:after="80" w:line="300"/>
        <w:jc w:val="left"/>
      </w:pPr>
      <w:r>
        <w:rPr>
          <w:rFonts w:ascii="Calibri" w:cs="Calibri" w:eastAsia="Calibri" w:hAnsi="Calibri"/>
          <w:color w:val="333333"/>
          <w:sz w:val="21"/>
          <w:szCs w:val="21"/>
        </w:rPr>
        <w:t xml:space="preserve">This partnership creates a vertically integrated experience: Sovereign Vantage provides the intelligence layer, ClearLoop provides the custody and settlement layer. Neither party’s offering competes with the other. Both become more valuable together.</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A24D" w:sz="2"/>
              <w:left w:val="single" w:color="C5A24D" w:sz="6"/>
              <w:bottom w:val="single" w:color="C5A24D" w:sz="2"/>
              <w:right w:val="single" w:color="C5A24D" w:sz="2"/>
            </w:tcBorders>
            <w:shd w:fill="FDF8EC" w:val="clear"/>
            <w:tcMar>
              <w:top w:type="dxa" w:w="160"/>
              <w:left w:type="dxa" w:w="240"/>
              <w:bottom w:type="dxa" w:w="160"/>
              <w:right w:type="dxa" w:w="240"/>
            </w:tcMar>
          </w:tcPr>
          <w:p>
            <w:pPr>
              <w:spacing w:before="0" w:after="80"/>
            </w:pPr>
            <w:r>
              <w:rPr>
                <w:rFonts w:ascii="Calibri" w:cs="Calibri" w:eastAsia="Calibri" w:hAnsi="Calibri"/>
                <w:b/>
                <w:bCs/>
                <w:color w:val="0A2E1A"/>
                <w:spacing w:val="60"/>
                <w:sz w:val="18"/>
                <w:szCs w:val="18"/>
              </w:rPr>
              <w:t xml:space="preserve">CORE PROPOSITION</w:t>
            </w:r>
          </w:p>
          <w:p>
            <w:pPr>
              <w:spacing w:before="0" w:after="0" w:line="300"/>
            </w:pPr>
            <w:r>
              <w:rPr>
                <w:rFonts w:ascii="Calibri" w:cs="Calibri" w:eastAsia="Calibri" w:hAnsi="Calibri"/>
                <w:color w:val="333333"/>
                <w:sz w:val="20"/>
                <w:szCs w:val="20"/>
              </w:rPr>
              <w:t xml:space="preserve">Sovereign Vantage becomes a ClearLoop-integrated trading interface, delivering custody-protected, off-exchange settlement to every client on our platform — from launch. Copper gains a dedicated distribution channel into the AU$3.5 trillion Australian superannuation and SMSF market, the fastest-growing APAC wealth management segment.</w:t>
            </w:r>
          </w:p>
        </w:tc>
      </w:tr>
    </w:tbl>
    <w:p>
      <w:pPr>
        <w:spacing w:before="100" w:after="0"/>
      </w:pPr>
    </w:p>
    <w:p>
      <w:pPr>
        <w:spacing w:before="360" w:after="180"/>
      </w:pPr>
      <w:r>
        <w:rPr>
          <w:rFonts w:ascii="Georgia" w:cs="Georgia" w:eastAsia="Georgia" w:hAnsi="Georgia"/>
          <w:b/>
          <w:bCs/>
          <w:color w:val="0A2E1A"/>
          <w:sz w:val="26"/>
          <w:szCs w:val="26"/>
        </w:rPr>
        <w:t xml:space="preserve">2. THE PROBLEM WE BOTH SOLVE</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The post-FTX institutional landscape has a clear dividing line: sophisticated investors want exchange liquidity without exchange counterparty risk. Copper’s ClearLoop addresses this for institutions who already have custody relationships and dedicated trading desks.</w:t>
      </w:r>
    </w:p>
    <w:p>
      <w:pPr>
        <w:spacing w:before="80" w:after="80" w:line="300"/>
        <w:jc w:val="left"/>
      </w:pPr>
      <w:r>
        <w:rPr>
          <w:rFonts w:ascii="Calibri" w:cs="Calibri" w:eastAsia="Calibri" w:hAnsi="Calibri"/>
          <w:color w:val="333333"/>
          <w:sz w:val="21"/>
          <w:szCs w:val="21"/>
        </w:rPr>
        <w:t xml:space="preserve">But below the institutional tier sits a vast, underserved segment: high-net-worth individuals managing AUD $1–50 million in digital assets, often through self-managed superannuation funds (SMSFs) or family trusts. These clients share institutional risk concerns but lack the infrastructure to act on them:</w:t>
      </w:r>
    </w:p>
    <w:p>
      <w:pPr>
        <w:pStyle w:val="ListParagraph"/>
        <w:numPr>
          <w:ilvl w:val="0"/>
          <w:numId w:val="2"/>
        </w:numPr>
        <w:spacing w:before="60" w:after="60" w:line="300"/>
      </w:pPr>
      <w:r>
        <w:rPr>
          <w:rFonts w:ascii="Calibri" w:cs="Calibri" w:eastAsia="Calibri" w:hAnsi="Calibri"/>
          <w:b w:val="false"/>
          <w:bCs w:val="false"/>
          <w:color w:val="333333"/>
          <w:sz w:val="21"/>
          <w:szCs w:val="21"/>
        </w:rPr>
        <w:t xml:space="preserve">They want to trade across multiple exchanges </w:t>
      </w:r>
      <w:r>
        <w:rPr>
          <w:rFonts w:ascii="Calibri" w:cs="Calibri" w:eastAsia="Calibri" w:hAnsi="Calibri"/>
          <w:b/>
          <w:bCs/>
          <w:color w:val="333333"/>
          <w:sz w:val="21"/>
          <w:szCs w:val="21"/>
        </w:rPr>
        <w:t xml:space="preserve">without pre-funding each venue</w:t>
      </w:r>
    </w:p>
    <w:p>
      <w:pPr>
        <w:pStyle w:val="ListParagraph"/>
        <w:numPr>
          <w:ilvl w:val="0"/>
          <w:numId w:val="2"/>
        </w:numPr>
        <w:spacing w:before="60" w:after="60" w:line="300"/>
      </w:pPr>
      <w:r>
        <w:rPr>
          <w:rFonts w:ascii="Calibri" w:cs="Calibri" w:eastAsia="Calibri" w:hAnsi="Calibri"/>
          <w:b w:val="false"/>
          <w:bCs w:val="false"/>
          <w:color w:val="333333"/>
          <w:sz w:val="21"/>
          <w:szCs w:val="21"/>
        </w:rPr>
        <w:t xml:space="preserve">They want assets in secure custody </w:t>
      </w:r>
      <w:r>
        <w:rPr>
          <w:rFonts w:ascii="Calibri" w:cs="Calibri" w:eastAsia="Calibri" w:hAnsi="Calibri"/>
          <w:b/>
          <w:bCs/>
          <w:color w:val="333333"/>
          <w:sz w:val="21"/>
          <w:szCs w:val="21"/>
        </w:rPr>
        <w:t xml:space="preserve">while maintaining trading agility</w:t>
      </w:r>
    </w:p>
    <w:p>
      <w:pPr>
        <w:pStyle w:val="ListParagraph"/>
        <w:numPr>
          <w:ilvl w:val="0"/>
          <w:numId w:val="2"/>
        </w:numPr>
        <w:spacing w:before="60" w:after="60" w:line="300"/>
      </w:pPr>
      <w:r>
        <w:rPr>
          <w:rFonts w:ascii="Calibri" w:cs="Calibri" w:eastAsia="Calibri" w:hAnsi="Calibri"/>
          <w:b w:val="false"/>
          <w:bCs w:val="false"/>
          <w:color w:val="333333"/>
          <w:sz w:val="21"/>
          <w:szCs w:val="21"/>
        </w:rPr>
        <w:t xml:space="preserve">They want AI-optimised execution </w:t>
      </w:r>
      <w:r>
        <w:rPr>
          <w:rFonts w:ascii="Calibri" w:cs="Calibri" w:eastAsia="Calibri" w:hAnsi="Calibri"/>
          <w:b/>
          <w:bCs/>
          <w:color w:val="333333"/>
          <w:sz w:val="21"/>
          <w:szCs w:val="21"/>
        </w:rPr>
        <w:t xml:space="preserve">without surrendering control</w:t>
      </w:r>
    </w:p>
    <w:p>
      <w:pPr>
        <w:pStyle w:val="ListParagraph"/>
        <w:numPr>
          <w:ilvl w:val="0"/>
          <w:numId w:val="2"/>
        </w:numPr>
        <w:spacing w:before="60" w:after="60" w:line="300"/>
      </w:pPr>
      <w:r>
        <w:rPr>
          <w:rFonts w:ascii="Calibri" w:cs="Calibri" w:eastAsia="Calibri" w:hAnsi="Calibri"/>
          <w:b w:val="false"/>
          <w:bCs w:val="false"/>
          <w:color w:val="333333"/>
          <w:sz w:val="21"/>
          <w:szCs w:val="21"/>
        </w:rPr>
        <w:t xml:space="preserve">They want post-quantum security </w:t>
      </w:r>
      <w:r>
        <w:rPr>
          <w:rFonts w:ascii="Calibri" w:cs="Calibri" w:eastAsia="Calibri" w:hAnsi="Calibri"/>
          <w:b/>
          <w:bCs/>
          <w:color w:val="333333"/>
          <w:sz w:val="21"/>
          <w:szCs w:val="21"/>
        </w:rPr>
        <w:t xml:space="preserve">as a baseline, not a premium add-on</w:t>
      </w:r>
    </w:p>
    <w:p>
      <w:pPr>
        <w:spacing w:before="80" w:after="80" w:line="300"/>
        <w:jc w:val="left"/>
      </w:pPr>
      <w:r>
        <w:rPr>
          <w:rFonts w:ascii="Calibri" w:cs="Calibri" w:eastAsia="Calibri" w:hAnsi="Calibri"/>
          <w:b/>
          <w:bCs/>
          <w:color w:val="0A2E1A"/>
          <w:sz w:val="21"/>
          <w:szCs w:val="21"/>
        </w:rPr>
        <w:t xml:space="preserve">Sovereign Vantage is the interface. ClearLoop is the infrastructure. </w:t>
      </w:r>
      <w:r>
        <w:rPr>
          <w:rFonts w:ascii="Calibri" w:cs="Calibri" w:eastAsia="Calibri" w:hAnsi="Calibri"/>
          <w:color w:val="333333"/>
          <w:sz w:val="21"/>
          <w:szCs w:val="21"/>
        </w:rPr>
        <w:t xml:space="preserve">Together, we deliver the complete solution.</w:t>
      </w:r>
    </w:p>
    <w:p>
      <w:pPr>
        <w:spacing w:before="360" w:after="180"/>
      </w:pPr>
      <w:r>
        <w:rPr>
          <w:rFonts w:ascii="Georgia" w:cs="Georgia" w:eastAsia="Georgia" w:hAnsi="Georgia"/>
          <w:b/>
          <w:bCs/>
          <w:color w:val="0A2E1A"/>
          <w:sz w:val="26"/>
          <w:szCs w:val="26"/>
        </w:rPr>
        <w:t xml:space="preserve">3. SOVEREIGN VANTAGE™ — PLATFORM OVERVIEW</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Sovereign Vantage is an AI-powered autonomous trading platform built on three principles: self-sovereignty, non-custodial architecture, and institutional-grade security. The platform runs entirely on the client’s device — no central servers, no cloud dependency, no single point of failure.</w:t>
      </w:r>
    </w:p>
    <w:p>
      <w:pPr>
        <w:spacing w:before="240" w:after="120"/>
      </w:pPr>
      <w:r>
        <w:rPr>
          <w:rFonts w:ascii="Georgia" w:cs="Georgia" w:eastAsia="Georgia" w:hAnsi="Georgia"/>
          <w:b/>
          <w:bCs/>
          <w:color w:val="1A4D2E"/>
          <w:sz w:val="22"/>
          <w:szCs w:val="22"/>
        </w:rPr>
        <w:t xml:space="preserve">Architecture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Component</w:t>
            </w:r>
          </w:p>
        </w:tc>
        <w:tc>
          <w:tcPr>
            <w:tcW w:type="dxa" w:w="6026"/>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Description</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AI Board of Directors</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8-member AI governance system providing weighted consensus on every trade decision. Each member specialises in a domain: risk, compliance, execution, market intelligence, portfolio allocation, security, network defence, and system architecture.</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STAHL Stair Stop™</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Proprietary profit-locking mechanism using percentage-of-profit trailing stops across 12 escalating levels. Backtested contribution: 103% of net profits (i.e., the exit system alone generated more than total returns, offsetting all losing trades).</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Kelly Criterion Sizing</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Institutional position sizing at 0.25x fractional Kelly, with regime-adaptive adjustment across 7 detected market conditions.</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Post-Quantum Cryptography</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NIST FIPS 203/204 compliant: Kyber-1024 (ML-KEM) key encapsulation, Dilithium-5 (ML-DSA) digital signatures, with hybrid classical fallback.</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DHT Network</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Decentralised peer-to-peer network using Kademlia routing for federated learning, gamification, and MPC key shard recovery. No central coordination server.</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MPC Wallet</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3-of-5 threshold signature wallet with HSM-grade key derivation. User always controls minimum required shards. Platform mathematically cannot access funds.</w:t>
            </w:r>
          </w:p>
        </w:tc>
      </w:tr>
    </w:tbl>
    <w:p>
      <w:pPr>
        <w:spacing w:before="240" w:after="120"/>
      </w:pPr>
      <w:r>
        <w:rPr>
          <w:rFonts w:ascii="Georgia" w:cs="Georgia" w:eastAsia="Georgia" w:hAnsi="Georgia"/>
          <w:b/>
          <w:bCs/>
          <w:color w:val="1A4D2E"/>
          <w:sz w:val="22"/>
          <w:szCs w:val="22"/>
        </w:rPr>
        <w:t xml:space="preserve">Backtested Performance (2025, Independently Verifiable)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Metric</w:t>
            </w:r>
          </w:p>
        </w:tc>
        <w:tc>
          <w:tcPr>
            <w:tcW w:type="dxa" w:w="2763"/>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Sovereign Vantage</w:t>
            </w:r>
          </w:p>
        </w:tc>
        <w:tc>
          <w:tcPr>
            <w:tcW w:type="dxa" w:w="2763"/>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SPY Buy &amp; Hold</w:t>
            </w:r>
          </w:p>
        </w:tc>
      </w:tr>
      <w:tr>
        <w:tc>
          <w:tcPr>
            <w:tcW w:type="dxa" w:w="35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Annual Return</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+48.61%</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+21.5%</w:t>
            </w:r>
          </w:p>
        </w:tc>
      </w:tr>
      <w:tr>
        <w:tc>
          <w:tcPr>
            <w:tcW w:type="dxa" w:w="35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Sharpe Ratio</w:t>
            </w:r>
          </w:p>
        </w:tc>
        <w:tc>
          <w:tcPr>
            <w:tcW w:type="dxa" w:w="2763"/>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1.70</w:t>
            </w:r>
          </w:p>
        </w:tc>
        <w:tc>
          <w:tcPr>
            <w:tcW w:type="dxa" w:w="2763"/>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~0.9</w:t>
            </w:r>
          </w:p>
        </w:tc>
      </w:tr>
      <w:tr>
        <w:tc>
          <w:tcPr>
            <w:tcW w:type="dxa" w:w="35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Maximum Drawdown</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11.41%</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~15%</w:t>
            </w:r>
          </w:p>
        </w:tc>
      </w:tr>
      <w:tr>
        <w:tc>
          <w:tcPr>
            <w:tcW w:type="dxa" w:w="35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Profit Factor</w:t>
            </w:r>
          </w:p>
        </w:tc>
        <w:tc>
          <w:tcPr>
            <w:tcW w:type="dxa" w:w="2763"/>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2.78</w:t>
            </w:r>
          </w:p>
        </w:tc>
        <w:tc>
          <w:tcPr>
            <w:tcW w:type="dxa" w:w="2763"/>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N/A</w:t>
            </w:r>
          </w:p>
        </w:tc>
      </w:tr>
      <w:tr>
        <w:tc>
          <w:tcPr>
            <w:tcW w:type="dxa" w:w="35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Win/Loss Ratio</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5.18:1</w:t>
            </w:r>
          </w:p>
        </w:tc>
        <w:tc>
          <w:tcPr>
            <w:tcW w:type="dxa" w:w="2763"/>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N/A</w:t>
            </w:r>
          </w:p>
        </w:tc>
      </w:tr>
    </w:tbl>
    <w:p>
      <w:pPr>
        <w:spacing w:before="80" w:after="80" w:line="300"/>
        <w:jc w:val="left"/>
      </w:pPr>
      <w:r>
        <w:rPr>
          <w:rFonts w:ascii="Calibri" w:cs="Calibri" w:eastAsia="Calibri" w:hAnsi="Calibri"/>
          <w:i/>
          <w:iCs/>
          <w:color w:val="666666"/>
          <w:sz w:val="21"/>
          <w:szCs w:val="21"/>
        </w:rPr>
        <w:t xml:space="preserve">Note: </w:t>
      </w:r>
      <w:r>
        <w:rPr>
          <w:rFonts w:ascii="Calibri" w:cs="Calibri" w:eastAsia="Calibri" w:hAnsi="Calibri"/>
          <w:i/>
          <w:iCs/>
          <w:color w:val="666666"/>
          <w:sz w:val="21"/>
          <w:szCs w:val="21"/>
        </w:rPr>
        <w:t xml:space="preserve">All performance figures are from backtesting against real 2025 market data across 48 assets. Past performance does not guarantee future results. Independent verification is in progress and will be provided upon request.</w:t>
      </w:r>
    </w:p>
    <w:p>
      <w:r>
        <w:br w:type="page"/>
      </w:r>
    </w:p>
    <w:p>
      <w:pPr>
        <w:spacing w:before="360" w:after="180"/>
      </w:pPr>
      <w:r>
        <w:rPr>
          <w:rFonts w:ascii="Georgia" w:cs="Georgia" w:eastAsia="Georgia" w:hAnsi="Georgia"/>
          <w:b/>
          <w:bCs/>
          <w:color w:val="0A2E1A"/>
          <w:sz w:val="26"/>
          <w:szCs w:val="26"/>
        </w:rPr>
        <w:t xml:space="preserve">4. THE INTEGRATION OPPORTUNITY</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We propose a phased integration that delivers value at each stage and deepens the partnership over time.</w:t>
      </w:r>
    </w:p>
    <w:p>
      <w:pPr>
        <w:spacing w:before="240" w:after="120"/>
      </w:pPr>
      <w:r>
        <w:rPr>
          <w:rFonts w:ascii="Georgia" w:cs="Georgia" w:eastAsia="Georgia" w:hAnsi="Georgia"/>
          <w:b/>
          <w:bCs/>
          <w:color w:val="1A4D2E"/>
          <w:sz w:val="22"/>
          <w:szCs w:val="22"/>
        </w:rPr>
        <w:t xml:space="preserve">Phase 1: ClearLoop API Integration (Immediate)</w:t>
      </w:r>
    </w:p>
    <w:p>
      <w:pPr>
        <w:spacing w:before="80" w:after="80" w:line="300"/>
        <w:jc w:val="left"/>
      </w:pPr>
      <w:r>
        <w:rPr>
          <w:rFonts w:ascii="Calibri" w:cs="Calibri" w:eastAsia="Calibri" w:hAnsi="Calibri"/>
          <w:color w:val="333333"/>
          <w:sz w:val="21"/>
          <w:szCs w:val="21"/>
        </w:rPr>
        <w:t xml:space="preserve">Sovereign Vantage integrates ClearLoop’s API as a first-class custody and settlement option within our platform. When a client connects their Copper account, they gain the ability to:</w:t>
      </w:r>
    </w:p>
    <w:p>
      <w:pPr>
        <w:pStyle w:val="ListParagraph"/>
        <w:numPr>
          <w:ilvl w:val="0"/>
          <w:numId w:val="2"/>
        </w:numPr>
        <w:spacing w:before="60" w:after="60" w:line="300"/>
      </w:pPr>
      <w:r>
        <w:rPr>
          <w:rFonts w:ascii="Calibri" w:cs="Calibri" w:eastAsia="Calibri" w:hAnsi="Calibri"/>
          <w:color w:val="333333"/>
          <w:sz w:val="21"/>
          <w:szCs w:val="21"/>
        </w:rPr>
        <w:t xml:space="preserve">Delegate assets from Copper custody to any ClearLoop-connected exchange in under 100ms</w:t>
      </w:r>
    </w:p>
    <w:p>
      <w:pPr>
        <w:pStyle w:val="ListParagraph"/>
        <w:numPr>
          <w:ilvl w:val="0"/>
          <w:numId w:val="2"/>
        </w:numPr>
        <w:spacing w:before="60" w:after="60" w:line="300"/>
      </w:pPr>
      <w:r>
        <w:rPr>
          <w:rFonts w:ascii="Calibri" w:cs="Calibri" w:eastAsia="Calibri" w:hAnsi="Calibri"/>
          <w:color w:val="333333"/>
          <w:sz w:val="21"/>
          <w:szCs w:val="21"/>
        </w:rPr>
        <w:t xml:space="preserve">Execute AI-optimised trades on mirrored balances across Kraken, OKX, Bybit, Coinbase International, and all supported venues</w:t>
      </w:r>
    </w:p>
    <w:p>
      <w:pPr>
        <w:pStyle w:val="ListParagraph"/>
        <w:numPr>
          <w:ilvl w:val="0"/>
          <w:numId w:val="2"/>
        </w:numPr>
        <w:spacing w:before="60" w:after="60" w:line="300"/>
      </w:pPr>
      <w:r>
        <w:rPr>
          <w:rFonts w:ascii="Calibri" w:cs="Calibri" w:eastAsia="Calibri" w:hAnsi="Calibri"/>
          <w:color w:val="333333"/>
          <w:sz w:val="21"/>
          <w:szCs w:val="21"/>
        </w:rPr>
        <w:t xml:space="preserve">Settle automatically on Copper’s infrastructure, off-chain, with no blockchain fees</w:t>
      </w:r>
    </w:p>
    <w:p>
      <w:pPr>
        <w:pStyle w:val="ListParagraph"/>
        <w:numPr>
          <w:ilvl w:val="0"/>
          <w:numId w:val="2"/>
        </w:numPr>
        <w:spacing w:before="60" w:after="60" w:line="300"/>
      </w:pPr>
      <w:r>
        <w:rPr>
          <w:rFonts w:ascii="Calibri" w:cs="Calibri" w:eastAsia="Calibri" w:hAnsi="Calibri"/>
          <w:color w:val="333333"/>
          <w:sz w:val="21"/>
          <w:szCs w:val="21"/>
        </w:rPr>
        <w:t xml:space="preserve">Undelegate back to full custody with a single command or automated risk trigger</w:t>
      </w:r>
    </w:p>
    <w:p>
      <w:pPr>
        <w:spacing w:before="80" w:after="80" w:line="300"/>
        <w:jc w:val="left"/>
      </w:pPr>
      <w:r>
        <w:rPr>
          <w:rFonts w:ascii="Calibri" w:cs="Calibri" w:eastAsia="Calibri" w:hAnsi="Calibri"/>
          <w:b/>
          <w:bCs/>
          <w:color w:val="0A2E1A"/>
          <w:sz w:val="21"/>
          <w:szCs w:val="21"/>
        </w:rPr>
        <w:t xml:space="preserve">For Copper: </w:t>
      </w:r>
      <w:r>
        <w:rPr>
          <w:rFonts w:ascii="Calibri" w:cs="Calibri" w:eastAsia="Calibri" w:hAnsi="Calibri"/>
          <w:color w:val="333333"/>
          <w:sz w:val="21"/>
          <w:szCs w:val="21"/>
        </w:rPr>
        <w:t xml:space="preserve">Every Sovereign Vantage client who activates ClearLoop becomes a Copper custody client. Our platform handles onboarding, education, and integration — Copper gains the assets under custody and the settlement volume.</w:t>
      </w:r>
    </w:p>
    <w:p>
      <w:pPr>
        <w:spacing w:before="240" w:after="120"/>
      </w:pPr>
      <w:r>
        <w:rPr>
          <w:rFonts w:ascii="Georgia" w:cs="Georgia" w:eastAsia="Georgia" w:hAnsi="Georgia"/>
          <w:b/>
          <w:bCs/>
          <w:color w:val="1A4D2E"/>
          <w:sz w:val="22"/>
          <w:szCs w:val="22"/>
        </w:rPr>
        <w:t xml:space="preserve">Phase 2: Co-Branded Offering (Quarter 2)</w:t>
      </w:r>
    </w:p>
    <w:p>
      <w:pPr>
        <w:spacing w:before="80" w:after="80" w:line="300"/>
        <w:jc w:val="left"/>
      </w:pPr>
      <w:r>
        <w:rPr>
          <w:rFonts w:ascii="Calibri" w:cs="Calibri" w:eastAsia="Calibri" w:hAnsi="Calibri"/>
          <w:color w:val="333333"/>
          <w:sz w:val="21"/>
          <w:szCs w:val="21"/>
        </w:rPr>
        <w:t xml:space="preserve">A co-branded “Sovereign Vantage Secured by Copper” tier, prominently featuring ClearLoop’s trust structure and bankruptcy remoteness as key selling points. This positions ClearLoop as the institutional backbone visible to our entire client base.</w:t>
      </w:r>
    </w:p>
    <w:p>
      <w:pPr>
        <w:spacing w:before="240" w:after="120"/>
      </w:pPr>
      <w:r>
        <w:rPr>
          <w:rFonts w:ascii="Georgia" w:cs="Georgia" w:eastAsia="Georgia" w:hAnsi="Georgia"/>
          <w:b/>
          <w:bCs/>
          <w:color w:val="1A4D2E"/>
          <w:sz w:val="22"/>
          <w:szCs w:val="22"/>
        </w:rPr>
        <w:t xml:space="preserve">Phase 3: Native Integration (Year 1)</w:t>
      </w:r>
    </w:p>
    <w:p>
      <w:pPr>
        <w:spacing w:before="80" w:after="80" w:line="300"/>
        <w:jc w:val="left"/>
      </w:pPr>
      <w:r>
        <w:rPr>
          <w:rFonts w:ascii="Calibri" w:cs="Calibri" w:eastAsia="Calibri" w:hAnsi="Calibri"/>
          <w:color w:val="333333"/>
          <w:sz w:val="21"/>
          <w:szCs w:val="21"/>
        </w:rPr>
        <w:t xml:space="preserve">Deep protocol-level integration where Sovereign Vantage’s MPC wallet infrastructure communicates directly with Copper’s custody layer, enabling seamless delegate/undelegate operations without manual account linking. This becomes the gold standard for self-sovereign off-exchange settlement.</w:t>
      </w:r>
    </w:p>
    <w:p>
      <w:pPr>
        <w:spacing w:before="360" w:after="180"/>
      </w:pPr>
      <w:r>
        <w:rPr>
          <w:rFonts w:ascii="Georgia" w:cs="Georgia" w:eastAsia="Georgia" w:hAnsi="Georgia"/>
          <w:b/>
          <w:bCs/>
          <w:color w:val="0A2E1A"/>
          <w:sz w:val="26"/>
          <w:szCs w:val="26"/>
        </w:rPr>
        <w:t xml:space="preserve">5. WHAT COPPER GAINS</w:t>
      </w:r>
    </w:p>
    <w:p>
      <w:pPr>
        <w:pBdr>
          <w:bottom w:val="single" w:color="C5A24D" w:sz="6" w:space="1"/>
        </w:pBdr>
        <w:spacing w:before="160" w:after="160"/>
      </w:pPr>
    </w:p>
    <w:p>
      <w:pPr>
        <w:spacing w:before="240" w:after="120"/>
      </w:pPr>
      <w:r>
        <w:rPr>
          <w:rFonts w:ascii="Georgia" w:cs="Georgia" w:eastAsia="Georgia" w:hAnsi="Georgia"/>
          <w:b/>
          <w:bCs/>
          <w:color w:val="1A4D2E"/>
          <w:sz w:val="22"/>
          <w:szCs w:val="22"/>
        </w:rPr>
        <w:t xml:space="preserve">A. New Distribution Channel</w:t>
      </w:r>
    </w:p>
    <w:p>
      <w:pPr>
        <w:spacing w:before="80" w:after="80" w:line="300"/>
        <w:jc w:val="left"/>
      </w:pPr>
      <w:r>
        <w:rPr>
          <w:rFonts w:ascii="Calibri" w:cs="Calibri" w:eastAsia="Calibri" w:hAnsi="Calibri"/>
          <w:color w:val="333333"/>
          <w:sz w:val="21"/>
          <w:szCs w:val="21"/>
        </w:rPr>
        <w:t xml:space="preserve">Copper’s current integration partners — Flow Traders, Ethena, institutional trading desks — are exactly right for ClearLoop’s institutional positioning. Sovereign Vantage extends this into the adjacent high-net-worth segment without diluting the institutional brand.</w:t>
      </w:r>
    </w:p>
    <w:p>
      <w:pPr>
        <w:spacing w:before="80" w:after="80" w:line="300"/>
        <w:jc w:val="left"/>
      </w:pPr>
      <w:r>
        <w:rPr>
          <w:rFonts w:ascii="Calibri" w:cs="Calibri" w:eastAsia="Calibri" w:hAnsi="Calibri"/>
          <w:b/>
          <w:bCs/>
          <w:color w:val="333333"/>
          <w:sz w:val="21"/>
          <w:szCs w:val="21"/>
        </w:rPr>
        <w:t xml:space="preserve">Our client profile: </w:t>
      </w:r>
      <w:r>
        <w:rPr>
          <w:rFonts w:ascii="Calibri" w:cs="Calibri" w:eastAsia="Calibri" w:hAnsi="Calibri"/>
          <w:color w:val="333333"/>
          <w:sz w:val="21"/>
          <w:szCs w:val="21"/>
        </w:rPr>
        <w:t xml:space="preserve">Self-directed investors managing AUD $1–50M in digital assets, typically through SMSFs or family trusts, who actively trade across 3–5 exchanges. They currently pre-fund each exchange, accepting counterparty risk because no viable alternative exists at their tier. ClearLoop, accessed through Sovereign Vantage, eliminates that risk.</w:t>
      </w:r>
    </w:p>
    <w:p>
      <w:pPr>
        <w:spacing w:before="240" w:after="120"/>
      </w:pPr>
      <w:r>
        <w:rPr>
          <w:rFonts w:ascii="Georgia" w:cs="Georgia" w:eastAsia="Georgia" w:hAnsi="Georgia"/>
          <w:b/>
          <w:bCs/>
          <w:color w:val="1A4D2E"/>
          <w:sz w:val="22"/>
          <w:szCs w:val="22"/>
        </w:rPr>
        <w:t xml:space="preserve">B. Australian and APAC Market Entry</w:t>
      </w:r>
    </w:p>
    <w:p>
      <w:pPr>
        <w:spacing w:before="80" w:after="80" w:line="300"/>
        <w:jc w:val="left"/>
      </w:pPr>
      <w:r>
        <w:rPr>
          <w:rFonts w:ascii="Calibri" w:cs="Calibri" w:eastAsia="Calibri" w:hAnsi="Calibri"/>
          <w:b/>
          <w:bCs/>
          <w:color w:val="333333"/>
          <w:sz w:val="21"/>
          <w:szCs w:val="21"/>
        </w:rPr>
        <w:t xml:space="preserve">Australia’s SMSF sector controls over AU$950 billion in assets, with digital asset allocation growing at 40%+ annually. </w:t>
      </w:r>
      <w:r>
        <w:rPr>
          <w:rFonts w:ascii="Calibri" w:cs="Calibri" w:eastAsia="Calibri" w:hAnsi="Calibri"/>
          <w:color w:val="333333"/>
          <w:sz w:val="21"/>
          <w:szCs w:val="21"/>
        </w:rPr>
        <w:t xml:space="preserve">MiWealth is domiciled in Australia with direct access to this market. Copper’s recent regulatory milestones in Hong Kong and Abu Dhabi complement a partnership that opens Australian institutional and HNW channels.</w:t>
      </w:r>
    </w:p>
    <w:p>
      <w:pPr>
        <w:spacing w:before="240" w:after="120"/>
      </w:pPr>
      <w:r>
        <w:rPr>
          <w:rFonts w:ascii="Georgia" w:cs="Georgia" w:eastAsia="Georgia" w:hAnsi="Georgia"/>
          <w:b/>
          <w:bCs/>
          <w:color w:val="1A4D2E"/>
          <w:sz w:val="22"/>
          <w:szCs w:val="22"/>
        </w:rPr>
        <w:t xml:space="preserve">C. Recurring Settlement Volume</w:t>
      </w:r>
    </w:p>
    <w:p>
      <w:pPr>
        <w:spacing w:before="80" w:after="80" w:line="300"/>
        <w:jc w:val="left"/>
      </w:pPr>
      <w:r>
        <w:rPr>
          <w:rFonts w:ascii="Calibri" w:cs="Calibri" w:eastAsia="Calibri" w:hAnsi="Calibri"/>
          <w:color w:val="333333"/>
          <w:sz w:val="21"/>
          <w:szCs w:val="21"/>
        </w:rPr>
        <w:t xml:space="preserve">Sovereign Vantage’s autonomous trading engine executes on a 60-second OODA (Observe-Orient-Decide-Act) loop. Active clients generate significantly higher trade volumes than manual traders. Higher volume means more settlements through ClearLoop, more delegation cycles, and more assets under Copper’s custody for longer durations.</w:t>
      </w:r>
    </w:p>
    <w:p>
      <w:pPr>
        <w:spacing w:before="240" w:after="120"/>
      </w:pPr>
      <w:r>
        <w:rPr>
          <w:rFonts w:ascii="Georgia" w:cs="Georgia" w:eastAsia="Georgia" w:hAnsi="Georgia"/>
          <w:b/>
          <w:bCs/>
          <w:color w:val="1A4D2E"/>
          <w:sz w:val="22"/>
          <w:szCs w:val="22"/>
        </w:rPr>
        <w:t xml:space="preserve">D. Complementary Technology</w:t>
      </w:r>
    </w:p>
    <w:p>
      <w:pPr>
        <w:spacing w:before="80" w:after="80" w:line="300"/>
        <w:jc w:val="left"/>
      </w:pPr>
      <w:r>
        <w:rPr>
          <w:rFonts w:ascii="Calibri" w:cs="Calibri" w:eastAsia="Calibri" w:hAnsi="Calibri"/>
          <w:color w:val="333333"/>
          <w:sz w:val="21"/>
          <w:szCs w:val="21"/>
        </w:rPr>
        <w:t xml:space="preserve">Our post-quantum cryptography implementation (NIST FIPS 203/204) and DHT-based MPC key recovery are complementary to Copper’s existing MPC custody technology. As quantum computing advances, a ClearLoop partner already implementing hybrid quantum-resistant encryption positions Copper ahead of the industry curve.</w:t>
      </w:r>
    </w:p>
    <w:p>
      <w:r>
        <w:br w:type="page"/>
      </w:r>
    </w:p>
    <w:p>
      <w:pPr>
        <w:spacing w:before="360" w:after="180"/>
      </w:pPr>
      <w:r>
        <w:rPr>
          <w:rFonts w:ascii="Georgia" w:cs="Georgia" w:eastAsia="Georgia" w:hAnsi="Georgia"/>
          <w:b/>
          <w:bCs/>
          <w:color w:val="0A2E1A"/>
          <w:sz w:val="26"/>
          <w:szCs w:val="26"/>
        </w:rPr>
        <w:t xml:space="preserve">6. PROPOSED COMMERCIAL STRUCTURE</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We propose a structure that aligns incentives and scales with success: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Element</w:t>
            </w:r>
          </w:p>
        </w:tc>
        <w:tc>
          <w:tcPr>
            <w:tcW w:type="dxa" w:w="6026"/>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Proposal</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Integration Model</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API-level integration using Copper’s existing ClearLoop API. Sovereign Vantage handles all client-side UX, onboarding, and support.</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Custody Relationship</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Direct. Each Sovereign Vantage client opens their own Copper account. MiWealth is never a custodian or intermediary.</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Revenue Share</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Open to discussion. We anticipate standard Copper custody and settlement fees apply directly to the client. MiWealth does not take a cut of Copper’s fees.</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Co-Marketing</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Joint press release upon launch. Co-branded materials for SV’s Elite and Apex tiers. ClearLoop featured in our investor and client documentation.</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Exclusivity</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Non-exclusive. However, ClearLoop would be our recommended and default custody/settlement provider, prominently positioned in the platform.</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Technical Support</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Copper provides standard API documentation and integration support. MiWealth handles all development.</w:t>
            </w:r>
          </w:p>
        </w:tc>
      </w:tr>
    </w:tbl>
    <w:p>
      <w:pPr>
        <w:spacing w:before="360" w:after="180"/>
      </w:pPr>
      <w:r>
        <w:rPr>
          <w:rFonts w:ascii="Georgia" w:cs="Georgia" w:eastAsia="Georgia" w:hAnsi="Georgia"/>
          <w:b/>
          <w:bCs/>
          <w:color w:val="0A2E1A"/>
          <w:sz w:val="26"/>
          <w:szCs w:val="26"/>
        </w:rPr>
        <w:t xml:space="preserve">7. CLIENT TIER ALIGNMENT WITH CLEARLOOP</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Our 5-tier structure naturally segments clients by custody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826"/>
      </w:tblGrid>
      <w:tr>
        <w:tc>
          <w:tcPr>
            <w:tcW w:type="dxa" w:w="16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SV Tier</w:t>
            </w:r>
          </w:p>
        </w:tc>
        <w:tc>
          <w:tcPr>
            <w:tcW w:type="dxa" w:w="18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Annual Fee</w:t>
            </w:r>
          </w:p>
        </w:tc>
        <w:tc>
          <w:tcPr>
            <w:tcW w:type="dxa" w:w="28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ClearLoop Relevance</w:t>
            </w:r>
          </w:p>
        </w:tc>
        <w:tc>
          <w:tcPr>
            <w:tcW w:type="dxa" w:w="2826"/>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Projected AUC*</w:t>
            </w:r>
          </w:p>
        </w:tc>
      </w:tr>
      <w:tr>
        <w:tc>
          <w:tcPr>
            <w:tcW w:type="dxa" w:w="16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Free</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A$0</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None (paper trading)</w:t>
            </w:r>
          </w:p>
        </w:tc>
        <w:tc>
          <w:tcPr>
            <w:tcW w:type="dxa" w:w="28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w:t>
            </w:r>
          </w:p>
        </w:tc>
      </w:tr>
      <w:tr>
        <w:tc>
          <w:tcPr>
            <w:tcW w:type="dxa" w:w="16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Bronze</w:t>
            </w:r>
          </w:p>
        </w:tc>
        <w:tc>
          <w:tcPr>
            <w:tcW w:type="dxa" w:w="18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A$2,500/yr</w:t>
            </w:r>
          </w:p>
        </w:tc>
        <w:tc>
          <w:tcPr>
            <w:tcW w:type="dxa" w:w="28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Optional. Entry-level live traders.</w:t>
            </w:r>
          </w:p>
        </w:tc>
        <w:tc>
          <w:tcPr>
            <w:tcW w:type="dxa" w:w="28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A$50K–500K avg</w:t>
            </w:r>
          </w:p>
        </w:tc>
      </w:tr>
      <w:tr>
        <w:tc>
          <w:tcPr>
            <w:tcW w:type="dxa" w:w="16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b/>
                <w:bCs/>
                <w:color w:val="333333"/>
                <w:sz w:val="19"/>
                <w:szCs w:val="19"/>
              </w:rPr>
              <w:t xml:space="preserve">Silver</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A$7,500/yr</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b/>
                <w:bCs/>
                <w:color w:val="333333"/>
                <w:sz w:val="19"/>
                <w:szCs w:val="19"/>
              </w:rPr>
              <w:t xml:space="preserve">Primary target. </w:t>
            </w:r>
            <w:r>
              <w:rPr>
                <w:rFonts w:ascii="Calibri" w:cs="Calibri" w:eastAsia="Calibri" w:hAnsi="Calibri"/>
                <w:color w:val="333333"/>
                <w:sz w:val="19"/>
                <w:szCs w:val="19"/>
              </w:rPr>
              <w:t xml:space="preserve">Active traders, futures access, tax reporting.</w:t>
            </w:r>
          </w:p>
        </w:tc>
        <w:tc>
          <w:tcPr>
            <w:tcW w:type="dxa" w:w="28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A$500K–5M avg</w:t>
            </w:r>
          </w:p>
        </w:tc>
      </w:tr>
      <w:tr>
        <w:tc>
          <w:tcPr>
            <w:tcW w:type="dxa" w:w="16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b/>
                <w:bCs/>
                <w:color w:val="0A2E1A"/>
                <w:sz w:val="19"/>
                <w:szCs w:val="19"/>
              </w:rPr>
              <w:t xml:space="preserve">Elite</w:t>
            </w:r>
          </w:p>
        </w:tc>
        <w:tc>
          <w:tcPr>
            <w:tcW w:type="dxa" w:w="18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b/>
                <w:bCs/>
                <w:color w:val="333333"/>
                <w:sz w:val="19"/>
                <w:szCs w:val="19"/>
              </w:rPr>
              <w:t xml:space="preserve">Auction</w:t>
            </w:r>
            <w:r>
              <w:rPr>
                <w:rFonts w:ascii="Calibri" w:cs="Calibri" w:eastAsia="Calibri" w:hAnsi="Calibri"/>
                <w:color w:val="333333"/>
                <w:sz w:val="19"/>
                <w:szCs w:val="19"/>
              </w:rPr>
              <w:t xml:space="preserve">
Min A$999/mo</w:t>
            </w:r>
          </w:p>
        </w:tc>
        <w:tc>
          <w:tcPr>
            <w:tcW w:type="dxa" w:w="28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b/>
                <w:bCs/>
                <w:color w:val="333333"/>
                <w:sz w:val="19"/>
                <w:szCs w:val="19"/>
              </w:rPr>
              <w:t xml:space="preserve">High-value target. </w:t>
            </w:r>
            <w:r>
              <w:rPr>
                <w:rFonts w:ascii="Calibri" w:cs="Calibri" w:eastAsia="Calibri" w:hAnsi="Calibri"/>
                <w:color w:val="333333"/>
                <w:sz w:val="19"/>
                <w:szCs w:val="19"/>
              </w:rPr>
              <w:t xml:space="preserve">Unlimited trades, all asset classes, capped at 2,500 seats.</w:t>
            </w:r>
          </w:p>
        </w:tc>
        <w:tc>
          <w:tcPr>
            <w:tcW w:type="dxa" w:w="28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A$5M–25M avg</w:t>
            </w:r>
          </w:p>
        </w:tc>
      </w:tr>
      <w:tr>
        <w:tc>
          <w:tcPr>
            <w:tcW w:type="dxa" w:w="16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b/>
                <w:bCs/>
                <w:color w:val="C5A24D"/>
                <w:sz w:val="19"/>
                <w:szCs w:val="19"/>
              </w:rPr>
              <w:t xml:space="preserve">Apex</w:t>
            </w:r>
          </w:p>
        </w:tc>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b/>
                <w:bCs/>
                <w:color w:val="333333"/>
                <w:sz w:val="19"/>
                <w:szCs w:val="19"/>
              </w:rPr>
              <w:t xml:space="preserve">Auction</w:t>
            </w:r>
            <w:r>
              <w:rPr>
                <w:rFonts w:ascii="Calibri" w:cs="Calibri" w:eastAsia="Calibri" w:hAnsi="Calibri"/>
                <w:color w:val="333333"/>
                <w:sz w:val="19"/>
                <w:szCs w:val="19"/>
              </w:rPr>
              <w:t xml:space="preserve">
Min A$5,999/mo</w:t>
            </w:r>
          </w:p>
        </w:tc>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b/>
                <w:bCs/>
                <w:color w:val="333333"/>
                <w:sz w:val="19"/>
                <w:szCs w:val="19"/>
              </w:rPr>
              <w:t xml:space="preserve">Institutional-grade. </w:t>
            </w:r>
            <w:r>
              <w:rPr>
                <w:rFonts w:ascii="Calibri" w:cs="Calibri" w:eastAsia="Calibri" w:hAnsi="Calibri"/>
                <w:color w:val="333333"/>
                <w:sz w:val="19"/>
                <w:szCs w:val="19"/>
              </w:rPr>
              <w:t xml:space="preserve">White-glove, custom AI strategies, capped at 500 seats.</w:t>
            </w:r>
          </w:p>
        </w:tc>
        <w:tc>
          <w:tcPr>
            <w:tcW w:type="dxa" w:w="28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A$25M+ avg</w:t>
            </w:r>
          </w:p>
        </w:tc>
      </w:tr>
    </w:tbl>
    <w:p>
      <w:pPr>
        <w:spacing w:before="80" w:after="80" w:line="300"/>
        <w:jc w:val="left"/>
      </w:pPr>
      <w:r>
        <w:rPr>
          <w:rFonts w:ascii="Calibri" w:cs="Calibri" w:eastAsia="Calibri" w:hAnsi="Calibri"/>
          <w:i/>
          <w:iCs/>
          <w:color w:val="666666"/>
          <w:sz w:val="21"/>
          <w:szCs w:val="21"/>
        </w:rPr>
        <w:t xml:space="preserve">*AUC = Assets Under Custody (projected per-client average). </w:t>
      </w:r>
      <w:r>
        <w:rPr>
          <w:rFonts w:ascii="Calibri" w:cs="Calibri" w:eastAsia="Calibri" w:hAnsi="Calibri"/>
          <w:i/>
          <w:iCs/>
          <w:color w:val="666666"/>
          <w:sz w:val="21"/>
          <w:szCs w:val="21"/>
        </w:rPr>
        <w:t xml:space="preserve">Conservative estimates based on tier pricing signals.</w:t>
      </w:r>
    </w:p>
    <w:p>
      <w:pPr>
        <w:spacing w:before="100" w:after="0"/>
      </w:pPr>
    </w:p>
    <w:p>
      <w:pPr>
        <w:spacing w:before="80" w:after="80" w:line="300"/>
        <w:jc w:val="left"/>
      </w:pPr>
      <w:r>
        <w:rPr>
          <w:rFonts w:ascii="Calibri" w:cs="Calibri" w:eastAsia="Calibri" w:hAnsi="Calibri"/>
          <w:b/>
          <w:bCs/>
          <w:color w:val="333333"/>
          <w:sz w:val="21"/>
          <w:szCs w:val="21"/>
        </w:rPr>
        <w:t xml:space="preserve">Projected ClearLoop-eligible AUC at scale: </w:t>
      </w:r>
      <w:r>
        <w:rPr>
          <w:rFonts w:ascii="Calibri" w:cs="Calibri" w:eastAsia="Calibri" w:hAnsi="Calibri"/>
          <w:color w:val="333333"/>
          <w:sz w:val="21"/>
          <w:szCs w:val="21"/>
        </w:rPr>
        <w:t xml:space="preserve">With 2,500 Elite and 500 Apex clients at projected averages, the ClearLoop-eligible asset pool exceeds </w:t>
      </w:r>
      <w:r>
        <w:rPr>
          <w:rFonts w:ascii="Calibri" w:cs="Calibri" w:eastAsia="Calibri" w:hAnsi="Calibri"/>
          <w:b/>
          <w:bCs/>
          <w:color w:val="0A2E1A"/>
          <w:sz w:val="21"/>
          <w:szCs w:val="21"/>
        </w:rPr>
        <w:t xml:space="preserve">A$75 billion</w:t>
      </w:r>
      <w:r>
        <w:rPr>
          <w:rFonts w:ascii="Calibri" w:cs="Calibri" w:eastAsia="Calibri" w:hAnsi="Calibri"/>
          <w:color w:val="333333"/>
          <w:sz w:val="21"/>
          <w:szCs w:val="21"/>
        </w:rPr>
        <w:t xml:space="preserve"> in assets under Copper’s custody.</w:t>
      </w:r>
    </w:p>
    <w:p>
      <w:pPr>
        <w:spacing w:before="360" w:after="180"/>
      </w:pPr>
      <w:r>
        <w:rPr>
          <w:rFonts w:ascii="Georgia" w:cs="Georgia" w:eastAsia="Georgia" w:hAnsi="Georgia"/>
          <w:b/>
          <w:bCs/>
          <w:color w:val="0A2E1A"/>
          <w:sz w:val="26"/>
          <w:szCs w:val="26"/>
        </w:rPr>
        <w:t xml:space="preserve">8. REGULATORY ALIGNMENT</w:t>
      </w:r>
    </w:p>
    <w:p>
      <w:pPr>
        <w:pBdr>
          <w:bottom w:val="single" w:color="C5A24D" w:sz="6" w:space="1"/>
        </w:pBdr>
        <w:spacing w:before="160" w:after="160"/>
      </w:pPr>
    </w:p>
    <w:p>
      <w:pPr>
        <w:spacing w:before="80" w:after="80" w:line="300"/>
        <w:jc w:val="left"/>
      </w:pPr>
      <w:r>
        <w:rPr>
          <w:rFonts w:ascii="Calibri" w:cs="Calibri" w:eastAsia="Calibri" w:hAnsi="Calibri"/>
          <w:color w:val="333333"/>
          <w:sz w:val="21"/>
          <w:szCs w:val="21"/>
        </w:rPr>
        <w:t xml:space="preserve">Sovereign Vantage is architecturally designed as a software tool — not a financial service — ensuring clean regulatory classification across jurisdictions: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Regulation</w:t>
            </w:r>
          </w:p>
        </w:tc>
        <w:tc>
          <w:tcPr>
            <w:tcW w:type="dxa" w:w="22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Jurisdiction</w:t>
            </w:r>
          </w:p>
        </w:tc>
        <w:tc>
          <w:tcPr>
            <w:tcW w:type="dxa" w:w="4626"/>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Sovereign Vantage Position</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MiCA</w:t>
            </w:r>
          </w:p>
        </w:tc>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European Union</w:t>
            </w:r>
          </w:p>
        </w:tc>
        <w:tc>
          <w:tcPr>
            <w:tcW w:type="dxa" w:w="46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Not a CASP. No custody, no exchange services, no investment advice. Software tool classification.</w:t>
            </w:r>
          </w:p>
        </w:tc>
      </w:tr>
      <w:tr>
        <w:tc>
          <w:tcPr>
            <w:tcW w:type="dxa" w:w="22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GENIUS Act</w:t>
            </w:r>
          </w:p>
        </w:tc>
        <w:tc>
          <w:tcPr>
            <w:tcW w:type="dxa" w:w="22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United States</w:t>
            </w:r>
          </w:p>
        </w:tc>
        <w:tc>
          <w:tcPr>
            <w:tcW w:type="dxa" w:w="46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Not a stablecoin issuer or service provider. No reserve requirements.</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CLARITY Act</w:t>
            </w:r>
          </w:p>
        </w:tc>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United States</w:t>
            </w:r>
          </w:p>
        </w:tc>
        <w:tc>
          <w:tcPr>
            <w:tcW w:type="dxa" w:w="46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Not a DCE, broker, or dealer. Software tool with peer-to-peer exception.</w:t>
            </w:r>
          </w:p>
        </w:tc>
      </w:tr>
      <w:tr>
        <w:tc>
          <w:tcPr>
            <w:tcW w:type="dxa" w:w="22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AFSL</w:t>
            </w:r>
          </w:p>
        </w:tc>
        <w:tc>
          <w:tcPr>
            <w:tcW w:type="dxa" w:w="22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Australia</w:t>
            </w:r>
          </w:p>
        </w:tc>
        <w:tc>
          <w:tcPr>
            <w:tcW w:type="dxa" w:w="46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Software tool. No financial services licence required for non-custodial software.</w:t>
            </w:r>
          </w:p>
        </w:tc>
      </w:tr>
    </w:tbl>
    <w:p>
      <w:pPr>
        <w:spacing w:before="80" w:after="80" w:line="300"/>
        <w:jc w:val="left"/>
      </w:pPr>
      <w:r>
        <w:rPr>
          <w:rFonts w:ascii="Calibri" w:cs="Calibri" w:eastAsia="Calibri" w:hAnsi="Calibri"/>
          <w:b/>
          <w:bCs/>
          <w:color w:val="333333"/>
          <w:sz w:val="21"/>
          <w:szCs w:val="21"/>
        </w:rPr>
        <w:t xml:space="preserve">This is complementary to Copper’s regulated custody position. </w:t>
      </w:r>
      <w:r>
        <w:rPr>
          <w:rFonts w:ascii="Calibri" w:cs="Calibri" w:eastAsia="Calibri" w:hAnsi="Calibri"/>
          <w:color w:val="333333"/>
          <w:sz w:val="21"/>
          <w:szCs w:val="21"/>
        </w:rPr>
        <w:t xml:space="preserve">Sovereign Vantage never touches client funds. Copper provides the regulated custody and settlement layer. Each party operates cleanly within its regulatory domain.</w:t>
      </w:r>
    </w:p>
    <w:p>
      <w:pPr>
        <w:spacing w:before="360" w:after="180"/>
      </w:pPr>
      <w:r>
        <w:rPr>
          <w:rFonts w:ascii="Georgia" w:cs="Georgia" w:eastAsia="Georgia" w:hAnsi="Georgia"/>
          <w:b/>
          <w:bCs/>
          <w:color w:val="0A2E1A"/>
          <w:sz w:val="26"/>
          <w:szCs w:val="26"/>
        </w:rPr>
        <w:t xml:space="preserve">9. PROPOSED TIMELINE</w:t>
      </w:r>
    </w:p>
    <w:p>
      <w:pPr>
        <w:pBdr>
          <w:bottom w:val="single" w:color="C5A24D" w:sz="6" w:space="1"/>
        </w:pBd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Phase</w:t>
            </w:r>
          </w:p>
        </w:tc>
        <w:tc>
          <w:tcPr>
            <w:tcW w:type="dxa" w:w="2500"/>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Target</w:t>
            </w:r>
          </w:p>
        </w:tc>
        <w:tc>
          <w:tcPr>
            <w:tcW w:type="dxa" w:w="4526"/>
            <w:tcBorders>
              <w:top w:val="single" w:color="D0D0D0" w:sz="1"/>
              <w:left w:val="single" w:color="D0D0D0" w:sz="1"/>
              <w:bottom w:val="single" w:color="D0D0D0" w:sz="1"/>
              <w:right w:val="single" w:color="D0D0D0" w:sz="1"/>
            </w:tcBorders>
            <w:shd w:fill="0A2E1A"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Milestone</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Discovery</w:t>
            </w:r>
          </w:p>
        </w:tc>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March 2026</w:t>
            </w:r>
          </w:p>
        </w:tc>
        <w:tc>
          <w:tcPr>
            <w:tcW w:type="dxa" w:w="45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Initial meeting. Technical and commercial alignment review.</w:t>
            </w:r>
          </w:p>
        </w:tc>
      </w:tr>
      <w:tr>
        <w:tc>
          <w:tcPr>
            <w:tcW w:type="dxa" w:w="2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Integration</w:t>
            </w:r>
          </w:p>
        </w:tc>
        <w:tc>
          <w:tcPr>
            <w:tcW w:type="dxa" w:w="25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Q2 2026</w:t>
            </w:r>
          </w:p>
        </w:tc>
        <w:tc>
          <w:tcPr>
            <w:tcW w:type="dxa" w:w="45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ClearLoop API integration in Sovereign Vantage. Testing against supported exchanges.</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Pilot</w:t>
            </w:r>
          </w:p>
        </w:tc>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Q3 2026</w:t>
            </w:r>
          </w:p>
        </w:tc>
        <w:tc>
          <w:tcPr>
            <w:tcW w:type="dxa" w:w="45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Controlled launch with 50–100 Elite/Apex clients. Measure delegation volume and settlement throughput.</w:t>
            </w:r>
          </w:p>
        </w:tc>
      </w:tr>
      <w:tr>
        <w:tc>
          <w:tcPr>
            <w:tcW w:type="dxa" w:w="2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Launch</w:t>
            </w:r>
          </w:p>
        </w:tc>
        <w:tc>
          <w:tcPr>
            <w:tcW w:type="dxa" w:w="25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Q4 2026</w:t>
            </w:r>
          </w:p>
        </w:tc>
        <w:tc>
          <w:tcPr>
            <w:tcW w:type="dxa" w:w="45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Full availability across all paid tiers. Co-branded marketing campaign.</w:t>
            </w:r>
          </w:p>
        </w:tc>
      </w:tr>
      <w:tr>
        <w:tc>
          <w:tcPr>
            <w:tcW w:type="dxa" w:w="2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Scale</w:t>
            </w:r>
          </w:p>
        </w:tc>
        <w:tc>
          <w:tcPr>
            <w:tcW w:type="dxa" w:w="25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2027</w:t>
            </w:r>
          </w:p>
        </w:tc>
        <w:tc>
          <w:tcPr>
            <w:tcW w:type="dxa" w:w="45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APAC expansion. Native protocol integration. Joint institutional outreach.</w:t>
            </w:r>
          </w:p>
        </w:tc>
      </w:tr>
    </w:tbl>
    <w:p>
      <w:pPr>
        <w:spacing w:before="360" w:after="180"/>
      </w:pPr>
      <w:r>
        <w:rPr>
          <w:rFonts w:ascii="Georgia" w:cs="Georgia" w:eastAsia="Georgia" w:hAnsi="Georgia"/>
          <w:b/>
          <w:bCs/>
          <w:color w:val="0A2E1A"/>
          <w:sz w:val="26"/>
          <w:szCs w:val="26"/>
        </w:rPr>
        <w:t xml:space="preserve">10. ABOUT MIWEALTH PTY LTD</w:t>
      </w:r>
    </w:p>
    <w:p>
      <w:pPr>
        <w:pBdr>
          <w:bottom w:val="single" w:color="C5A24D" w:sz="6" w:space="1"/>
        </w:pBd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Company</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MiWealth Pty Ltd</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Jurisdiction</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Australia</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Product</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Sovereign Vantage™ — Arthur Edition V5.12.0</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Founder &amp; CEO</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Mike Stahl</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Co-Founder &amp; CTO</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Arthur Iain McManus (1966–2025, In Memoriam)</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Platform</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Native Android (Kotlin/Jetpack Compose). iOS and desktop in roadmap.</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Domains</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MiWealth.APP (platform) | SovereignVantage.com</w:t>
            </w:r>
          </w:p>
        </w:tc>
      </w:tr>
      <w:tr>
        <w:tc>
          <w:tcPr>
            <w:tcW w:type="dxa" w:w="3000"/>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IP Portfolio</w:t>
            </w:r>
          </w:p>
        </w:tc>
        <w:tc>
          <w:tcPr>
            <w:tcW w:type="dxa" w:w="6026"/>
            <w:tcBorders>
              <w:top w:val="single" w:color="D0D0D0" w:sz="1"/>
              <w:left w:val="single" w:color="D0D0D0" w:sz="1"/>
              <w:bottom w:val="single" w:color="D0D0D0" w:sz="1"/>
              <w:right w:val="single" w:color="D0D0D0" w:sz="1"/>
            </w:tcBorders>
            <w:shd w:fill="FDF8EC" w:val="clear"/>
            <w:tcMar>
              <w:top w:type="dxa" w:w="100"/>
              <w:left w:type="dxa" w:w="140"/>
              <w:bottom w:type="dxa" w:w="100"/>
              <w:right w:type="dxa" w:w="140"/>
            </w:tcMar>
            <w:vAlign w:val="center"/>
          </w:tcPr>
          <w:p>
            <w:r>
              <w:rPr>
                <w:rFonts w:ascii="Calibri" w:cs="Calibri" w:eastAsia="Calibri" w:hAnsi="Calibri"/>
                <w:color w:val="333333"/>
                <w:sz w:val="19"/>
                <w:szCs w:val="19"/>
              </w:rPr>
              <w:t xml:space="preserve">STAHL Stair Stop™ (patent pending), AI Exchange Interface, DHT federated learning protocol</w:t>
            </w:r>
          </w:p>
        </w:tc>
      </w:tr>
      <w:tr>
        <w:tc>
          <w:tcPr>
            <w:tcW w:type="dxa" w:w="3000"/>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Current Status</w:t>
            </w:r>
          </w:p>
        </w:tc>
        <w:tc>
          <w:tcPr>
            <w:tcW w:type="dxa" w:w="6026"/>
            <w:tcBorders>
              <w:top w:val="single" w:color="D0D0D0" w:sz="1"/>
              <w:left w:val="single" w:color="D0D0D0" w:sz="1"/>
              <w:bottom w:val="single" w:color="D0D0D0" w:sz="1"/>
              <w:right w:val="single" w:color="D0D0D0" w:sz="1"/>
            </w:tcBorders>
            <w:tcMar>
              <w:top w:type="dxa" w:w="100"/>
              <w:left w:type="dxa" w:w="140"/>
              <w:bottom w:type="dxa" w:w="100"/>
              <w:right w:type="dxa" w:w="140"/>
            </w:tcMar>
            <w:vAlign w:val="center"/>
          </w:tcPr>
          <w:p>
            <w:r>
              <w:rPr>
                <w:rFonts w:ascii="Calibri" w:cs="Calibri" w:eastAsia="Calibri" w:hAnsi="Calibri"/>
                <w:color w:val="333333"/>
                <w:sz w:val="19"/>
                <w:szCs w:val="19"/>
              </w:rPr>
              <w:t xml:space="preserve">Private beta. Targeting institutional launch Q3–Q4 2026.</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A24D" w:sz="2"/>
              <w:left w:val="single" w:color="C5A24D" w:sz="6"/>
              <w:bottom w:val="single" w:color="C5A24D" w:sz="2"/>
              <w:right w:val="single" w:color="C5A24D" w:sz="2"/>
            </w:tcBorders>
            <w:shd w:fill="FDF8EC" w:val="clear"/>
            <w:tcMar>
              <w:top w:type="dxa" w:w="200"/>
              <w:left w:type="dxa" w:w="300"/>
              <w:bottom w:type="dxa" w:w="200"/>
              <w:right w:type="dxa" w:w="300"/>
            </w:tcMar>
          </w:tcPr>
          <w:p>
            <w:pPr>
              <w:spacing w:before="0" w:after="120"/>
              <w:jc w:val="center"/>
            </w:pPr>
            <w:r>
              <w:rPr>
                <w:rFonts w:ascii="Calibri" w:cs="Calibri" w:eastAsia="Calibri" w:hAnsi="Calibri"/>
                <w:b/>
                <w:bCs/>
                <w:color w:val="0A2E1A"/>
                <w:spacing w:val="80"/>
                <w:sz w:val="18"/>
                <w:szCs w:val="18"/>
              </w:rPr>
              <w:t xml:space="preserve">NEXT STEP</w:t>
            </w:r>
          </w:p>
          <w:p>
            <w:pPr>
              <w:spacing w:before="0" w:after="80" w:line="300"/>
              <w:jc w:val="center"/>
            </w:pPr>
            <w:r>
              <w:rPr>
                <w:rFonts w:ascii="Calibri" w:cs="Calibri" w:eastAsia="Calibri" w:hAnsi="Calibri"/>
                <w:color w:val="333333"/>
                <w:sz w:val="21"/>
                <w:szCs w:val="21"/>
              </w:rPr>
              <w:t xml:space="preserve">We’d welcome a 30-minute introductory call with Copper’s partnerships or business development team to explore mutual fit. A live demonstration of the Sovereign Vantage platform is available upon request.</w:t>
            </w:r>
          </w:p>
          <w:p>
            <w:pPr>
              <w:spacing w:before="120" w:after="0"/>
              <w:jc w:val="center"/>
            </w:pPr>
            <w:r>
              <w:rPr>
                <w:rFonts w:ascii="Calibri" w:cs="Calibri" w:eastAsia="Calibri" w:hAnsi="Calibri"/>
                <w:b/>
                <w:bCs/>
                <w:color w:val="0A2E1A"/>
                <w:sz w:val="20"/>
                <w:szCs w:val="20"/>
              </w:rPr>
              <w:t xml:space="preserve">Mike Stahl  |  mike@miwealth.app  |  MiWealth.APP</w:t>
            </w:r>
          </w:p>
        </w:tc>
      </w:tr>
    </w:tbl>
    <w:p>
      <w:pPr>
        <w:spacing w:before="400" w:after="0"/>
      </w:pPr>
    </w:p>
    <w:p>
      <w:pPr>
        <w:pBdr>
          <w:bottom w:val="single" w:color="C5A24D" w:sz="6" w:space="1"/>
        </w:pBdr>
        <w:spacing w:before="160" w:after="160"/>
      </w:pPr>
    </w:p>
    <w:p>
      <w:pPr>
        <w:spacing w:before="100" w:after="0"/>
        <w:jc w:val="center"/>
      </w:pPr>
      <w:r>
        <w:rPr>
          <w:rFonts w:ascii="Calibri" w:cs="Calibri" w:eastAsia="Calibri" w:hAnsi="Calibri"/>
          <w:i/>
          <w:iCs/>
          <w:color w:val="666666"/>
          <w:sz w:val="16"/>
          <w:szCs w:val="16"/>
        </w:rPr>
        <w:t xml:space="preserve">© 2026 MiWealth Pty Ltd. All rights reserved. Sovereign Vantage™ and STAHL Stair Stop™ are trademarks of MiWealth Pty Ltd.</w:t>
      </w:r>
    </w:p>
    <w:p>
      <w:pPr>
        <w:spacing w:before="40" w:after="0"/>
        <w:jc w:val="center"/>
      </w:pPr>
      <w:r>
        <w:rPr>
          <w:rFonts w:ascii="Calibri" w:cs="Calibri" w:eastAsia="Calibri" w:hAnsi="Calibri"/>
          <w:i/>
          <w:iCs/>
          <w:color w:val="666666"/>
          <w:sz w:val="16"/>
          <w:szCs w:val="16"/>
        </w:rPr>
        <w:t xml:space="preserve">This document is confidential and intended solely for the named recipients.</w:t>
      </w:r>
    </w:p>
    <w:sectPr>
      <w:headerReference w:type="default" r:id="rId6"/>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24D" w:sz="2" w:space="4"/>
      </w:pBdr>
      <w:spacing w:before="100"/>
    </w:pPr>
    <w:r>
      <w:rPr>
        <w:rFonts w:ascii="Calibri" w:cs="Calibri" w:eastAsia="Calibri" w:hAnsi="Calibri"/>
        <w:color w:val="666666"/>
        <w:sz w:val="14"/>
        <w:szCs w:val="14"/>
      </w:rPr>
      <w:t xml:space="preserve">CONFIDENTIAL  |  MiWealth Pty Ltd  |  </w:t>
    </w:r>
    <w:r>
      <w:rPr>
        <w:rFonts w:ascii="Calibri" w:cs="Calibri" w:eastAsia="Calibri" w:hAnsi="Calibri"/>
        <w:color w:val="C5A24D"/>
        <w:sz w:val="14"/>
        <w:szCs w:val="14"/>
      </w:rPr>
      <w:t xml:space="preserve">miwealth.app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4D" w:sz="4" w:space="4"/>
      </w:pBdr>
    </w:pPr>
    <w:r>
      <w:rPr>
        <w:rFonts w:ascii="Calibri" w:cs="Calibri" w:eastAsia="Calibri" w:hAnsi="Calibri"/>
        <w:i/>
        <w:iCs/>
        <w:color w:val="666666"/>
        <w:sz w:val="16"/>
        <w:szCs w:val="16"/>
      </w:rPr>
      <w:t xml:space="preserve">Sovereign Vantage™ × Copper ClearLoop®  |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2026-02-28T12:51:35.248Z</dcterms:created>
  <dcterms:modified xsi:type="dcterms:W3CDTF">2026-02-28T12:51:35.248Z</dcterms:modified>
</cp:coreProperties>
</file>

<file path=docProps/custom.xml><?xml version="1.0" encoding="utf-8"?>
<Properties xmlns="http://schemas.openxmlformats.org/officeDocument/2006/custom-properties" xmlns:vt="http://schemas.openxmlformats.org/officeDocument/2006/docPropsVTypes"/>
</file>