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Another</w:t>
      </w:r>
      <w:r>
        <w:t xml:space="preserve"> </w:t>
      </w:r>
      <w:r>
        <w:t xml:space="preserve">Example</w:t>
      </w:r>
      <w:r>
        <w:t xml:space="preserve"> </w:t>
      </w:r>
      <w:r>
        <w:t xml:space="preserve">in</w:t>
      </w:r>
      <w:r>
        <w:t xml:space="preserve"> </w:t>
      </w:r>
      <w:r>
        <w:t xml:space="preserve">the</w:t>
      </w:r>
      <w:r>
        <w:t xml:space="preserve"> </w:t>
      </w:r>
      <w:r>
        <w:t xml:space="preserve">Wall</w:t>
      </w:r>
    </w:p>
    <w:p>
      <w:pPr>
        <w:pStyle w:val="Heading1"/>
      </w:pPr>
      <w:bookmarkStart w:id="20" w:name="abstract"/>
      <w:r>
        <w:t xml:space="preserve">Abstract</w:t>
      </w:r>
      <w:bookmarkEnd w:id="20"/>
    </w:p>
    <w:p>
      <w:pPr>
        <w:pStyle w:val="FirstParagraph"/>
      </w:pPr>
      <w:r>
        <w:t xml:space="preserve">Lorem ipsum dolor sit amet,</w:t>
      </w:r>
      <w:r>
        <w:t xml:space="preserve"> </w:t>
      </w:r>
      <w:r>
        <w:rPr>
          <w:b/>
        </w:rPr>
        <w:t xml:space="preserve">consectetur adipiscing elit</w:t>
      </w:r>
      <w:r>
        <w:t xml:space="preserve">. Aenean pharetra condimentum leo</w:t>
      </w:r>
      <w:r>
        <w:t xml:space="preserve"> </w:t>
      </w:r>
      <w:r>
        <w:t xml:space="preserve">(Barrett &amp; Simmons, 2015; Siegel &amp; Silins, 2015)</w:t>
      </w:r>
      <w:r>
        <w:t xml:space="preserve">, nec scelerisque risus ultrices et. Donec accumsan erat sed ligula elementum, in rhoncus felis tincidunt. Integer consequat enim lacinia massa lacinia, vitae ornare leo gravida. Nulla in purus dui. Aliquam dignissim feugiat justo, non</w:t>
      </w:r>
      <w:r>
        <w:t xml:space="preserve"> </w:t>
      </w:r>
      <w:r>
        <w:rPr>
          <w:i/>
        </w:rPr>
        <w:t xml:space="preserve">sollicitudin justo condimentum eget</w:t>
      </w:r>
      <w:r>
        <w:t xml:space="preserve">. Nam cursus ante sit amet leo bibendum blandit. Sed aliquam ornare ex eu mollis.</w:t>
      </w:r>
      <w:r>
        <w:t xml:space="preserve"> </w:t>
      </w:r>
      <w:r>
        <w:t xml:space="preserve"># Introduction #</w:t>
      </w:r>
      <w:r>
        <w:t xml:space="preserve"> </w:t>
      </w:r>
      <w:r>
        <w:t xml:space="preserve">Cras tempor id purus vitae consectetur. Suspendisse luctus leo urna, nec condimentum leo aliquet vitae. Curabitur venenatis sem risus, sit amet efficitur leo laoreet sed.</w:t>
      </w:r>
    </w:p>
    <w:p>
      <w:pPr>
        <w:pStyle w:val="Heading1"/>
      </w:pPr>
      <w:bookmarkStart w:id="21" w:name="methods"/>
      <w:r>
        <w:t xml:space="preserve">Methods</w:t>
      </w:r>
      <w:bookmarkEnd w:id="21"/>
    </w:p>
    <w:p>
      <w:pPr>
        <w:pStyle w:val="FirstParagraph"/>
      </w:pPr>
      <w:r>
        <w:t xml:space="preserve">Nulla eget orci id mauris blandit cursus vitae id diam. Mauris in ex condimentum, euismod felis a, vehicula libero. In placerat finibus nunc, eu rhoncus velit viverra eget ac turpis egestas. Suspendisse porta, nunc et egestas euismod, orci arcu eleifend ante, vel sodales leo dolor mollis purus. Lorem ipsum dolor sit amet, consectetur adipiscing elit. Integer iaculis congue eros, eget eleifend sapien dictum at. Nam diam nulla, mattis eu enim in, porta volutpat quam. Curabitur aliquet vestibulum molestie.</w:t>
      </w:r>
    </w:p>
    <w:p>
      <w:pPr>
        <w:pStyle w:val="Heading1"/>
      </w:pPr>
      <w:bookmarkStart w:id="22" w:name="results"/>
      <w:r>
        <w:t xml:space="preserve">Results</w:t>
      </w:r>
      <w:bookmarkEnd w:id="22"/>
    </w:p>
    <w:p>
      <w:pPr>
        <w:pStyle w:val="FirstParagraph"/>
      </w:pPr>
      <w:r>
        <w:t xml:space="preserve">Nam egestas aliquet porttitor. Fusce vitae dolor libero. Quisque vitae est ultricies, dictum ex at, dictum lorem. Cras id felis sit amet orci dictum convallis. Nunc efficitur ante sed augue blandit molestie. Maecenas quis dui lectus. Pellentesque sit amet nisl laoreet, varius enim a, iaculis diam. Fusce bibendum dolor orci, sit amet ullamcorper felis luctus vitae. Mauris sit amet venenatis tellus. Duis condimentum sapien luctus, hendrerit quam ut, lobortis dolor. Fusce id sollicitudin ligula. Maecenas finibus orci ut lorem eleifend lacinia. Praesent at nulla vel quam eleifend ullamcorper ut sodales mi.</w:t>
      </w:r>
    </w:p>
    <w:tbl>
      <w:tblPr>
        <w:tblStyle w:val="Table"/>
        <w:tblW w:type="pct" w:w="0.0"/>
        <w:tblLook w:firstRow="1"/>
      </w:tblPr>
      <w:tblGrid/>
      <w:tr>
        <w:trPr>
          <w:cnfStyle w:firstRow="1"/>
        </w:trPr>
        <w:tc>
          <w:tcPr>
            <w:tcBorders>
              <w:bottom w:val="single"/>
            </w:tcBorders>
            <w:vAlign w:val="bottom"/>
          </w:tcPr>
          <w:p>
            <w:pPr>
              <w:pStyle w:val="Compact"/>
              <w:jc w:val="center"/>
            </w:pPr>
            <w:r>
              <w:rPr>
                <w:b/>
              </w:rPr>
              <w:t xml:space="preserve">Table Head 1</w:t>
            </w:r>
          </w:p>
        </w:tc>
        <w:tc>
          <w:tcPr>
            <w:tcBorders>
              <w:bottom w:val="single"/>
            </w:tcBorders>
            <w:vAlign w:val="bottom"/>
          </w:tcPr>
          <w:p>
            <w:pPr>
              <w:pStyle w:val="Compact"/>
              <w:jc w:val="center"/>
            </w:pPr>
            <w:r>
              <w:rPr>
                <w:b/>
              </w:rPr>
              <w:t xml:space="preserve">Table Head 2</w:t>
            </w:r>
          </w:p>
        </w:tc>
        <w:tc>
          <w:tcPr>
            <w:tcBorders>
              <w:bottom w:val="single"/>
            </w:tcBorders>
            <w:vAlign w:val="bottom"/>
          </w:tcPr>
          <w:p>
            <w:pPr>
              <w:pStyle w:val="Compact"/>
              <w:jc w:val="center"/>
            </w:pPr>
            <w:r>
              <w:rPr>
                <w:b/>
              </w:rPr>
              <w:t xml:space="preserve">Table Head 3</w:t>
            </w:r>
          </w:p>
        </w:tc>
      </w:tr>
      <w:tr>
        <w:tc>
          <w:p>
            <w:pPr>
              <w:pStyle w:val="Compact"/>
              <w:jc w:val="center"/>
            </w:pPr>
            <w:r>
              <w:t xml:space="preserve">Item 1</w:t>
            </w:r>
          </w:p>
        </w:tc>
        <w:tc>
          <w:p>
            <w:pPr>
              <w:pStyle w:val="Compact"/>
              <w:jc w:val="center"/>
            </w:pPr>
            <w:r>
              <w:t xml:space="preserve">Item 2</w:t>
            </w:r>
          </w:p>
        </w:tc>
        <w:tc>
          <w:p>
            <w:pPr>
              <w:pStyle w:val="Compact"/>
              <w:jc w:val="center"/>
            </w:pPr>
            <w:r>
              <w:t xml:space="preserve">Item 3</w:t>
            </w:r>
          </w:p>
        </w:tc>
      </w:tr>
      <w:tr>
        <w:tc>
          <w:p>
            <w:pPr>
              <w:pStyle w:val="Compact"/>
              <w:jc w:val="center"/>
            </w:pPr>
            <w:r>
              <w:t xml:space="preserve">Item 4</w:t>
            </w:r>
          </w:p>
        </w:tc>
        <w:tc>
          <w:p>
            <w:pPr>
              <w:pStyle w:val="Compact"/>
              <w:jc w:val="center"/>
            </w:pPr>
            <w:r>
              <w:t xml:space="preserve">Item 5</w:t>
            </w:r>
          </w:p>
        </w:tc>
        <w:tc>
          <w:p>
            <w:pPr>
              <w:pStyle w:val="Compact"/>
              <w:jc w:val="center"/>
            </w:pPr>
            <w:r>
              <w:t xml:space="preserve">Item 6</w:t>
            </w:r>
          </w:p>
        </w:tc>
      </w:tr>
    </w:tbl>
    <w:p>
      <w:pPr>
        <w:pStyle w:val="BodyText"/>
      </w:pPr>
      <m:oMathPara>
        <m:oMathParaPr>
          <m:jc m:val="center"/>
        </m:oMathParaPr>
        <m:oMath>
          <m:sSup>
            <m:e>
              <m:r>
                <m:t>x</m:t>
              </m:r>
            </m:e>
            <m:sup>
              <m:r>
                <m:t>α</m:t>
              </m:r>
            </m:sup>
          </m:sSup>
          <m:sSup>
            <m:e>
              <m:r>
                <m:t>e</m:t>
              </m:r>
            </m:e>
            <m:sup>
              <m:r>
                <m:t>β</m:t>
              </m:r>
              <m:sSup>
                <m:e>
                  <m:r>
                    <m:t>x</m:t>
                  </m:r>
                </m:e>
                <m:sup>
                  <m:r>
                    <m:t>γ</m:t>
                  </m:r>
                </m:sup>
              </m:sSup>
              <m:sSup>
                <m:e>
                  <m:r>
                    <m:t>e</m:t>
                  </m:r>
                </m:e>
                <m:sup>
                  <m:r>
                    <m:t>δ</m:t>
                  </m:r>
                  <m:sSup>
                    <m:e>
                      <m:r>
                        <m:t>x</m:t>
                      </m:r>
                    </m:e>
                    <m:sup>
                      <m:r>
                        <m:t>ϵ</m:t>
                      </m:r>
                    </m:sup>
                  </m:sSup>
                </m:sup>
              </m:sSup>
            </m:sup>
          </m:sSup>
        </m:oMath>
      </m:oMathPara>
    </w:p>
    <w:p>
      <w:pPr>
        <w:pStyle w:val="Heading1"/>
      </w:pPr>
      <w:bookmarkStart w:id="23" w:name="discussion"/>
      <w:r>
        <w:t xml:space="preserve">Discussion</w:t>
      </w:r>
      <w:bookmarkEnd w:id="23"/>
    </w:p>
    <w:p>
      <w:pPr>
        <w:pStyle w:val="FirstParagraph"/>
      </w:pPr>
      <w:r>
        <w:t xml:space="preserve">Nam egestas aliquet porttitor. Fusce vitae dolor libero. Quisque vitae est ultricies, dictum ex at, dictum lorem. Cras id felis sit amet orci dictum convallis. Nunc efficitur ante sed augue blandit molestie. Maecenas quis dui lectus. Pellentesque sit amet nisl laoreet, varius enim a, iaculis diam. Fusce bibendum dolor orci, sit amet ullamcorper felis luctus vitae. Mauris sit amet venenatis tellus. Duis condimentum sapien luctus, hendrerit quam ut, lobortis dolor. Fusce id sollicitudin ligula. Maecenas finibus orci ut lorem eleifend lacinia. Praesent at nulla vel quam eleifend ullamcorper ut sodales mi.</w:t>
      </w:r>
    </w:p>
    <w:p>
      <w:pPr>
        <w:pStyle w:val="Heading1"/>
      </w:pPr>
      <w:bookmarkStart w:id="24" w:name="references"/>
      <w:r>
        <w:t xml:space="preserve">References</w:t>
      </w:r>
      <w:bookmarkEnd w:id="24"/>
    </w:p>
    <w:bookmarkStart w:id="28" w:name="refs"/>
    <w:bookmarkStart w:id="26" w:name="ref-barrett2015"/>
    <w:p>
      <w:pPr>
        <w:pStyle w:val="Bibliography"/>
      </w:pPr>
      <w:r>
        <w:t xml:space="preserve">Barrett, L, &amp; Simmons, W. (2015). Interoceptive predictions in the brain.</w:t>
      </w:r>
      <w:r>
        <w:t xml:space="preserve"> </w:t>
      </w:r>
      <w:r>
        <w:rPr>
          <w:i/>
        </w:rPr>
        <w:t xml:space="preserve">Nature Reviews Neuroscience</w:t>
      </w:r>
      <w:r>
        <w:t xml:space="preserve">,</w:t>
      </w:r>
      <w:r>
        <w:t xml:space="preserve"> </w:t>
      </w:r>
      <w:r>
        <w:rPr>
          <w:i/>
        </w:rPr>
        <w:t xml:space="preserve">16</w:t>
      </w:r>
      <w:r>
        <w:t xml:space="preserve">(7), 419–429.</w:t>
      </w:r>
      <w:r>
        <w:t xml:space="preserve"> </w:t>
      </w:r>
      <w:hyperlink r:id="rId25">
        <w:r>
          <w:rPr>
            <w:rStyle w:val="Hyperlink"/>
          </w:rPr>
          <w:t xml:space="preserve">https://doi.org/10.1038/nrn3950</w:t>
        </w:r>
      </w:hyperlink>
    </w:p>
    <w:bookmarkEnd w:id="26"/>
    <w:bookmarkStart w:id="27" w:name="ref-siegel2015"/>
    <w:p>
      <w:pPr>
        <w:pStyle w:val="Bibliography"/>
      </w:pPr>
      <w:r>
        <w:t xml:space="preserve">Siegel, S, &amp; Silins, N. (2015). The epistemology of perception. In M. Matthen (Ed.),</w:t>
      </w:r>
      <w:r>
        <w:t xml:space="preserve"> </w:t>
      </w:r>
      <w:r>
        <w:rPr>
          <w:i/>
        </w:rPr>
        <w:t xml:space="preserve">Oxford handbook of philosophy of perception</w:t>
      </w:r>
      <w:r>
        <w:t xml:space="preserve"> </w:t>
      </w:r>
      <w:r>
        <w:t xml:space="preserve">(pp. 1–48). Oxford University Press.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38/nrn3950"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38/nrn3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Example in the Wall</dc:title>
  <dc:creator/>
  <cp:keywords/>
  <dcterms:created xsi:type="dcterms:W3CDTF">2019-06-08T20:01:33Z</dcterms:created>
  <dcterms:modified xsi:type="dcterms:W3CDTF">2019-06-08T20:01:33Z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apa.csl</vt:lpwstr>
  </property>
</Properties>
</file>