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2023/12/11创建R2_controller_STA结构体，用于ros控制命令传输所需，ros执行接口函数的数据使用该结构体进行赋值。并且将body_controller里面的好盈电调控制部分去除，改为VESC。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2023/12/12 改写其中的communication.c文件，三个函数均被修改，改为R2机器人与上位机所需数据适配。增加了串口失联的保护机制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2023/12/13修改VESC部分底层，把VESC_MOTOR_INFO中的TARGET_ERPM改为TARGET_RPM,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增加了总控制函数VESC_control里面的点机极对数判断，使其在面对不同电机时更为通用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2023/1/19 将摩擦轮控制器改为好盈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2023/3/3 增加串口DMA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4ZmNhYTRlZDNmOWE5MjkzODc1Y2VjMTZiNDlhNmIifQ=="/>
  </w:docVars>
  <w:rsids>
    <w:rsidRoot w:val="00000000"/>
    <w:rsid w:val="01A26F25"/>
    <w:rsid w:val="29C80BA7"/>
    <w:rsid w:val="69E4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2023-12-14T09:45:00Z</dcterms:created>
  <dc:creator>Jay.Yang</dc:creator>
  <cp:lastModifiedBy>墨阳</cp:lastModifiedBy>
  <dcterms:modified xsi:type="dcterms:W3CDTF">2024-03-02T16:18:02Z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A83DBCA615414DBA957DE34072357AEC_12</vt:lpwstr>
  </property>
</Properties>
</file>