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19" w:rsidRPr="007F2971" w:rsidRDefault="00D42F19">
      <w:pPr>
        <w:pStyle w:val="DocumentProject"/>
        <w:framePr w:hSpace="0" w:wrap="auto" w:vAnchor="margin" w:yAlign="inline"/>
        <w:ind w:left="360"/>
        <w:rPr>
          <w:b w:val="0"/>
        </w:rPr>
      </w:pPr>
      <w:bookmarkStart w:id="0" w:name="_GoBack"/>
      <w:bookmarkEnd w:id="0"/>
      <w:r w:rsidRPr="007F2971">
        <w:rPr>
          <w:b w:val="0"/>
        </w:rPr>
        <w:t>Methodology</w:t>
      </w:r>
    </w:p>
    <w:p w:rsidR="00D42F19" w:rsidRPr="007F2971" w:rsidRDefault="00CC2882" w:rsidP="00925BD1">
      <w:pPr>
        <w:pStyle w:val="DocumentProject"/>
        <w:framePr w:hSpace="0" w:wrap="auto" w:vAnchor="margin" w:yAlign="inline"/>
        <w:ind w:left="360"/>
      </w:pPr>
      <w:r>
        <w:t>Ma</w:t>
      </w:r>
      <w:r w:rsidR="00B67D4D">
        <w:t>y</w:t>
      </w:r>
      <w:r w:rsidR="000A10AE" w:rsidRPr="007F2971">
        <w:t xml:space="preserve"> </w:t>
      </w:r>
      <w:r w:rsidR="00CD24AC" w:rsidRPr="007F2971">
        <w:t>201</w:t>
      </w:r>
      <w:r w:rsidR="000A10AE" w:rsidRPr="007F2971">
        <w:t>3</w:t>
      </w:r>
      <w:r w:rsidR="00CD24AC" w:rsidRPr="007F2971">
        <w:t xml:space="preserve"> </w:t>
      </w:r>
      <w:r w:rsidR="000A10AE" w:rsidRPr="007F2971">
        <w:t>Political</w:t>
      </w:r>
      <w:r w:rsidR="00CD24AC" w:rsidRPr="007F2971">
        <w:t xml:space="preserve"> Survey</w:t>
      </w:r>
    </w:p>
    <w:p w:rsidR="00D42F19" w:rsidRPr="007F2971" w:rsidRDefault="00D42F19">
      <w:pPr>
        <w:pStyle w:val="DocumentClient"/>
        <w:framePr w:hSpace="0" w:wrap="auto" w:vAnchor="margin" w:yAlign="inline"/>
        <w:ind w:left="360"/>
      </w:pPr>
      <w:r w:rsidRPr="007F2971">
        <w:t>Prepared by Princeton Survey Research Associates International</w:t>
      </w:r>
      <w:r w:rsidRPr="007F2971">
        <w:br/>
        <w:t xml:space="preserve">for </w:t>
      </w:r>
      <w:r w:rsidR="00815821" w:rsidRPr="007F2971">
        <w:t xml:space="preserve">the </w:t>
      </w:r>
      <w:r w:rsidR="00476D08" w:rsidRPr="007F2971">
        <w:t>Pew Research Center</w:t>
      </w:r>
      <w:r w:rsidR="008F5A60" w:rsidRPr="007F2971">
        <w:t xml:space="preserve"> for the People &amp; the Press</w:t>
      </w:r>
    </w:p>
    <w:p w:rsidR="00D42F19" w:rsidRPr="007F2971" w:rsidRDefault="00CC2882">
      <w:pPr>
        <w:pStyle w:val="DocumentDate"/>
        <w:framePr w:hSpace="0" w:wrap="auto" w:vAnchor="margin" w:yAlign="inline"/>
        <w:spacing w:after="480"/>
        <w:ind w:left="360"/>
      </w:pPr>
      <w:r>
        <w:t>Ma</w:t>
      </w:r>
      <w:r w:rsidR="00B67D4D">
        <w:t>y</w:t>
      </w:r>
      <w:r w:rsidR="000A10AE" w:rsidRPr="007F2971">
        <w:t xml:space="preserve"> 2013</w:t>
      </w:r>
    </w:p>
    <w:p w:rsidR="00D42F19" w:rsidRPr="007F2971" w:rsidRDefault="00D42F19">
      <w:pPr>
        <w:pStyle w:val="BodyofReport"/>
        <w:ind w:firstLine="0"/>
        <w:rPr>
          <w:b/>
          <w:bCs/>
        </w:rPr>
      </w:pPr>
    </w:p>
    <w:p w:rsidR="00D42F19" w:rsidRPr="007F2971" w:rsidRDefault="00D42F19">
      <w:pPr>
        <w:pStyle w:val="BodyofReport"/>
        <w:ind w:firstLine="0"/>
        <w:rPr>
          <w:b/>
          <w:bCs/>
        </w:rPr>
      </w:pPr>
      <w:r w:rsidRPr="007F2971">
        <w:rPr>
          <w:b/>
          <w:bCs/>
        </w:rPr>
        <w:t>SUMMARY</w:t>
      </w:r>
    </w:p>
    <w:p w:rsidR="00D42F19" w:rsidRPr="007F2971" w:rsidRDefault="00D42F19">
      <w:pPr>
        <w:pStyle w:val="BodyofReport"/>
        <w:ind w:firstLine="0"/>
      </w:pPr>
    </w:p>
    <w:p w:rsidR="00D42F19" w:rsidRPr="007F2971" w:rsidRDefault="00D42F19" w:rsidP="00925BD1">
      <w:pPr>
        <w:pStyle w:val="BodyofReport"/>
      </w:pPr>
      <w:r w:rsidRPr="007F2971">
        <w:t xml:space="preserve">The </w:t>
      </w:r>
      <w:r w:rsidR="00CC2882">
        <w:t>Ma</w:t>
      </w:r>
      <w:r w:rsidR="00B67D4D">
        <w:t>y</w:t>
      </w:r>
      <w:r w:rsidR="000A10AE" w:rsidRPr="007F2971">
        <w:t xml:space="preserve"> </w:t>
      </w:r>
      <w:r w:rsidR="00CD24AC" w:rsidRPr="007F2971">
        <w:t>201</w:t>
      </w:r>
      <w:r w:rsidR="000A10AE" w:rsidRPr="007F2971">
        <w:t>3</w:t>
      </w:r>
      <w:r w:rsidR="00CD24AC" w:rsidRPr="007F2971">
        <w:t xml:space="preserve"> </w:t>
      </w:r>
      <w:r w:rsidR="000A10AE" w:rsidRPr="007F2971">
        <w:t>Political</w:t>
      </w:r>
      <w:r w:rsidR="00BF2CA6" w:rsidRPr="007F2971">
        <w:t xml:space="preserve"> </w:t>
      </w:r>
      <w:r w:rsidRPr="007F2971">
        <w:t xml:space="preserve">Survey, sponsored by </w:t>
      </w:r>
      <w:r w:rsidR="00815821" w:rsidRPr="007F2971">
        <w:t xml:space="preserve">the </w:t>
      </w:r>
      <w:r w:rsidR="00476D08" w:rsidRPr="007F2971">
        <w:t>Pew Research Center</w:t>
      </w:r>
      <w:r w:rsidR="008F5A60" w:rsidRPr="007F2971">
        <w:t xml:space="preserve"> for the People &amp; the Press</w:t>
      </w:r>
      <w:r w:rsidRPr="007F2971">
        <w:t xml:space="preserve">, obtained telephone interviews with a nationally representative sample of </w:t>
      </w:r>
      <w:r w:rsidR="007F2971" w:rsidRPr="007F2971">
        <w:t>1,50</w:t>
      </w:r>
      <w:r w:rsidR="00B67D4D">
        <w:t>4</w:t>
      </w:r>
      <w:r w:rsidRPr="007F2971">
        <w:t xml:space="preserve"> adults living in</w:t>
      </w:r>
      <w:r w:rsidR="00B65193" w:rsidRPr="007F2971">
        <w:t xml:space="preserve"> the</w:t>
      </w:r>
      <w:r w:rsidRPr="007F2971">
        <w:t xml:space="preserve"> United States. </w:t>
      </w:r>
      <w:r w:rsidR="00135EC7" w:rsidRPr="007F2971">
        <w:t>Interviews were conducted via landline (</w:t>
      </w:r>
      <w:proofErr w:type="spellStart"/>
      <w:r w:rsidR="00135EC7" w:rsidRPr="007F2971">
        <w:t>n</w:t>
      </w:r>
      <w:r w:rsidR="00135EC7" w:rsidRPr="007F2971">
        <w:rPr>
          <w:vertAlign w:val="subscript"/>
        </w:rPr>
        <w:t>LL</w:t>
      </w:r>
      <w:proofErr w:type="spellEnd"/>
      <w:r w:rsidR="00135EC7" w:rsidRPr="007F2971">
        <w:t>=</w:t>
      </w:r>
      <w:r w:rsidR="007F2971" w:rsidRPr="007F2971">
        <w:t>75</w:t>
      </w:r>
      <w:r w:rsidR="00CC2882">
        <w:t>1</w:t>
      </w:r>
      <w:r w:rsidR="001F0D99" w:rsidRPr="007F2971">
        <w:t>)</w:t>
      </w:r>
      <w:r w:rsidR="00135EC7" w:rsidRPr="007F2971">
        <w:t xml:space="preserve"> and cell phone (</w:t>
      </w:r>
      <w:proofErr w:type="spellStart"/>
      <w:proofErr w:type="gramStart"/>
      <w:r w:rsidR="00135EC7" w:rsidRPr="007F2971">
        <w:t>n</w:t>
      </w:r>
      <w:r w:rsidR="00135EC7" w:rsidRPr="007F2971">
        <w:rPr>
          <w:vertAlign w:val="subscript"/>
        </w:rPr>
        <w:t>C</w:t>
      </w:r>
      <w:proofErr w:type="spellEnd"/>
      <w:r w:rsidR="00135EC7" w:rsidRPr="007F2971">
        <w:t>=</w:t>
      </w:r>
      <w:proofErr w:type="gramEnd"/>
      <w:r w:rsidR="007F2971" w:rsidRPr="007F2971">
        <w:t>75</w:t>
      </w:r>
      <w:r w:rsidR="00CC2882">
        <w:t>3</w:t>
      </w:r>
      <w:r w:rsidR="00093852" w:rsidRPr="007F2971">
        <w:t>;</w:t>
      </w:r>
      <w:r w:rsidR="00D72C3C" w:rsidRPr="007F2971">
        <w:t xml:space="preserve"> including </w:t>
      </w:r>
      <w:r w:rsidR="00CC2882">
        <w:t>401</w:t>
      </w:r>
      <w:r w:rsidR="00D72C3C" w:rsidRPr="007F2971">
        <w:t xml:space="preserve"> without a landline phone</w:t>
      </w:r>
      <w:r w:rsidR="00135EC7" w:rsidRPr="007F2971">
        <w:t xml:space="preserve">). </w:t>
      </w:r>
      <w:r w:rsidRPr="007F2971">
        <w:t xml:space="preserve">The survey was </w:t>
      </w:r>
      <w:r w:rsidR="00206BE6" w:rsidRPr="007F2971">
        <w:t xml:space="preserve">conducted </w:t>
      </w:r>
      <w:r w:rsidRPr="007F2971">
        <w:t xml:space="preserve">by Princeton Survey Research </w:t>
      </w:r>
      <w:r w:rsidR="00776A42" w:rsidRPr="007F2971">
        <w:t xml:space="preserve">Associates </w:t>
      </w:r>
      <w:r w:rsidRPr="007F2971">
        <w:t xml:space="preserve">International. The interviews were </w:t>
      </w:r>
      <w:r w:rsidR="00206BE6" w:rsidRPr="007F2971">
        <w:t xml:space="preserve">administered </w:t>
      </w:r>
      <w:r w:rsidRPr="007F2971">
        <w:t>in English</w:t>
      </w:r>
      <w:r w:rsidR="00F2481A" w:rsidRPr="007F2971">
        <w:t xml:space="preserve"> and Spanish</w:t>
      </w:r>
      <w:r w:rsidR="00A71B44" w:rsidRPr="007F2971">
        <w:t xml:space="preserve"> </w:t>
      </w:r>
      <w:r w:rsidRPr="007F2971">
        <w:t xml:space="preserve">by </w:t>
      </w:r>
      <w:r w:rsidR="00476D08" w:rsidRPr="007F2971">
        <w:t>Princeton Data Source</w:t>
      </w:r>
      <w:r w:rsidR="008F5A60" w:rsidRPr="007F2971">
        <w:t xml:space="preserve"> </w:t>
      </w:r>
      <w:r w:rsidRPr="007F2971">
        <w:t xml:space="preserve">from </w:t>
      </w:r>
      <w:r w:rsidR="00CC2882">
        <w:t>May</w:t>
      </w:r>
      <w:r w:rsidR="007F2971" w:rsidRPr="007F2971">
        <w:t xml:space="preserve"> 1</w:t>
      </w:r>
      <w:r w:rsidR="00B67D4D">
        <w:t>-</w:t>
      </w:r>
      <w:r w:rsidR="00CC2882">
        <w:t>5</w:t>
      </w:r>
      <w:r w:rsidR="007F2971" w:rsidRPr="007F2971">
        <w:t>, 2013</w:t>
      </w:r>
      <w:r w:rsidR="00E0101D" w:rsidRPr="007F2971">
        <w:t>.</w:t>
      </w:r>
      <w:r w:rsidRPr="007F2971">
        <w:t xml:space="preserve"> Statistical results are weighted to correct kn</w:t>
      </w:r>
      <w:r w:rsidR="00B65193" w:rsidRPr="007F2971">
        <w:t xml:space="preserve">own demographic discrepancies. </w:t>
      </w:r>
      <w:r w:rsidRPr="007F2971">
        <w:t>The margin of sampling error for the complete set of weighted data is ±</w:t>
      </w:r>
      <w:r w:rsidR="007F2971" w:rsidRPr="007F2971">
        <w:t>2.9</w:t>
      </w:r>
      <w:r w:rsidR="007A4F5A" w:rsidRPr="007F2971">
        <w:t xml:space="preserve"> percentage points</w:t>
      </w:r>
      <w:r w:rsidRPr="007F2971">
        <w:t>.</w:t>
      </w:r>
    </w:p>
    <w:p w:rsidR="00D42F19" w:rsidRPr="007F2971" w:rsidRDefault="00D42F19">
      <w:pPr>
        <w:pStyle w:val="BodyofReport"/>
      </w:pPr>
      <w:r w:rsidRPr="007F2971">
        <w:t>Details on the design, execution and analysis of the survey are discussed below.</w:t>
      </w:r>
    </w:p>
    <w:p w:rsidR="00D42F19" w:rsidRPr="007F2971" w:rsidRDefault="00D42F19">
      <w:pPr>
        <w:pStyle w:val="BodyofReport"/>
        <w:ind w:firstLine="0"/>
        <w:rPr>
          <w:highlight w:val="yellow"/>
        </w:rPr>
      </w:pPr>
    </w:p>
    <w:p w:rsidR="00D42F19" w:rsidRPr="007F2971" w:rsidRDefault="00D42F19">
      <w:pPr>
        <w:pStyle w:val="Heading1"/>
        <w:rPr>
          <w:rFonts w:ascii="Times New Roman" w:hAnsi="Times New Roman"/>
          <w:caps/>
          <w:sz w:val="24"/>
        </w:rPr>
      </w:pPr>
      <w:r w:rsidRPr="007F2971">
        <w:rPr>
          <w:rFonts w:ascii="Times New Roman" w:hAnsi="Times New Roman"/>
          <w:caps/>
          <w:sz w:val="24"/>
        </w:rPr>
        <w:t>Design AND Data Collection Procedures</w:t>
      </w:r>
    </w:p>
    <w:p w:rsidR="00D42F19" w:rsidRPr="007F2971" w:rsidRDefault="00D42F19"/>
    <w:p w:rsidR="00D42F19" w:rsidRPr="007F2971" w:rsidRDefault="00D42F19">
      <w:pPr>
        <w:pStyle w:val="Heading4"/>
      </w:pPr>
      <w:r w:rsidRPr="007F2971">
        <w:t>Sample Design</w:t>
      </w:r>
    </w:p>
    <w:p w:rsidR="00D42F19" w:rsidRPr="007F2971" w:rsidRDefault="00D42F19">
      <w:pPr>
        <w:rPr>
          <w:b/>
          <w:bCs/>
        </w:rPr>
      </w:pPr>
    </w:p>
    <w:p w:rsidR="00E0101D" w:rsidRPr="007F2971" w:rsidRDefault="00035FB2">
      <w:pPr>
        <w:pStyle w:val="BodyofReport"/>
      </w:pPr>
      <w:r w:rsidRPr="007F2971">
        <w:t>A combination of landline and cellular random digit dial (RDD) samples was used to represent all adults in the United States who have access to either a landline or cellular telephone. Both samples were</w:t>
      </w:r>
      <w:r w:rsidR="00D42F19" w:rsidRPr="007F2971">
        <w:t xml:space="preserve"> provided by Survey Sampling International, LLC (SSI) acc</w:t>
      </w:r>
      <w:r w:rsidR="00E0101D" w:rsidRPr="007F2971">
        <w:t>ording to PSRAI specifications.</w:t>
      </w:r>
    </w:p>
    <w:p w:rsidR="00697535" w:rsidRPr="007F2971" w:rsidRDefault="00C67471" w:rsidP="00697535">
      <w:pPr>
        <w:pStyle w:val="BodyofReport"/>
      </w:pPr>
      <w:r w:rsidRPr="007F2971">
        <w:t xml:space="preserve">Numbers for the landline sample were drawn with equal probabilities from active blocks (area code + exchange + two-digit block number) that contained three or more residential directory listings. </w:t>
      </w:r>
      <w:r w:rsidR="00035FB2" w:rsidRPr="007F2971">
        <w:t>The cellular sample was not list-assisted, but was drawn through a systematic</w:t>
      </w:r>
      <w:r w:rsidR="00E0101D" w:rsidRPr="007F2971">
        <w:t xml:space="preserve"> sampling from </w:t>
      </w:r>
      <w:r w:rsidR="00697535" w:rsidRPr="007F2971">
        <w:t>dedicated wireless 100-blocks and shared service 100-blocks with no directory-listed landline numbers.</w:t>
      </w:r>
    </w:p>
    <w:p w:rsidR="00815821" w:rsidRPr="007F2971" w:rsidRDefault="00D42F19" w:rsidP="0022381D">
      <w:pPr>
        <w:pStyle w:val="Heading4"/>
        <w:spacing w:line="480" w:lineRule="auto"/>
        <w:rPr>
          <w:highlight w:val="yellow"/>
        </w:rPr>
      </w:pPr>
      <w:r w:rsidRPr="007F2971">
        <w:rPr>
          <w:b w:val="0"/>
          <w:bCs w:val="0"/>
          <w:highlight w:val="yellow"/>
        </w:rPr>
        <w:br w:type="page"/>
      </w:r>
    </w:p>
    <w:p w:rsidR="00D42F19" w:rsidRPr="007F2971" w:rsidRDefault="00D42F19">
      <w:pPr>
        <w:pStyle w:val="BodyofReport"/>
        <w:spacing w:line="480" w:lineRule="auto"/>
        <w:ind w:firstLine="0"/>
        <w:rPr>
          <w:b/>
          <w:bCs/>
        </w:rPr>
      </w:pPr>
      <w:r w:rsidRPr="007F2971">
        <w:rPr>
          <w:b/>
          <w:bCs/>
        </w:rPr>
        <w:lastRenderedPageBreak/>
        <w:t>Contact Procedures</w:t>
      </w:r>
    </w:p>
    <w:p w:rsidR="00612CFF" w:rsidRPr="007F2971" w:rsidRDefault="00D42F19" w:rsidP="00925BD1">
      <w:pPr>
        <w:pStyle w:val="BodyofReport"/>
      </w:pPr>
      <w:r w:rsidRPr="007F2971">
        <w:t xml:space="preserve">Interviews were conducted from </w:t>
      </w:r>
      <w:r w:rsidR="00CC2882">
        <w:t>May</w:t>
      </w:r>
      <w:r w:rsidR="00CC2882" w:rsidRPr="007F2971">
        <w:t xml:space="preserve"> 1</w:t>
      </w:r>
      <w:r w:rsidR="00CC2882">
        <w:t>-5</w:t>
      </w:r>
      <w:r w:rsidR="00CC2882" w:rsidRPr="007F2971">
        <w:t>, 2013</w:t>
      </w:r>
      <w:r w:rsidR="00081BBA" w:rsidRPr="007F2971">
        <w:t xml:space="preserve">. As many as </w:t>
      </w:r>
      <w:r w:rsidR="00C67471" w:rsidRPr="007F2971">
        <w:t>7</w:t>
      </w:r>
      <w:r w:rsidRPr="007F2971">
        <w:t xml:space="preserve">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w:t>
      </w:r>
      <w:r w:rsidR="0022381D" w:rsidRPr="007F2971">
        <w:t>Interviewing was spread as evenly as possible across the days in field.</w:t>
      </w:r>
      <w:r w:rsidR="00690A75" w:rsidRPr="007F2971">
        <w:t xml:space="preserve"> Each telephone number was called at least one time during the day in an attempt to complete an interview.</w:t>
      </w:r>
    </w:p>
    <w:p w:rsidR="00740FB6" w:rsidRPr="007F2971" w:rsidRDefault="00612CFF">
      <w:pPr>
        <w:pStyle w:val="BodyofReport"/>
      </w:pPr>
      <w:r w:rsidRPr="007F2971">
        <w:t>For the landline sample</w:t>
      </w:r>
      <w:r w:rsidR="00D42F19" w:rsidRPr="007F2971">
        <w:t xml:space="preserve">, interviewers asked to speak with the youngest adult male </w:t>
      </w:r>
      <w:r w:rsidR="003557C9" w:rsidRPr="007F2971">
        <w:t xml:space="preserve">or female </w:t>
      </w:r>
      <w:r w:rsidR="00D42F19" w:rsidRPr="007F2971">
        <w:t>currently at home</w:t>
      </w:r>
      <w:r w:rsidR="003557C9" w:rsidRPr="007F2971">
        <w:t xml:space="preserve"> based on a random rotation</w:t>
      </w:r>
      <w:r w:rsidR="00D42F19" w:rsidRPr="007F2971">
        <w:t>. If no male</w:t>
      </w:r>
      <w:r w:rsidR="003557C9" w:rsidRPr="007F2971">
        <w:t>/female</w:t>
      </w:r>
      <w:r w:rsidR="00D42F19" w:rsidRPr="007F2971">
        <w:t xml:space="preserve"> was available, interviewers asked to speak with the </w:t>
      </w:r>
      <w:r w:rsidR="00C26EE9" w:rsidRPr="007F2971">
        <w:t>younge</w:t>
      </w:r>
      <w:r w:rsidR="00D42F19" w:rsidRPr="007F2971">
        <w:t xml:space="preserve">st </w:t>
      </w:r>
      <w:r w:rsidR="003557C9" w:rsidRPr="007F2971">
        <w:t>adult of the other gender</w:t>
      </w:r>
      <w:r w:rsidR="00D42F19" w:rsidRPr="007F2971">
        <w:t>. This systematic respondent selection technique has been shown to produce samples that closely mirror the population in terms of age and gender</w:t>
      </w:r>
      <w:r w:rsidR="003557C9" w:rsidRPr="007F2971">
        <w:t xml:space="preserve"> when combined with cell interviewing</w:t>
      </w:r>
      <w:r w:rsidR="00D42F19" w:rsidRPr="007F2971">
        <w:t>.</w:t>
      </w:r>
    </w:p>
    <w:p w:rsidR="00D42F19" w:rsidRPr="007F2971" w:rsidRDefault="00612CFF">
      <w:pPr>
        <w:pStyle w:val="BodyofReport"/>
      </w:pPr>
      <w:r w:rsidRPr="007F2971">
        <w:t>For the cellular sample, interviews were conducted with the person who answered the phone. Interviewers verified that the person was an adult and in a safe place before administering the survey.</w:t>
      </w:r>
      <w:r w:rsidR="00A47AE8" w:rsidRPr="007F2971">
        <w:t xml:space="preserve"> </w:t>
      </w:r>
      <w:r w:rsidR="00FC014F" w:rsidRPr="007F2971">
        <w:t>Cellular respondents were offered a post-paid cash reimbursement for their participation.</w:t>
      </w:r>
    </w:p>
    <w:p w:rsidR="00D42F19" w:rsidRPr="007F2971" w:rsidRDefault="00D42F19">
      <w:pPr>
        <w:pStyle w:val="BodyofReport"/>
        <w:rPr>
          <w:highlight w:val="yellow"/>
        </w:rPr>
      </w:pPr>
    </w:p>
    <w:p w:rsidR="00D42F19" w:rsidRPr="000B7E56" w:rsidRDefault="00501888">
      <w:pPr>
        <w:pStyle w:val="Heading1"/>
        <w:rPr>
          <w:rFonts w:ascii="Times New Roman" w:hAnsi="Times New Roman"/>
          <w:caps/>
          <w:sz w:val="24"/>
        </w:rPr>
      </w:pPr>
      <w:r w:rsidRPr="007F2971">
        <w:rPr>
          <w:rFonts w:ascii="Times New Roman" w:hAnsi="Times New Roman"/>
          <w:caps/>
          <w:sz w:val="24"/>
          <w:highlight w:val="yellow"/>
        </w:rPr>
        <w:br w:type="page"/>
      </w:r>
      <w:r w:rsidR="00D42F19" w:rsidRPr="000B7E56">
        <w:rPr>
          <w:rFonts w:ascii="Times New Roman" w:hAnsi="Times New Roman"/>
          <w:caps/>
          <w:sz w:val="24"/>
        </w:rPr>
        <w:lastRenderedPageBreak/>
        <w:t>Weighting and analysis</w:t>
      </w:r>
    </w:p>
    <w:p w:rsidR="00D42F19" w:rsidRPr="000B7E56" w:rsidRDefault="00D42F19"/>
    <w:p w:rsidR="00501888" w:rsidRPr="000B7E56" w:rsidRDefault="00501888" w:rsidP="00501888">
      <w:pPr>
        <w:pStyle w:val="BodyofReport"/>
      </w:pPr>
      <w:r w:rsidRPr="000B7E56">
        <w:t>The first stage of weighting corrected for different probabilities of selection associated with the number of adults in each household and each respondent’s telephone usage patterns.</w:t>
      </w:r>
      <w:r w:rsidRPr="000B7E56">
        <w:rPr>
          <w:rStyle w:val="FootnoteReference"/>
        </w:rPr>
        <w:footnoteReference w:id="1"/>
      </w:r>
      <w:r w:rsidRPr="000B7E56">
        <w:t xml:space="preserve"> This weighting also adjusts for the overlapping landline and cell sample frames and the relative sizes of each frame and each sample.</w:t>
      </w:r>
    </w:p>
    <w:p w:rsidR="00501888" w:rsidRPr="007F2971" w:rsidRDefault="00501888" w:rsidP="00501888">
      <w:pPr>
        <w:widowControl/>
        <w:rPr>
          <w:highlight w:val="yellow"/>
        </w:rPr>
      </w:pPr>
    </w:p>
    <w:p w:rsidR="007F2971" w:rsidRPr="00A41B71" w:rsidRDefault="007F2971" w:rsidP="007F2971">
      <w:pPr>
        <w:pStyle w:val="BodyofReport"/>
      </w:pPr>
      <w:r>
        <w:t>The</w:t>
      </w:r>
      <w:r w:rsidRPr="00A41B71">
        <w:t xml:space="preserve"> first-stage weight for the i</w:t>
      </w:r>
      <w:r w:rsidRPr="00A41B71">
        <w:rPr>
          <w:vertAlign w:val="superscript"/>
        </w:rPr>
        <w:t>th</w:t>
      </w:r>
      <w:r w:rsidRPr="00A41B71">
        <w:t xml:space="preserve"> case can be expressed as:</w:t>
      </w:r>
    </w:p>
    <w:p w:rsidR="007F2971" w:rsidRPr="007F2971" w:rsidRDefault="00137615" w:rsidP="007F2971">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rsidR="007F2971" w:rsidRPr="00A41B71" w:rsidRDefault="007F2971" w:rsidP="007F2971">
      <w:pPr>
        <w:pStyle w:val="BodyofReport"/>
        <w:ind w:left="1710"/>
      </w:pPr>
    </w:p>
    <w:p w:rsidR="007F2971" w:rsidRPr="00A41B71" w:rsidRDefault="007F2971" w:rsidP="007F2971">
      <w:pPr>
        <w:pStyle w:val="BodyofReport"/>
      </w:pPr>
    </w:p>
    <w:p w:rsidR="007F2971" w:rsidRPr="00A41B71" w:rsidRDefault="007F2971" w:rsidP="007F2971">
      <w:pPr>
        <w:pStyle w:val="BodyofReport"/>
      </w:pPr>
      <w:r w:rsidRPr="00A41B71">
        <w:t xml:space="preserve">Where </w:t>
      </w:r>
      <w:r w:rsidRPr="00A41B71">
        <w:tab/>
        <w:t>S</w:t>
      </w:r>
      <w:r w:rsidRPr="00A41B71">
        <w:rPr>
          <w:vertAlign w:val="subscript"/>
        </w:rPr>
        <w:t>LL</w:t>
      </w:r>
      <w:r w:rsidRPr="00A41B71">
        <w:t xml:space="preserve"> = </w:t>
      </w:r>
      <w:r>
        <w:t>the size of the landline sample</w:t>
      </w:r>
    </w:p>
    <w:p w:rsidR="007F2971" w:rsidRDefault="007F2971" w:rsidP="007F2971">
      <w:pPr>
        <w:pStyle w:val="BodyofReport"/>
        <w:ind w:firstLine="1440"/>
      </w:pPr>
      <w:r>
        <w:t>F</w:t>
      </w:r>
      <w:r w:rsidRPr="00250C32">
        <w:rPr>
          <w:vertAlign w:val="subscript"/>
        </w:rPr>
        <w:t>LL</w:t>
      </w:r>
      <w:r>
        <w:t xml:space="preserve"> = the size of the landline sample frame</w:t>
      </w:r>
    </w:p>
    <w:p w:rsidR="007F2971" w:rsidRDefault="007F2971" w:rsidP="007F2971">
      <w:pPr>
        <w:pStyle w:val="BodyofReport"/>
        <w:ind w:firstLine="1440"/>
      </w:pPr>
      <w:r w:rsidRPr="00A41B71">
        <w:t>S</w:t>
      </w:r>
      <w:r w:rsidRPr="00A41B71">
        <w:rPr>
          <w:vertAlign w:val="subscript"/>
        </w:rPr>
        <w:t>CP</w:t>
      </w:r>
      <w:r w:rsidRPr="00A41B71">
        <w:t xml:space="preserve"> = </w:t>
      </w:r>
      <w:r>
        <w:t>the size of the cell sample</w:t>
      </w:r>
    </w:p>
    <w:p w:rsidR="007F2971" w:rsidRPr="00A41B71" w:rsidRDefault="007F2971" w:rsidP="007F2971">
      <w:pPr>
        <w:pStyle w:val="BodyofReport"/>
        <w:ind w:firstLine="1440"/>
      </w:pPr>
      <w:r>
        <w:t>F</w:t>
      </w:r>
      <w:r w:rsidRPr="00250C32">
        <w:rPr>
          <w:vertAlign w:val="subscript"/>
        </w:rPr>
        <w:t>CP</w:t>
      </w:r>
      <w:r>
        <w:t xml:space="preserve"> = the size of the cell sample frame</w:t>
      </w:r>
    </w:p>
    <w:p w:rsidR="007F2971" w:rsidRDefault="007F2971" w:rsidP="007F2971">
      <w:pPr>
        <w:pStyle w:val="BodyofReport"/>
        <w:ind w:firstLine="1440"/>
      </w:pPr>
      <w:r w:rsidRPr="00A41B71">
        <w:t>AD</w:t>
      </w:r>
      <w:r w:rsidRPr="00A41B71">
        <w:rPr>
          <w:vertAlign w:val="subscript"/>
        </w:rPr>
        <w:t>i</w:t>
      </w:r>
      <w:r>
        <w:t xml:space="preserve"> = Number of adults in </w:t>
      </w:r>
      <w:r w:rsidRPr="00A41B71">
        <w:t>household</w:t>
      </w:r>
      <w:r>
        <w:t xml:space="preserve"> </w:t>
      </w:r>
      <w:proofErr w:type="spellStart"/>
      <w:r>
        <w:t>i</w:t>
      </w:r>
      <w:proofErr w:type="spellEnd"/>
    </w:p>
    <w:p w:rsidR="007F2971" w:rsidRDefault="007F2971" w:rsidP="007F2971">
      <w:pPr>
        <w:pStyle w:val="BodyofReport"/>
        <w:ind w:firstLine="1440"/>
      </w:pPr>
      <w:proofErr w:type="spellStart"/>
      <w:r>
        <w:t>LL</w:t>
      </w:r>
      <w:r w:rsidRPr="00704960">
        <w:rPr>
          <w:vertAlign w:val="subscript"/>
        </w:rPr>
        <w:t>i</w:t>
      </w:r>
      <w:proofErr w:type="spellEnd"/>
      <w:r>
        <w:t xml:space="preserve">=1 if respondent </w:t>
      </w:r>
      <w:r w:rsidR="000B7E56">
        <w:t>has a</w:t>
      </w:r>
      <w:r>
        <w:t xml:space="preserve"> landline phone, otherwise LL=0.</w:t>
      </w:r>
    </w:p>
    <w:p w:rsidR="007F2971" w:rsidRPr="00A41B71" w:rsidRDefault="007F2971" w:rsidP="007F2971">
      <w:pPr>
        <w:pStyle w:val="BodyofReport"/>
        <w:ind w:firstLine="1440"/>
      </w:pPr>
      <w:proofErr w:type="spellStart"/>
      <w:proofErr w:type="gramStart"/>
      <w:r>
        <w:t>CP</w:t>
      </w:r>
      <w:r w:rsidRPr="00704960">
        <w:rPr>
          <w:vertAlign w:val="subscript"/>
        </w:rPr>
        <w:t>i</w:t>
      </w:r>
      <w:proofErr w:type="spellEnd"/>
      <w:r>
        <w:t>=</w:t>
      </w:r>
      <w:proofErr w:type="gramEnd"/>
      <w:r>
        <w:t xml:space="preserve">1 if respondent </w:t>
      </w:r>
      <w:r w:rsidR="000B7E56">
        <w:t>has</w:t>
      </w:r>
      <w:r>
        <w:t xml:space="preserve"> a cell phone, otherwise CP=0.</w:t>
      </w:r>
    </w:p>
    <w:p w:rsidR="00501888" w:rsidRPr="007F2971" w:rsidRDefault="00501888" w:rsidP="00501888">
      <w:pPr>
        <w:pStyle w:val="BodyofReport"/>
        <w:ind w:firstLine="1440"/>
        <w:rPr>
          <w:highlight w:val="yellow"/>
        </w:rPr>
      </w:pPr>
    </w:p>
    <w:p w:rsidR="00237F41" w:rsidRPr="000B7E56" w:rsidRDefault="00186489" w:rsidP="00F53785">
      <w:pPr>
        <w:pStyle w:val="BodyofReport"/>
        <w:spacing w:before="120"/>
      </w:pPr>
      <w:r w:rsidRPr="000B7E56">
        <w:t xml:space="preserve">The second stage of weighting balances sample demographics to population parameters. The sample is balanced </w:t>
      </w:r>
      <w:r w:rsidR="00925BD1" w:rsidRPr="000B7E56">
        <w:t xml:space="preserve">by form </w:t>
      </w:r>
      <w:r w:rsidRPr="000B7E56">
        <w:t>to match national population parameters for sex, age, education</w:t>
      </w:r>
      <w:r w:rsidR="00BF2CA6" w:rsidRPr="000B7E56">
        <w:rPr>
          <w:rStyle w:val="FootnoteReference"/>
        </w:rPr>
        <w:footnoteReference w:id="2"/>
      </w:r>
      <w:r w:rsidRPr="000B7E56">
        <w:t xml:space="preserve">, race, Hispanic origin, region (U.S. Census definitions), population density, and telephone usage. </w:t>
      </w:r>
      <w:r w:rsidR="00CC1A7F" w:rsidRPr="000B7E56">
        <w:t xml:space="preserve">The Hispanic origin was split </w:t>
      </w:r>
      <w:r w:rsidR="00BD4D52" w:rsidRPr="000B7E56">
        <w:t>out</w:t>
      </w:r>
      <w:r w:rsidR="00CC1A7F" w:rsidRPr="000B7E56">
        <w:t xml:space="preserve"> based on nativity</w:t>
      </w:r>
      <w:r w:rsidR="00BD4D52" w:rsidRPr="000B7E56">
        <w:t>; U.S born and non-U.S. born.</w:t>
      </w:r>
      <w:r w:rsidR="00CC1A7F" w:rsidRPr="000B7E56">
        <w:t xml:space="preserve"> </w:t>
      </w:r>
      <w:r w:rsidR="00C67471" w:rsidRPr="000B7E56">
        <w:t>The</w:t>
      </w:r>
      <w:r w:rsidR="00237F41" w:rsidRPr="000B7E56">
        <w:t xml:space="preserve"> White, non-Hispanic subgroup was</w:t>
      </w:r>
      <w:r w:rsidR="00C67471" w:rsidRPr="000B7E56">
        <w:t xml:space="preserve"> also balanced on age, education and region.</w:t>
      </w:r>
    </w:p>
    <w:p w:rsidR="000B7E56" w:rsidRDefault="000B7E56" w:rsidP="00F53785">
      <w:pPr>
        <w:pStyle w:val="BodyofReport"/>
        <w:spacing w:before="120"/>
        <w:rPr>
          <w:highlight w:val="yellow"/>
        </w:rPr>
      </w:pPr>
      <w:r w:rsidRPr="001A4256">
        <w:t>The basic weighting parameters came from the US Census Bureau’s 2011 American Community Survey data.</w:t>
      </w:r>
      <w:r w:rsidRPr="001A4256">
        <w:rPr>
          <w:rStyle w:val="FootnoteReference"/>
        </w:rPr>
        <w:footnoteReference w:id="3"/>
      </w:r>
      <w:r w:rsidRPr="001A4256">
        <w:t xml:space="preserve"> The population density param</w:t>
      </w:r>
      <w:r>
        <w:t>eter was derived from Census 201</w:t>
      </w:r>
      <w:r w:rsidRPr="001A4256">
        <w:t>0 data. The</w:t>
      </w:r>
      <w:r w:rsidRPr="00A41B71">
        <w:t xml:space="preserve"> telephone usage parameter came from an analysis of the </w:t>
      </w:r>
      <w:r>
        <w:t>January</w:t>
      </w:r>
      <w:r w:rsidRPr="00A41B71">
        <w:t>-</w:t>
      </w:r>
      <w:r>
        <w:t>June</w:t>
      </w:r>
      <w:r w:rsidRPr="00A41B71">
        <w:t xml:space="preserve"> 201</w:t>
      </w:r>
      <w:r>
        <w:t>2</w:t>
      </w:r>
      <w:r w:rsidRPr="00A41B71">
        <w:t xml:space="preserve"> National Health Interview Survey.</w:t>
      </w:r>
      <w:r w:rsidRPr="00A41B71">
        <w:rPr>
          <w:rStyle w:val="FootnoteReference"/>
        </w:rPr>
        <w:footnoteReference w:id="4"/>
      </w:r>
      <w:r w:rsidR="007D7B85" w:rsidRPr="007F2971">
        <w:rPr>
          <w:highlight w:val="yellow"/>
        </w:rPr>
        <w:t xml:space="preserve"> </w:t>
      </w:r>
    </w:p>
    <w:p w:rsidR="000B7E56" w:rsidRDefault="000B7E56">
      <w:pPr>
        <w:widowControl/>
        <w:rPr>
          <w:snapToGrid/>
          <w:highlight w:val="yellow"/>
        </w:rPr>
      </w:pPr>
      <w:r>
        <w:rPr>
          <w:highlight w:val="yellow"/>
        </w:rPr>
        <w:br w:type="page"/>
      </w:r>
    </w:p>
    <w:p w:rsidR="007D7B85" w:rsidRPr="007F2971" w:rsidRDefault="007D7B85" w:rsidP="00F53785">
      <w:pPr>
        <w:pStyle w:val="BodyofReport"/>
        <w:spacing w:before="120"/>
        <w:rPr>
          <w:highlight w:val="yellow"/>
        </w:rPr>
      </w:pPr>
    </w:p>
    <w:p w:rsidR="000B7E56" w:rsidRDefault="00D42F19">
      <w:pPr>
        <w:pStyle w:val="BodyofReport"/>
      </w:pPr>
      <w:r w:rsidRPr="000B7E56">
        <w:t xml:space="preserve">Weighting was accomplished using Sample Balancing, a special iterative sample weighting program that simultaneously balances the distributions of all variables using a statistical technique called the </w:t>
      </w:r>
      <w:r w:rsidRPr="000B7E56">
        <w:rPr>
          <w:i/>
          <w:iCs/>
        </w:rPr>
        <w:t>Deming Algorithm</w:t>
      </w:r>
      <w:r w:rsidRPr="000B7E56">
        <w:t xml:space="preserve">. Weights were </w:t>
      </w:r>
      <w:r w:rsidRPr="000B7E56">
        <w:rPr>
          <w:iCs/>
        </w:rPr>
        <w:t>trimmed</w:t>
      </w:r>
      <w:r w:rsidRPr="000B7E56">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1 compares weighted and unweighted sample distributions to population parameters.</w:t>
      </w:r>
    </w:p>
    <w:p w:rsidR="000B7E56" w:rsidRDefault="000B7E56">
      <w:pPr>
        <w:widowControl/>
        <w:rPr>
          <w:snapToGrid/>
        </w:rPr>
      </w:pPr>
      <w:r>
        <w:br w:type="page"/>
      </w:r>
    </w:p>
    <w:p w:rsidR="007A4F5A" w:rsidRDefault="007A4F5A">
      <w:pPr>
        <w:pStyle w:val="BodyofReport"/>
      </w:pPr>
    </w:p>
    <w:tbl>
      <w:tblPr>
        <w:tblW w:w="6820" w:type="dxa"/>
        <w:jc w:val="center"/>
        <w:tblInd w:w="558" w:type="dxa"/>
        <w:tblLook w:val="04A0" w:firstRow="1" w:lastRow="0" w:firstColumn="1" w:lastColumn="0" w:noHBand="0" w:noVBand="1"/>
      </w:tblPr>
      <w:tblGrid>
        <w:gridCol w:w="3055"/>
        <w:gridCol w:w="1195"/>
        <w:gridCol w:w="1350"/>
        <w:gridCol w:w="1220"/>
      </w:tblGrid>
      <w:tr w:rsidR="007D3E8C" w:rsidRPr="007D3E8C" w:rsidTr="00137615">
        <w:trPr>
          <w:trHeight w:val="255"/>
          <w:jc w:val="center"/>
        </w:trPr>
        <w:tc>
          <w:tcPr>
            <w:tcW w:w="4250" w:type="dxa"/>
            <w:gridSpan w:val="2"/>
            <w:tcBorders>
              <w:top w:val="nil"/>
              <w:left w:val="nil"/>
              <w:bottom w:val="single" w:sz="4" w:space="0" w:color="auto"/>
              <w:right w:val="nil"/>
            </w:tcBorders>
            <w:shd w:val="clear" w:color="auto" w:fill="auto"/>
            <w:noWrap/>
            <w:vAlign w:val="bottom"/>
            <w:hideMark/>
          </w:tcPr>
          <w:p w:rsidR="007D3E8C" w:rsidRPr="007D3E8C" w:rsidRDefault="007D3E8C" w:rsidP="007D3E8C">
            <w:pPr>
              <w:widowControl/>
              <w:rPr>
                <w:rFonts w:ascii="Arial" w:hAnsi="Arial" w:cs="Arial"/>
                <w:b/>
                <w:bCs/>
                <w:snapToGrid/>
                <w:sz w:val="20"/>
              </w:rPr>
            </w:pPr>
            <w:r w:rsidRPr="007D3E8C">
              <w:rPr>
                <w:rFonts w:ascii="Arial" w:hAnsi="Arial" w:cs="Arial"/>
                <w:b/>
                <w:bCs/>
                <w:snapToGrid/>
                <w:sz w:val="20"/>
              </w:rPr>
              <w:t>Table 1: Sample Demographics</w:t>
            </w:r>
          </w:p>
        </w:tc>
        <w:tc>
          <w:tcPr>
            <w:tcW w:w="1350" w:type="dxa"/>
            <w:tcBorders>
              <w:top w:val="nil"/>
              <w:left w:val="nil"/>
              <w:bottom w:val="single" w:sz="4" w:space="0" w:color="auto"/>
              <w:right w:val="nil"/>
            </w:tcBorders>
            <w:shd w:val="clear" w:color="auto" w:fill="auto"/>
            <w:vAlign w:val="bottom"/>
            <w:hideMark/>
          </w:tcPr>
          <w:p w:rsidR="007D3E8C" w:rsidRPr="007D3E8C" w:rsidRDefault="007D3E8C" w:rsidP="007D3E8C">
            <w:pPr>
              <w:widowControl/>
              <w:jc w:val="center"/>
              <w:rPr>
                <w:rFonts w:ascii="Arial" w:hAnsi="Arial" w:cs="Arial"/>
                <w:b/>
                <w:bCs/>
                <w:snapToGrid/>
                <w:sz w:val="20"/>
              </w:rPr>
            </w:pPr>
            <w:r w:rsidRPr="007D3E8C">
              <w:rPr>
                <w:rFonts w:ascii="Arial" w:hAnsi="Arial" w:cs="Arial"/>
                <w:b/>
                <w:bCs/>
                <w:snapToGrid/>
                <w:sz w:val="20"/>
              </w:rPr>
              <w:t> </w:t>
            </w:r>
          </w:p>
        </w:tc>
        <w:tc>
          <w:tcPr>
            <w:tcW w:w="1220" w:type="dxa"/>
            <w:tcBorders>
              <w:top w:val="nil"/>
              <w:left w:val="nil"/>
              <w:bottom w:val="single" w:sz="4" w:space="0" w:color="auto"/>
              <w:right w:val="nil"/>
            </w:tcBorders>
            <w:shd w:val="clear" w:color="auto" w:fill="auto"/>
            <w:vAlign w:val="bottom"/>
            <w:hideMark/>
          </w:tcPr>
          <w:p w:rsidR="007D3E8C" w:rsidRPr="007D3E8C" w:rsidRDefault="007D3E8C" w:rsidP="007D3E8C">
            <w:pPr>
              <w:widowControl/>
              <w:jc w:val="right"/>
              <w:rPr>
                <w:rFonts w:ascii="Arial" w:hAnsi="Arial" w:cs="Arial"/>
                <w:b/>
                <w:bCs/>
                <w:snapToGrid/>
                <w:sz w:val="20"/>
              </w:rPr>
            </w:pPr>
            <w:r w:rsidRPr="007D3E8C">
              <w:rPr>
                <w:rFonts w:ascii="Arial" w:hAnsi="Arial" w:cs="Arial"/>
                <w:b/>
                <w:bCs/>
                <w:snapToGrid/>
                <w:sz w:val="20"/>
              </w:rPr>
              <w:t> </w:t>
            </w:r>
          </w:p>
        </w:tc>
      </w:tr>
      <w:tr w:rsidR="007D3E8C" w:rsidRPr="007D3E8C" w:rsidTr="00137615">
        <w:trPr>
          <w:trHeight w:val="255"/>
          <w:jc w:val="center"/>
        </w:trPr>
        <w:tc>
          <w:tcPr>
            <w:tcW w:w="3055" w:type="dxa"/>
            <w:tcBorders>
              <w:top w:val="single" w:sz="4" w:space="0" w:color="auto"/>
              <w:left w:val="nil"/>
              <w:right w:val="nil"/>
            </w:tcBorders>
            <w:shd w:val="clear" w:color="auto" w:fill="auto"/>
            <w:noWrap/>
            <w:vAlign w:val="bottom"/>
            <w:hideMark/>
          </w:tcPr>
          <w:p w:rsidR="007D3E8C" w:rsidRPr="007D3E8C" w:rsidRDefault="007D3E8C" w:rsidP="007D3E8C">
            <w:pPr>
              <w:widowControl/>
              <w:jc w:val="right"/>
              <w:rPr>
                <w:rFonts w:ascii="Arial" w:hAnsi="Arial" w:cs="Arial"/>
                <w:bCs/>
                <w:snapToGrid/>
                <w:sz w:val="20"/>
                <w:u w:val="single"/>
              </w:rPr>
            </w:pPr>
          </w:p>
        </w:tc>
        <w:tc>
          <w:tcPr>
            <w:tcW w:w="1195" w:type="dxa"/>
            <w:tcBorders>
              <w:top w:val="single" w:sz="4" w:space="0" w:color="auto"/>
              <w:left w:val="nil"/>
              <w:right w:val="nil"/>
            </w:tcBorders>
            <w:shd w:val="clear" w:color="auto" w:fill="auto"/>
            <w:noWrap/>
            <w:vAlign w:val="bottom"/>
            <w:hideMark/>
          </w:tcPr>
          <w:p w:rsidR="007D3E8C" w:rsidRPr="007D3E8C" w:rsidRDefault="007D3E8C" w:rsidP="007D3E8C">
            <w:pPr>
              <w:widowControl/>
              <w:jc w:val="right"/>
              <w:rPr>
                <w:rFonts w:ascii="Arial" w:hAnsi="Arial" w:cs="Arial"/>
                <w:bCs/>
                <w:snapToGrid/>
                <w:sz w:val="20"/>
                <w:u w:val="single"/>
              </w:rPr>
            </w:pPr>
            <w:r w:rsidRPr="007D3E8C">
              <w:rPr>
                <w:rFonts w:ascii="Arial" w:hAnsi="Arial" w:cs="Arial"/>
                <w:bCs/>
                <w:snapToGrid/>
                <w:sz w:val="20"/>
                <w:u w:val="single"/>
              </w:rPr>
              <w:t>Parameter</w:t>
            </w:r>
          </w:p>
        </w:tc>
        <w:tc>
          <w:tcPr>
            <w:tcW w:w="1350" w:type="dxa"/>
            <w:tcBorders>
              <w:top w:val="single" w:sz="4" w:space="0" w:color="auto"/>
              <w:left w:val="nil"/>
              <w:right w:val="nil"/>
            </w:tcBorders>
            <w:shd w:val="clear" w:color="auto" w:fill="auto"/>
            <w:vAlign w:val="bottom"/>
            <w:hideMark/>
          </w:tcPr>
          <w:p w:rsidR="007D3E8C" w:rsidRPr="007D3E8C" w:rsidRDefault="007D3E8C" w:rsidP="007D3E8C">
            <w:pPr>
              <w:widowControl/>
              <w:jc w:val="center"/>
              <w:rPr>
                <w:rFonts w:ascii="Arial" w:hAnsi="Arial" w:cs="Arial"/>
                <w:bCs/>
                <w:snapToGrid/>
                <w:sz w:val="20"/>
                <w:u w:val="single"/>
              </w:rPr>
            </w:pPr>
            <w:r w:rsidRPr="007D3E8C">
              <w:rPr>
                <w:rFonts w:ascii="Arial" w:hAnsi="Arial" w:cs="Arial"/>
                <w:bCs/>
                <w:snapToGrid/>
                <w:sz w:val="20"/>
                <w:u w:val="single"/>
              </w:rPr>
              <w:t>Unweighted</w:t>
            </w:r>
          </w:p>
        </w:tc>
        <w:tc>
          <w:tcPr>
            <w:tcW w:w="1220" w:type="dxa"/>
            <w:tcBorders>
              <w:top w:val="single" w:sz="4" w:space="0" w:color="auto"/>
              <w:left w:val="nil"/>
              <w:right w:val="nil"/>
            </w:tcBorders>
            <w:shd w:val="clear" w:color="auto" w:fill="auto"/>
            <w:vAlign w:val="bottom"/>
            <w:hideMark/>
          </w:tcPr>
          <w:p w:rsidR="007D3E8C" w:rsidRPr="007D3E8C" w:rsidRDefault="007D3E8C" w:rsidP="007D3E8C">
            <w:pPr>
              <w:widowControl/>
              <w:jc w:val="center"/>
              <w:rPr>
                <w:rFonts w:ascii="Arial" w:hAnsi="Arial" w:cs="Arial"/>
                <w:bCs/>
                <w:snapToGrid/>
                <w:sz w:val="20"/>
                <w:u w:val="single"/>
              </w:rPr>
            </w:pPr>
            <w:r w:rsidRPr="007D3E8C">
              <w:rPr>
                <w:rFonts w:ascii="Arial" w:hAnsi="Arial" w:cs="Arial"/>
                <w:bCs/>
                <w:snapToGrid/>
                <w:sz w:val="20"/>
                <w:u w:val="single"/>
              </w:rPr>
              <w:t>Weight</w:t>
            </w:r>
          </w:p>
        </w:tc>
      </w:tr>
      <w:tr w:rsidR="007D3E8C" w:rsidRPr="007D3E8C" w:rsidTr="007D3E8C">
        <w:trPr>
          <w:trHeight w:val="255"/>
          <w:jc w:val="center"/>
        </w:trPr>
        <w:tc>
          <w:tcPr>
            <w:tcW w:w="3055" w:type="dxa"/>
            <w:tcBorders>
              <w:left w:val="nil"/>
              <w:bottom w:val="nil"/>
              <w:right w:val="nil"/>
            </w:tcBorders>
            <w:shd w:val="clear" w:color="auto" w:fill="auto"/>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Gender</w:t>
            </w:r>
          </w:p>
        </w:tc>
        <w:tc>
          <w:tcPr>
            <w:tcW w:w="1195" w:type="dxa"/>
            <w:tcBorders>
              <w:left w:val="nil"/>
              <w:bottom w:val="nil"/>
              <w:right w:val="nil"/>
            </w:tcBorders>
            <w:shd w:val="clear" w:color="auto" w:fill="auto"/>
            <w:vAlign w:val="bottom"/>
            <w:hideMark/>
          </w:tcPr>
          <w:p w:rsidR="007D3E8C" w:rsidRPr="007D3E8C" w:rsidRDefault="007D3E8C" w:rsidP="007D3E8C">
            <w:pPr>
              <w:widowControl/>
              <w:jc w:val="center"/>
              <w:rPr>
                <w:rFonts w:ascii="Arial" w:hAnsi="Arial" w:cs="Arial"/>
                <w:b/>
                <w:bCs/>
                <w:snapToGrid/>
                <w:sz w:val="20"/>
              </w:rPr>
            </w:pPr>
          </w:p>
        </w:tc>
        <w:tc>
          <w:tcPr>
            <w:tcW w:w="1350" w:type="dxa"/>
            <w:tcBorders>
              <w:left w:val="nil"/>
              <w:bottom w:val="nil"/>
              <w:right w:val="nil"/>
            </w:tcBorders>
            <w:shd w:val="clear" w:color="auto" w:fill="auto"/>
            <w:vAlign w:val="bottom"/>
            <w:hideMark/>
          </w:tcPr>
          <w:p w:rsidR="007D3E8C" w:rsidRPr="007D3E8C" w:rsidRDefault="007D3E8C" w:rsidP="007D3E8C">
            <w:pPr>
              <w:widowControl/>
              <w:jc w:val="center"/>
              <w:rPr>
                <w:rFonts w:ascii="Arial" w:hAnsi="Arial" w:cs="Arial"/>
                <w:b/>
                <w:bCs/>
                <w:snapToGrid/>
                <w:sz w:val="20"/>
              </w:rPr>
            </w:pPr>
          </w:p>
        </w:tc>
        <w:tc>
          <w:tcPr>
            <w:tcW w:w="1220" w:type="dxa"/>
            <w:tcBorders>
              <w:left w:val="nil"/>
              <w:bottom w:val="nil"/>
              <w:right w:val="nil"/>
            </w:tcBorders>
            <w:shd w:val="clear" w:color="auto" w:fill="auto"/>
            <w:vAlign w:val="bottom"/>
            <w:hideMark/>
          </w:tcPr>
          <w:p w:rsidR="007D3E8C" w:rsidRPr="007D3E8C" w:rsidRDefault="007D3E8C" w:rsidP="007D3E8C">
            <w:pPr>
              <w:widowControl/>
              <w:jc w:val="right"/>
              <w:rPr>
                <w:rFonts w:ascii="Arial" w:hAnsi="Arial" w:cs="Arial"/>
                <w:b/>
                <w:bCs/>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Male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48.2%</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49.1%</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48.2%</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Female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51.8%</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50.9%</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51.8%</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Age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18-24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13.2%</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10.0%</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13.3%</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25-34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17.4%</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13.8%</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17.3%</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35-44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17.3%</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12.1%</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17.1%</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45-54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18.9%</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16.8%</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19.0%</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55-64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16.1%</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18.9%</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15.6%</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65+</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17.1%</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28.4%</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17.7%</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Education</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HS Graduate or Less</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42.3%</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32.6%</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41.2%</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Some College/Assoc</w:t>
            </w:r>
            <w:r>
              <w:rPr>
                <w:rFonts w:ascii="Arial" w:hAnsi="Arial" w:cs="Arial"/>
                <w:snapToGrid/>
                <w:sz w:val="20"/>
              </w:rPr>
              <w:t>.</w:t>
            </w:r>
            <w:r w:rsidRPr="007D3E8C">
              <w:rPr>
                <w:rFonts w:ascii="Arial" w:hAnsi="Arial" w:cs="Arial"/>
                <w:snapToGrid/>
                <w:sz w:val="20"/>
              </w:rPr>
              <w:t xml:space="preserve"> Degree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31.3%</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27.7%</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31.5%</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College Graduate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26.4%</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39.7%</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27.3%</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Race/Ethnicity</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White/not Hispanic</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66.7%</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72.3%</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66.9%</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Black/not Hispanic</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11.5%</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9.6%</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11.4%</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roofErr w:type="spellStart"/>
            <w:r w:rsidRPr="007D3E8C">
              <w:rPr>
                <w:rFonts w:ascii="Arial" w:hAnsi="Arial" w:cs="Arial"/>
                <w:snapToGrid/>
                <w:sz w:val="20"/>
              </w:rPr>
              <w:t>Hisp</w:t>
            </w:r>
            <w:proofErr w:type="spellEnd"/>
            <w:r w:rsidRPr="007D3E8C">
              <w:rPr>
                <w:rFonts w:ascii="Arial" w:hAnsi="Arial" w:cs="Arial"/>
                <w:snapToGrid/>
                <w:sz w:val="20"/>
              </w:rPr>
              <w:t xml:space="preserve"> - US born</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7.1%</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6.1%</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7.1%</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roofErr w:type="spellStart"/>
            <w:r w:rsidRPr="007D3E8C">
              <w:rPr>
                <w:rFonts w:ascii="Arial" w:hAnsi="Arial" w:cs="Arial"/>
                <w:snapToGrid/>
                <w:sz w:val="20"/>
              </w:rPr>
              <w:t>Hisp</w:t>
            </w:r>
            <w:proofErr w:type="spellEnd"/>
            <w:r w:rsidRPr="007D3E8C">
              <w:rPr>
                <w:rFonts w:ascii="Arial" w:hAnsi="Arial" w:cs="Arial"/>
                <w:snapToGrid/>
                <w:sz w:val="20"/>
              </w:rPr>
              <w:t xml:space="preserve"> - born outside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7.4%</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4.9%</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7.0%</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Other/not Hispanic</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7.3%</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7.1%</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7.6%</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Region</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Northeast</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18.2%</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17.3%</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19.0%</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Midwest</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21.5%</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23.7%</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21.8%</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South</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37.1%</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34.6%</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37.0%</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West</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23.2%</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24.3%</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22.2%</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County Pop. Density</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1 - Lowest</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19.9%</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23.7%</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20.3%</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2</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20.0%</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21.2%</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20.2%</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3</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20.1%</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19.6%</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20.0%</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4</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20.0%</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19.0%</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19.9%</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5 - Highest</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20.0%</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16.5%</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19.5%</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u w:val="single"/>
              </w:rPr>
            </w:pPr>
            <w:r w:rsidRPr="007D3E8C">
              <w:rPr>
                <w:rFonts w:ascii="Arial" w:hAnsi="Arial" w:cs="Arial"/>
                <w:snapToGrid/>
                <w:sz w:val="20"/>
                <w:u w:val="single"/>
              </w:rPr>
              <w:t>Household Phone Use</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rPr>
                <w:rFonts w:ascii="Arial" w:hAnsi="Arial" w:cs="Arial"/>
                <w:snapToGrid/>
                <w:sz w:val="20"/>
              </w:rPr>
            </w:pP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LLO</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7.0%</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4.6%</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6.2%</w:t>
            </w:r>
          </w:p>
        </w:tc>
      </w:tr>
      <w:tr w:rsidR="007D3E8C" w:rsidRPr="007D3E8C" w:rsidTr="007D3E8C">
        <w:trPr>
          <w:trHeight w:val="255"/>
          <w:jc w:val="center"/>
        </w:trPr>
        <w:tc>
          <w:tcPr>
            <w:tcW w:w="3055" w:type="dxa"/>
            <w:tcBorders>
              <w:top w:val="nil"/>
              <w:left w:val="nil"/>
              <w:bottom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Dual - few,</w:t>
            </w:r>
            <w:r>
              <w:rPr>
                <w:rFonts w:ascii="Arial" w:hAnsi="Arial" w:cs="Arial"/>
                <w:snapToGrid/>
                <w:sz w:val="20"/>
              </w:rPr>
              <w:t xml:space="preserve"> </w:t>
            </w:r>
            <w:r w:rsidRPr="007D3E8C">
              <w:rPr>
                <w:rFonts w:ascii="Arial" w:hAnsi="Arial" w:cs="Arial"/>
                <w:snapToGrid/>
                <w:sz w:val="20"/>
              </w:rPr>
              <w:t>some cell</w:t>
            </w:r>
          </w:p>
        </w:tc>
        <w:tc>
          <w:tcPr>
            <w:tcW w:w="1195"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38.2%</w:t>
            </w:r>
          </w:p>
        </w:tc>
        <w:tc>
          <w:tcPr>
            <w:tcW w:w="135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50.3%</w:t>
            </w:r>
          </w:p>
        </w:tc>
        <w:tc>
          <w:tcPr>
            <w:tcW w:w="1220" w:type="dxa"/>
            <w:tcBorders>
              <w:top w:val="nil"/>
              <w:left w:val="nil"/>
              <w:bottom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38.9%</w:t>
            </w:r>
          </w:p>
        </w:tc>
      </w:tr>
      <w:tr w:rsidR="007D3E8C" w:rsidRPr="007D3E8C" w:rsidTr="007D3E8C">
        <w:trPr>
          <w:trHeight w:val="255"/>
          <w:jc w:val="center"/>
        </w:trPr>
        <w:tc>
          <w:tcPr>
            <w:tcW w:w="3055" w:type="dxa"/>
            <w:tcBorders>
              <w:top w:val="nil"/>
              <w:left w:val="nil"/>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Dual - most cell</w:t>
            </w:r>
          </w:p>
        </w:tc>
        <w:tc>
          <w:tcPr>
            <w:tcW w:w="1195" w:type="dxa"/>
            <w:tcBorders>
              <w:top w:val="nil"/>
              <w:left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18.0%</w:t>
            </w:r>
          </w:p>
        </w:tc>
        <w:tc>
          <w:tcPr>
            <w:tcW w:w="1350" w:type="dxa"/>
            <w:tcBorders>
              <w:top w:val="nil"/>
              <w:left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18.3%</w:t>
            </w:r>
          </w:p>
        </w:tc>
        <w:tc>
          <w:tcPr>
            <w:tcW w:w="1220" w:type="dxa"/>
            <w:tcBorders>
              <w:top w:val="nil"/>
              <w:left w:val="nil"/>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18.2%</w:t>
            </w:r>
          </w:p>
        </w:tc>
      </w:tr>
      <w:tr w:rsidR="007D3E8C" w:rsidRPr="007D3E8C" w:rsidTr="007D3E8C">
        <w:trPr>
          <w:trHeight w:val="255"/>
          <w:jc w:val="center"/>
        </w:trPr>
        <w:tc>
          <w:tcPr>
            <w:tcW w:w="3055" w:type="dxa"/>
            <w:tcBorders>
              <w:top w:val="nil"/>
              <w:left w:val="nil"/>
              <w:bottom w:val="single" w:sz="4" w:space="0" w:color="auto"/>
              <w:right w:val="nil"/>
            </w:tcBorders>
            <w:shd w:val="clear" w:color="auto" w:fill="auto"/>
            <w:noWrap/>
            <w:vAlign w:val="bottom"/>
            <w:hideMark/>
          </w:tcPr>
          <w:p w:rsidR="007D3E8C" w:rsidRPr="007D3E8C" w:rsidRDefault="007D3E8C" w:rsidP="007D3E8C">
            <w:pPr>
              <w:widowControl/>
              <w:jc w:val="right"/>
              <w:rPr>
                <w:rFonts w:ascii="Arial" w:hAnsi="Arial" w:cs="Arial"/>
                <w:snapToGrid/>
                <w:sz w:val="20"/>
              </w:rPr>
            </w:pPr>
            <w:r w:rsidRPr="007D3E8C">
              <w:rPr>
                <w:rFonts w:ascii="Arial" w:hAnsi="Arial" w:cs="Arial"/>
                <w:snapToGrid/>
                <w:sz w:val="20"/>
              </w:rPr>
              <w:t>CPO</w:t>
            </w:r>
          </w:p>
        </w:tc>
        <w:tc>
          <w:tcPr>
            <w:tcW w:w="1195" w:type="dxa"/>
            <w:tcBorders>
              <w:top w:val="nil"/>
              <w:left w:val="nil"/>
              <w:bottom w:val="single" w:sz="4" w:space="0" w:color="auto"/>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36.8%</w:t>
            </w:r>
          </w:p>
        </w:tc>
        <w:tc>
          <w:tcPr>
            <w:tcW w:w="1350" w:type="dxa"/>
            <w:tcBorders>
              <w:top w:val="nil"/>
              <w:left w:val="nil"/>
              <w:bottom w:val="single" w:sz="4" w:space="0" w:color="auto"/>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26.9%</w:t>
            </w:r>
          </w:p>
        </w:tc>
        <w:tc>
          <w:tcPr>
            <w:tcW w:w="1220" w:type="dxa"/>
            <w:tcBorders>
              <w:top w:val="nil"/>
              <w:left w:val="nil"/>
              <w:bottom w:val="single" w:sz="4" w:space="0" w:color="auto"/>
              <w:right w:val="nil"/>
            </w:tcBorders>
            <w:shd w:val="clear" w:color="auto" w:fill="auto"/>
            <w:noWrap/>
            <w:vAlign w:val="bottom"/>
            <w:hideMark/>
          </w:tcPr>
          <w:p w:rsidR="007D3E8C" w:rsidRPr="007D3E8C" w:rsidRDefault="007D3E8C" w:rsidP="007D3E8C">
            <w:pPr>
              <w:widowControl/>
              <w:jc w:val="center"/>
              <w:rPr>
                <w:rFonts w:ascii="Arial" w:hAnsi="Arial" w:cs="Arial"/>
                <w:snapToGrid/>
                <w:sz w:val="20"/>
              </w:rPr>
            </w:pPr>
            <w:r w:rsidRPr="007D3E8C">
              <w:rPr>
                <w:rFonts w:ascii="Arial" w:hAnsi="Arial" w:cs="Arial"/>
                <w:snapToGrid/>
                <w:sz w:val="20"/>
              </w:rPr>
              <w:t>36.8%</w:t>
            </w:r>
          </w:p>
        </w:tc>
      </w:tr>
    </w:tbl>
    <w:p w:rsidR="007D3E8C" w:rsidRDefault="007D3E8C">
      <w:pPr>
        <w:pStyle w:val="BodyofReport"/>
      </w:pPr>
    </w:p>
    <w:p w:rsidR="00DC52BB" w:rsidRPr="007F2971" w:rsidRDefault="00DC52BB">
      <w:pPr>
        <w:pStyle w:val="BodyofReport"/>
        <w:rPr>
          <w:highlight w:val="yellow"/>
        </w:rPr>
      </w:pPr>
      <w:r w:rsidRPr="007F2971">
        <w:rPr>
          <w:highlight w:val="yellow"/>
        </w:rPr>
        <w:br w:type="page"/>
      </w:r>
    </w:p>
    <w:p w:rsidR="00D42F19" w:rsidRPr="003250F9" w:rsidRDefault="00D42F19">
      <w:pPr>
        <w:pStyle w:val="Heading1"/>
        <w:spacing w:line="480" w:lineRule="auto"/>
        <w:rPr>
          <w:rFonts w:ascii="Times New Roman" w:hAnsi="Times New Roman"/>
          <w:sz w:val="24"/>
        </w:rPr>
      </w:pPr>
      <w:r w:rsidRPr="003250F9">
        <w:rPr>
          <w:rFonts w:ascii="Times New Roman" w:hAnsi="Times New Roman"/>
          <w:sz w:val="24"/>
        </w:rPr>
        <w:lastRenderedPageBreak/>
        <w:t>Effects of Sample Design on Statistical Inference</w:t>
      </w:r>
    </w:p>
    <w:p w:rsidR="00D42F19" w:rsidRPr="003250F9" w:rsidRDefault="00D42F19" w:rsidP="00625194">
      <w:pPr>
        <w:pStyle w:val="BodyofReport"/>
      </w:pPr>
      <w:r w:rsidRPr="003250F9">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r w:rsidRPr="003250F9">
        <w:rPr>
          <w:i/>
        </w:rPr>
        <w:t>deff</w:t>
      </w:r>
      <w:r w:rsidRPr="003250F9">
        <w:t xml:space="preserve"> represents the loss in statistical efficiency that results from systematic non-response. The total sample design effect for this survey is </w:t>
      </w:r>
      <w:r w:rsidR="003A6C23" w:rsidRPr="003250F9">
        <w:t>1.</w:t>
      </w:r>
      <w:r w:rsidR="00BB4140">
        <w:t>28</w:t>
      </w:r>
      <w:r w:rsidRPr="003250F9">
        <w:t>.</w:t>
      </w:r>
    </w:p>
    <w:p w:rsidR="00D42F19" w:rsidRPr="003250F9" w:rsidRDefault="00D42F19">
      <w:pPr>
        <w:pStyle w:val="BodyofReport"/>
      </w:pPr>
      <w:r w:rsidRPr="003250F9">
        <w:t xml:space="preserve">PSRAI calculates the composite design effect for a sample of size </w:t>
      </w:r>
      <w:r w:rsidRPr="003250F9">
        <w:rPr>
          <w:i/>
        </w:rPr>
        <w:t>n</w:t>
      </w:r>
      <w:r w:rsidRPr="003250F9">
        <w:t xml:space="preserve">, with each case having a weight, </w:t>
      </w:r>
      <w:proofErr w:type="gramStart"/>
      <w:r w:rsidRPr="003250F9">
        <w:rPr>
          <w:i/>
        </w:rPr>
        <w:t>w</w:t>
      </w:r>
      <w:r w:rsidRPr="003250F9">
        <w:rPr>
          <w:i/>
          <w:vertAlign w:val="subscript"/>
        </w:rPr>
        <w:t>i</w:t>
      </w:r>
      <w:proofErr w:type="gramEnd"/>
      <w:r w:rsidRPr="003250F9">
        <w:t xml:space="preserve"> as:</w:t>
      </w:r>
    </w:p>
    <w:p w:rsidR="00D42F19" w:rsidRPr="007F2971" w:rsidRDefault="00D42F19">
      <w:pPr>
        <w:pStyle w:val="BodyofReport"/>
        <w:rPr>
          <w:highlight w:val="yellow"/>
        </w:rPr>
      </w:pPr>
    </w:p>
    <w:p w:rsidR="00D42F19" w:rsidRPr="007F2971" w:rsidRDefault="00137615">
      <w:pPr>
        <w:jc w:val="center"/>
        <w:rPr>
          <w:highlight w:val="yellow"/>
        </w:rPr>
      </w:pPr>
      <w:r>
        <w:rPr>
          <w:noProof/>
          <w:sz w:val="20"/>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7.9pt;margin-top:.1pt;width:91.8pt;height:70.7pt;z-index:251656192" fillcolor="window">
            <v:imagedata r:id="rId9" o:title=""/>
            <w10:wrap type="square"/>
          </v:shape>
          <o:OLEObject Type="Embed" ProgID="Equation.3" ShapeID="_x0000_s1030" DrawAspect="Content" ObjectID="_1429347485" r:id="rId10"/>
        </w:pict>
      </w:r>
    </w:p>
    <w:p w:rsidR="00D42F19" w:rsidRPr="007F2971" w:rsidRDefault="007F2971">
      <w:pPr>
        <w:pStyle w:val="BodyofReport"/>
        <w:rPr>
          <w:highlight w:val="yellow"/>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0E42" w:rsidRDefault="00550E42">
                            <w:pPr>
                              <w:rPr>
                                <w:i/>
                                <w:iCs/>
                              </w:rPr>
                            </w:pPr>
                            <w:proofErr w:type="gramStart"/>
                            <w:r>
                              <w:rPr>
                                <w:i/>
                                <w:iCs/>
                              </w:rPr>
                              <w:t>formula</w:t>
                            </w:r>
                            <w:proofErr w:type="gramEnd"/>
                            <w:r>
                              <w:rPr>
                                <w:i/>
                                <w:iCs/>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ZDkFuQ&#10;iFfIRtFHkIVRQBtwD28JTFplvmHUQ19W2H7dEcMwEu8kSKtIssw3clhk+SyFhTm3bM4tRNYAVWGH&#10;0Ti9cWPz77Th2xZuGsUs1TXIseFBKs9RHUQMvRdyOrwTvrnP18Hr+TVb/g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Ipq&#10;BH+FAgAAFQUAAA4AAAAAAAAAAAAAAAAALgIAAGRycy9lMm9Eb2MueG1sUEsBAi0AFAAGAAgAAAAh&#10;AMKViT/dAAAACQEAAA8AAAAAAAAAAAAAAAAA3wQAAGRycy9kb3ducmV2LnhtbFBLBQYAAAAABAAE&#10;APMAAADpBQAAAAA=&#10;" stroked="f">
                <v:textbox>
                  <w:txbxContent>
                    <w:p w:rsidR="00550E42" w:rsidRDefault="00550E42">
                      <w:pPr>
                        <w:rPr>
                          <w:i/>
                          <w:iCs/>
                        </w:rPr>
                      </w:pPr>
                      <w:proofErr w:type="gramStart"/>
                      <w:r>
                        <w:rPr>
                          <w:i/>
                          <w:iCs/>
                        </w:rPr>
                        <w:t>formula</w:t>
                      </w:r>
                      <w:proofErr w:type="gramEnd"/>
                      <w:r>
                        <w:rPr>
                          <w:i/>
                          <w:iCs/>
                        </w:rPr>
                        <w:t xml:space="preserve"> 1</w:t>
                      </w:r>
                    </w:p>
                  </w:txbxContent>
                </v:textbox>
                <w10:wrap type="topAndBottom"/>
              </v:shape>
            </w:pict>
          </mc:Fallback>
        </mc:AlternateContent>
      </w:r>
    </w:p>
    <w:p w:rsidR="00D42F19" w:rsidRPr="007F2971" w:rsidRDefault="00D42F19">
      <w:pPr>
        <w:pStyle w:val="BodyofReport"/>
        <w:rPr>
          <w:highlight w:val="yellow"/>
        </w:rPr>
      </w:pPr>
    </w:p>
    <w:p w:rsidR="00D42F19" w:rsidRPr="007F2971" w:rsidRDefault="00D42F19">
      <w:pPr>
        <w:pStyle w:val="BodyofReport"/>
        <w:rPr>
          <w:highlight w:val="yellow"/>
        </w:rPr>
      </w:pPr>
    </w:p>
    <w:p w:rsidR="00D42F19" w:rsidRPr="007F2971" w:rsidRDefault="00D42F19">
      <w:pPr>
        <w:pStyle w:val="BodyofReport"/>
        <w:rPr>
          <w:highlight w:val="yellow"/>
        </w:rPr>
      </w:pPr>
    </w:p>
    <w:p w:rsidR="00D42F19" w:rsidRPr="003250F9" w:rsidRDefault="00D42F19">
      <w:pPr>
        <w:pStyle w:val="BodyofReport"/>
        <w:keepNext/>
        <w:widowControl w:val="0"/>
      </w:pPr>
      <w:r w:rsidRPr="003250F9">
        <w:t xml:space="preserve">In a wide range of situations, the adjusted </w:t>
      </w:r>
      <w:r w:rsidRPr="003250F9">
        <w:rPr>
          <w:i/>
          <w:iCs/>
        </w:rPr>
        <w:t>standard error</w:t>
      </w:r>
      <w:r w:rsidRPr="003250F9">
        <w:t xml:space="preserve"> of a statistic should be calculated by multiplying the usual formula by the square root of the design effect (√</w:t>
      </w:r>
      <w:proofErr w:type="gramStart"/>
      <w:r w:rsidRPr="003250F9">
        <w:rPr>
          <w:i/>
          <w:iCs/>
        </w:rPr>
        <w:t xml:space="preserve">deff </w:t>
      </w:r>
      <w:r w:rsidRPr="003250F9">
        <w:t>)</w:t>
      </w:r>
      <w:proofErr w:type="gramEnd"/>
      <w:r w:rsidRPr="003250F9">
        <w:t>. Thus, the formula for computing the 95% confidence interval around a percentage is:</w:t>
      </w:r>
    </w:p>
    <w:p w:rsidR="00D42F19" w:rsidRPr="007F2971" w:rsidRDefault="00137615">
      <w:pPr>
        <w:keepNext/>
        <w:rPr>
          <w:highlight w:val="yellow"/>
        </w:rPr>
      </w:pPr>
      <w:r>
        <w:rPr>
          <w:noProof/>
          <w:sz w:val="20"/>
          <w:highlight w:val="yellow"/>
        </w:rPr>
        <w:pict>
          <v:shape id="_x0000_s1032" type="#_x0000_t75" style="position:absolute;margin-left:156.7pt;margin-top:13.85pt;width:149.3pt;height:40.3pt;z-index:251658240" fillcolor="window">
            <v:imagedata r:id="rId11" o:title=""/>
            <w10:wrap type="square"/>
          </v:shape>
          <o:OLEObject Type="Embed" ProgID="Equation.3" ShapeID="_x0000_s1032" DrawAspect="Content" ObjectID="_1429347486" r:id="rId12"/>
        </w:pict>
      </w:r>
    </w:p>
    <w:p w:rsidR="00D42F19" w:rsidRPr="007F2971" w:rsidRDefault="007F2971">
      <w:pPr>
        <w:keepNext/>
        <w:ind w:firstLine="720"/>
        <w:jc w:val="center"/>
        <w:rPr>
          <w:highlight w:val="yellow"/>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0E42" w:rsidRDefault="00550E42">
                            <w:pPr>
                              <w:rPr>
                                <w:i/>
                                <w:iCs/>
                              </w:rPr>
                            </w:pPr>
                            <w:proofErr w:type="gramStart"/>
                            <w:r>
                              <w:rPr>
                                <w:i/>
                                <w:iCs/>
                              </w:rPr>
                              <w:t>formula</w:t>
                            </w:r>
                            <w:proofErr w:type="gramEnd"/>
                            <w:r>
                              <w:rPr>
                                <w:i/>
                                <w:iCs/>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61.45pt;margin-top:4.3pt;width:76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rsidR="00550E42" w:rsidRDefault="00550E42">
                      <w:pPr>
                        <w:rPr>
                          <w:i/>
                          <w:iCs/>
                        </w:rPr>
                      </w:pPr>
                      <w:proofErr w:type="gramStart"/>
                      <w:r>
                        <w:rPr>
                          <w:i/>
                          <w:iCs/>
                        </w:rPr>
                        <w:t>formula</w:t>
                      </w:r>
                      <w:proofErr w:type="gramEnd"/>
                      <w:r>
                        <w:rPr>
                          <w:i/>
                          <w:iCs/>
                        </w:rPr>
                        <w:t xml:space="preserve"> 2</w:t>
                      </w:r>
                    </w:p>
                  </w:txbxContent>
                </v:textbox>
                <w10:wrap type="topAndBottom"/>
              </v:shape>
            </w:pict>
          </mc:Fallback>
        </mc:AlternateContent>
      </w:r>
    </w:p>
    <w:p w:rsidR="00D42F19" w:rsidRPr="007F2971" w:rsidRDefault="00D42F19">
      <w:pPr>
        <w:pStyle w:val="BodyofReport"/>
        <w:ind w:firstLine="0"/>
        <w:rPr>
          <w:highlight w:val="yellow"/>
        </w:rPr>
      </w:pPr>
    </w:p>
    <w:p w:rsidR="00D42F19" w:rsidRPr="007F2971" w:rsidRDefault="00D42F19">
      <w:pPr>
        <w:pStyle w:val="BodyofReport"/>
        <w:ind w:firstLine="0"/>
        <w:rPr>
          <w:highlight w:val="yellow"/>
        </w:rPr>
      </w:pPr>
    </w:p>
    <w:p w:rsidR="00D42F19" w:rsidRPr="003250F9" w:rsidRDefault="00D42F19">
      <w:pPr>
        <w:pStyle w:val="BodyofReport"/>
        <w:ind w:firstLine="0"/>
      </w:pPr>
      <w:proofErr w:type="gramStart"/>
      <w:r w:rsidRPr="003250F9">
        <w:t>where</w:t>
      </w:r>
      <w:proofErr w:type="gramEnd"/>
      <w:r w:rsidRPr="003250F9">
        <w:t xml:space="preserve"> </w:t>
      </w:r>
      <w:r w:rsidRPr="003250F9">
        <w:rPr>
          <w:position w:val="-10"/>
        </w:rPr>
        <w:object w:dxaOrig="240" w:dyaOrig="320">
          <v:shape id="_x0000_i1027" type="#_x0000_t75" style="width:12pt;height:15.75pt" o:ole="" fillcolor="window">
            <v:imagedata r:id="rId13" o:title=""/>
          </v:shape>
          <o:OLEObject Type="Embed" ProgID="Equation.3" ShapeID="_x0000_i1027" DrawAspect="Content" ObjectID="_1429347484" r:id="rId14"/>
        </w:object>
      </w:r>
      <w:r w:rsidRPr="003250F9">
        <w:t xml:space="preserve"> is the sample estimate and </w:t>
      </w:r>
      <w:r w:rsidRPr="003250F9">
        <w:rPr>
          <w:i/>
        </w:rPr>
        <w:t>n</w:t>
      </w:r>
      <w:r w:rsidRPr="003250F9">
        <w:t xml:space="preserve"> is the unweighted number of sample cases in the group being considered.</w:t>
      </w:r>
    </w:p>
    <w:p w:rsidR="001F0928" w:rsidRPr="003250F9" w:rsidRDefault="00D42F19" w:rsidP="00625194">
      <w:pPr>
        <w:pStyle w:val="BodyofReport"/>
        <w:ind w:firstLine="0"/>
      </w:pPr>
      <w:r w:rsidRPr="003250F9">
        <w:tab/>
        <w:t xml:space="preserve">The survey’s </w:t>
      </w:r>
      <w:r w:rsidRPr="003250F9">
        <w:rPr>
          <w:i/>
          <w:iCs/>
        </w:rPr>
        <w:t>margin of error</w:t>
      </w:r>
      <w:r w:rsidRPr="003250F9">
        <w:t xml:space="preserve"> is the largest 95% confidence interval for any estimated proportion based on the total sample— the one around 50%. For example, the margin of error for the entire sample is ±</w:t>
      </w:r>
      <w:r w:rsidR="003250F9" w:rsidRPr="003250F9">
        <w:t>2.9</w:t>
      </w:r>
      <w:r w:rsidR="007A4F5A" w:rsidRPr="003250F9">
        <w:t xml:space="preserve"> percentage points</w:t>
      </w:r>
      <w:r w:rsidRPr="003250F9">
        <w:t xml:space="preserve">. This means that in 95 out every 100 samples drawn using the same methodology, estimated proportions based on the entire sample will be no more than </w:t>
      </w:r>
      <w:r w:rsidR="003250F9" w:rsidRPr="003250F9">
        <w:t>2.9</w:t>
      </w:r>
      <w:r w:rsidR="00915C09" w:rsidRPr="003250F9">
        <w:t xml:space="preserve"> </w:t>
      </w:r>
      <w:r w:rsidRPr="003250F9">
        <w:t>percentage points away from their true values in the population</w:t>
      </w:r>
      <w:r w:rsidR="00BB53D1" w:rsidRPr="003250F9">
        <w:t>.</w:t>
      </w:r>
      <w:r w:rsidR="00625194" w:rsidRPr="003250F9">
        <w:t xml:space="preserve"> </w:t>
      </w:r>
      <w:r w:rsidR="003456A9" w:rsidRPr="003250F9">
        <w:t>The margin of error for estimates based on form 1 or form 2</w:t>
      </w:r>
      <w:r w:rsidR="0054068C" w:rsidRPr="003250F9">
        <w:t xml:space="preserve"> respondents is ±</w:t>
      </w:r>
      <w:r w:rsidR="003250F9" w:rsidRPr="003250F9">
        <w:t>4.</w:t>
      </w:r>
      <w:r w:rsidR="00BB4140">
        <w:t>1</w:t>
      </w:r>
      <w:r w:rsidR="00AC1950" w:rsidRPr="003250F9">
        <w:t xml:space="preserve"> percentage points</w:t>
      </w:r>
      <w:r w:rsidR="003456A9" w:rsidRPr="003250F9">
        <w:t xml:space="preserve">. </w:t>
      </w:r>
      <w:r w:rsidRPr="003250F9">
        <w:t>It is important to remember that sampling fluctuations are only one possible source of error in a survey estimate. Other sources, such as respondent selection bias, questionnaire wording and reporting inaccuracy, may contribute additional error of greater or lesser magnitude.</w:t>
      </w:r>
    </w:p>
    <w:p w:rsidR="001F0928" w:rsidRPr="007F2971" w:rsidRDefault="001F0928" w:rsidP="00625194">
      <w:pPr>
        <w:pStyle w:val="BodyofReport"/>
        <w:ind w:firstLine="0"/>
        <w:rPr>
          <w:highlight w:val="yellow"/>
        </w:rPr>
      </w:pPr>
    </w:p>
    <w:p w:rsidR="00137615" w:rsidRDefault="00137615">
      <w:pPr>
        <w:widowControl/>
        <w:rPr>
          <w:caps/>
          <w:snapToGrid/>
        </w:rPr>
      </w:pPr>
      <w:r>
        <w:rPr>
          <w:caps/>
        </w:rPr>
        <w:br w:type="page"/>
      </w:r>
    </w:p>
    <w:p w:rsidR="00D42F19" w:rsidRPr="00137615" w:rsidRDefault="00D42F19" w:rsidP="00625194">
      <w:pPr>
        <w:pStyle w:val="BodyofReport"/>
        <w:ind w:firstLine="0"/>
        <w:rPr>
          <w:b/>
          <w:caps/>
        </w:rPr>
      </w:pPr>
      <w:r w:rsidRPr="00137615">
        <w:rPr>
          <w:b/>
          <w:caps/>
        </w:rPr>
        <w:lastRenderedPageBreak/>
        <w:t>Response Rate</w:t>
      </w:r>
    </w:p>
    <w:p w:rsidR="00D42F19" w:rsidRPr="003250F9" w:rsidRDefault="00D42F19"/>
    <w:p w:rsidR="00787D4B" w:rsidRPr="003250F9" w:rsidRDefault="00787D4B" w:rsidP="00B26E09">
      <w:pPr>
        <w:pStyle w:val="BodyofReport"/>
        <w:rPr>
          <w:color w:val="000000"/>
        </w:rPr>
      </w:pPr>
      <w:r w:rsidRPr="003250F9">
        <w:t xml:space="preserve">Table 2 report the disposition of all sampled telephone numbers ever dialed from the original telephone number samples. Response rates are computed according to AAPOR </w:t>
      </w:r>
      <w:r w:rsidRPr="003250F9">
        <w:rPr>
          <w:color w:val="000000"/>
        </w:rPr>
        <w:t xml:space="preserve">definition 3. Thus the response rate </w:t>
      </w:r>
      <w:r w:rsidR="005450BB" w:rsidRPr="003250F9">
        <w:rPr>
          <w:color w:val="000000"/>
        </w:rPr>
        <w:t>for the land line samples was 1</w:t>
      </w:r>
      <w:r w:rsidR="003250F9" w:rsidRPr="003250F9">
        <w:rPr>
          <w:color w:val="000000"/>
        </w:rPr>
        <w:t>0</w:t>
      </w:r>
      <w:r w:rsidRPr="003250F9">
        <w:rPr>
          <w:color w:val="000000"/>
        </w:rPr>
        <w:t xml:space="preserve"> percent. The response rat</w:t>
      </w:r>
      <w:r w:rsidR="00BB53D1" w:rsidRPr="003250F9">
        <w:rPr>
          <w:color w:val="000000"/>
        </w:rPr>
        <w:t xml:space="preserve">e for the cellular samples was </w:t>
      </w:r>
      <w:r w:rsidR="008C3F9F" w:rsidRPr="003250F9">
        <w:rPr>
          <w:color w:val="000000"/>
        </w:rPr>
        <w:t>6</w:t>
      </w:r>
      <w:r w:rsidRPr="003250F9">
        <w:rPr>
          <w:color w:val="000000"/>
        </w:rPr>
        <w:t xml:space="preserve"> percent.</w:t>
      </w:r>
    </w:p>
    <w:p w:rsidR="003F5B0E" w:rsidRDefault="003F5B0E">
      <w:pPr>
        <w:pStyle w:val="BodyofReport"/>
        <w:spacing w:line="360" w:lineRule="auto"/>
        <w:ind w:firstLine="0"/>
        <w:rPr>
          <w:highlight w:val="yellow"/>
        </w:rPr>
      </w:pPr>
    </w:p>
    <w:tbl>
      <w:tblPr>
        <w:tblW w:w="6080" w:type="dxa"/>
        <w:jc w:val="center"/>
        <w:tblInd w:w="93" w:type="dxa"/>
        <w:tblLook w:val="04A0" w:firstRow="1" w:lastRow="0" w:firstColumn="1" w:lastColumn="0" w:noHBand="0" w:noVBand="1"/>
      </w:tblPr>
      <w:tblGrid>
        <w:gridCol w:w="973"/>
        <w:gridCol w:w="672"/>
        <w:gridCol w:w="4801"/>
      </w:tblGrid>
      <w:tr w:rsidR="00137615" w:rsidRPr="00137615" w:rsidTr="00137615">
        <w:trPr>
          <w:trHeight w:val="255"/>
          <w:jc w:val="center"/>
        </w:trPr>
        <w:tc>
          <w:tcPr>
            <w:tcW w:w="6080" w:type="dxa"/>
            <w:gridSpan w:val="3"/>
            <w:tcBorders>
              <w:top w:val="nil"/>
              <w:left w:val="nil"/>
              <w:bottom w:val="single" w:sz="4" w:space="0" w:color="auto"/>
              <w:right w:val="nil"/>
            </w:tcBorders>
            <w:shd w:val="clear" w:color="auto" w:fill="auto"/>
            <w:noWrap/>
            <w:vAlign w:val="bottom"/>
            <w:hideMark/>
          </w:tcPr>
          <w:p w:rsidR="00137615" w:rsidRPr="00137615" w:rsidRDefault="00137615" w:rsidP="00137615">
            <w:pPr>
              <w:widowControl/>
              <w:rPr>
                <w:rFonts w:ascii="Arial" w:hAnsi="Arial" w:cs="Arial"/>
                <w:b/>
                <w:bCs/>
                <w:snapToGrid/>
                <w:sz w:val="20"/>
              </w:rPr>
            </w:pPr>
            <w:r w:rsidRPr="00137615">
              <w:rPr>
                <w:rFonts w:ascii="Arial" w:hAnsi="Arial" w:cs="Arial"/>
                <w:b/>
                <w:bCs/>
                <w:snapToGrid/>
                <w:sz w:val="20"/>
              </w:rPr>
              <w:t>Table 2:Sample Disposition</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u w:val="single"/>
              </w:rPr>
            </w:pPr>
            <w:r w:rsidRPr="00137615">
              <w:rPr>
                <w:rFonts w:ascii="Arial" w:hAnsi="Arial" w:cs="Arial"/>
                <w:snapToGrid/>
                <w:sz w:val="20"/>
                <w:u w:val="single"/>
              </w:rPr>
              <w:t>Landline</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u w:val="single"/>
              </w:rPr>
            </w:pPr>
            <w:r w:rsidRPr="00137615">
              <w:rPr>
                <w:rFonts w:ascii="Arial" w:hAnsi="Arial" w:cs="Arial"/>
                <w:snapToGrid/>
                <w:sz w:val="20"/>
                <w:u w:val="single"/>
              </w:rPr>
              <w:t>Cell</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751</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753</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I=Completes</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4002</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6506</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R=Refusal and breakoff</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2067</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5701</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NC=Non</w:t>
            </w:r>
            <w:r>
              <w:rPr>
                <w:rFonts w:ascii="Arial" w:hAnsi="Arial" w:cs="Arial"/>
                <w:snapToGrid/>
                <w:sz w:val="20"/>
              </w:rPr>
              <w:t>-</w:t>
            </w:r>
            <w:r w:rsidRPr="00137615">
              <w:rPr>
                <w:rFonts w:ascii="Arial" w:hAnsi="Arial" w:cs="Arial"/>
                <w:snapToGrid/>
                <w:sz w:val="20"/>
              </w:rPr>
              <w:t>contact</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40</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38</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O=Other</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17448</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9604</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OF=Business/computer/not working/child's cell phone</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1692</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398</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UH/UO=Unknown household/Unknown other</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0.28</w:t>
            </w: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jc w:val="right"/>
              <w:rPr>
                <w:rFonts w:ascii="Arial" w:hAnsi="Arial" w:cs="Arial"/>
                <w:snapToGrid/>
                <w:sz w:val="20"/>
              </w:rPr>
            </w:pPr>
            <w:r w:rsidRPr="00137615">
              <w:rPr>
                <w:rFonts w:ascii="Arial" w:hAnsi="Arial" w:cs="Arial"/>
                <w:snapToGrid/>
                <w:sz w:val="20"/>
              </w:rPr>
              <w:t>0.58</w:t>
            </w: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r w:rsidRPr="00137615">
              <w:rPr>
                <w:rFonts w:ascii="Arial" w:hAnsi="Arial" w:cs="Arial"/>
                <w:snapToGrid/>
                <w:sz w:val="20"/>
              </w:rPr>
              <w:t>AAPOR's e=(I+R+NC+O)/(I+R+NC+O+OF)</w:t>
            </w:r>
          </w:p>
        </w:tc>
      </w:tr>
      <w:tr w:rsidR="00137615" w:rsidRPr="00137615" w:rsidTr="00137615">
        <w:trPr>
          <w:trHeight w:val="255"/>
          <w:jc w:val="center"/>
        </w:trPr>
        <w:tc>
          <w:tcPr>
            <w:tcW w:w="79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c>
          <w:tcPr>
            <w:tcW w:w="488"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c>
          <w:tcPr>
            <w:tcW w:w="4801" w:type="dxa"/>
            <w:tcBorders>
              <w:top w:val="nil"/>
              <w:left w:val="nil"/>
              <w:bottom w:val="nil"/>
              <w:right w:val="nil"/>
            </w:tcBorders>
            <w:shd w:val="clear" w:color="auto" w:fill="auto"/>
            <w:noWrap/>
            <w:vAlign w:val="bottom"/>
            <w:hideMark/>
          </w:tcPr>
          <w:p w:rsidR="00137615" w:rsidRPr="00137615" w:rsidRDefault="00137615" w:rsidP="00137615">
            <w:pPr>
              <w:widowControl/>
              <w:rPr>
                <w:rFonts w:ascii="Arial" w:hAnsi="Arial" w:cs="Arial"/>
                <w:snapToGrid/>
                <w:sz w:val="20"/>
              </w:rPr>
            </w:pPr>
          </w:p>
        </w:tc>
      </w:tr>
      <w:tr w:rsidR="00137615" w:rsidRPr="00137615" w:rsidTr="00137615">
        <w:trPr>
          <w:trHeight w:val="255"/>
          <w:jc w:val="center"/>
        </w:trPr>
        <w:tc>
          <w:tcPr>
            <w:tcW w:w="791" w:type="dxa"/>
            <w:tcBorders>
              <w:top w:val="nil"/>
              <w:left w:val="nil"/>
              <w:bottom w:val="single" w:sz="4" w:space="0" w:color="auto"/>
              <w:right w:val="nil"/>
            </w:tcBorders>
            <w:shd w:val="clear" w:color="auto" w:fill="auto"/>
            <w:noWrap/>
            <w:vAlign w:val="bottom"/>
            <w:hideMark/>
          </w:tcPr>
          <w:p w:rsidR="00137615" w:rsidRPr="00137615" w:rsidRDefault="00137615" w:rsidP="00137615">
            <w:pPr>
              <w:widowControl/>
              <w:jc w:val="right"/>
              <w:rPr>
                <w:rFonts w:ascii="Arial" w:hAnsi="Arial" w:cs="Arial"/>
                <w:b/>
                <w:bCs/>
                <w:snapToGrid/>
                <w:sz w:val="20"/>
              </w:rPr>
            </w:pPr>
            <w:r w:rsidRPr="00137615">
              <w:rPr>
                <w:rFonts w:ascii="Arial" w:hAnsi="Arial" w:cs="Arial"/>
                <w:b/>
                <w:bCs/>
                <w:snapToGrid/>
                <w:sz w:val="20"/>
              </w:rPr>
              <w:t>10.2%</w:t>
            </w:r>
          </w:p>
        </w:tc>
        <w:tc>
          <w:tcPr>
            <w:tcW w:w="488" w:type="dxa"/>
            <w:tcBorders>
              <w:top w:val="nil"/>
              <w:left w:val="nil"/>
              <w:bottom w:val="single" w:sz="4" w:space="0" w:color="auto"/>
              <w:right w:val="nil"/>
            </w:tcBorders>
            <w:shd w:val="clear" w:color="auto" w:fill="auto"/>
            <w:noWrap/>
            <w:vAlign w:val="bottom"/>
            <w:hideMark/>
          </w:tcPr>
          <w:p w:rsidR="00137615" w:rsidRPr="00137615" w:rsidRDefault="00137615" w:rsidP="00137615">
            <w:pPr>
              <w:widowControl/>
              <w:jc w:val="right"/>
              <w:rPr>
                <w:rFonts w:ascii="Arial" w:hAnsi="Arial" w:cs="Arial"/>
                <w:b/>
                <w:bCs/>
                <w:snapToGrid/>
                <w:sz w:val="20"/>
              </w:rPr>
            </w:pPr>
            <w:r w:rsidRPr="00137615">
              <w:rPr>
                <w:rFonts w:ascii="Arial" w:hAnsi="Arial" w:cs="Arial"/>
                <w:b/>
                <w:bCs/>
                <w:snapToGrid/>
                <w:sz w:val="20"/>
              </w:rPr>
              <w:t>5.7%</w:t>
            </w:r>
          </w:p>
        </w:tc>
        <w:tc>
          <w:tcPr>
            <w:tcW w:w="4801" w:type="dxa"/>
            <w:tcBorders>
              <w:top w:val="nil"/>
              <w:left w:val="nil"/>
              <w:bottom w:val="single" w:sz="4" w:space="0" w:color="auto"/>
              <w:right w:val="nil"/>
            </w:tcBorders>
            <w:shd w:val="clear" w:color="auto" w:fill="auto"/>
            <w:noWrap/>
            <w:vAlign w:val="bottom"/>
            <w:hideMark/>
          </w:tcPr>
          <w:p w:rsidR="00137615" w:rsidRPr="00137615" w:rsidRDefault="00137615" w:rsidP="00137615">
            <w:pPr>
              <w:widowControl/>
              <w:rPr>
                <w:rFonts w:ascii="Arial" w:hAnsi="Arial" w:cs="Arial"/>
                <w:b/>
                <w:bCs/>
                <w:snapToGrid/>
                <w:sz w:val="20"/>
              </w:rPr>
            </w:pPr>
            <w:r w:rsidRPr="00137615">
              <w:rPr>
                <w:rFonts w:ascii="Arial" w:hAnsi="Arial" w:cs="Arial"/>
                <w:b/>
                <w:bCs/>
                <w:snapToGrid/>
                <w:sz w:val="20"/>
              </w:rPr>
              <w:t>AAPOR RR3=I/[I+R+NC+O+(e*UH/UO)]</w:t>
            </w:r>
          </w:p>
        </w:tc>
      </w:tr>
    </w:tbl>
    <w:p w:rsidR="00137615" w:rsidRDefault="00137615">
      <w:pPr>
        <w:pStyle w:val="BodyofReport"/>
        <w:spacing w:line="360" w:lineRule="auto"/>
        <w:ind w:firstLine="0"/>
        <w:rPr>
          <w:highlight w:val="yellow"/>
        </w:rPr>
      </w:pPr>
    </w:p>
    <w:sectPr w:rsidR="00137615" w:rsidSect="000B7E56">
      <w:footerReference w:type="even" r:id="rId15"/>
      <w:footerReference w:type="default" r:id="rId16"/>
      <w:endnotePr>
        <w:numFmt w:val="decimal"/>
      </w:endnotePr>
      <w:pgSz w:w="12240" w:h="15840"/>
      <w:pgMar w:top="1440" w:right="1080" w:bottom="1440" w:left="1080" w:header="1440" w:footer="144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E42" w:rsidRDefault="00550E42">
      <w:r>
        <w:separator/>
      </w:r>
    </w:p>
  </w:endnote>
  <w:endnote w:type="continuationSeparator" w:id="0">
    <w:p w:rsidR="00550E42" w:rsidRDefault="00550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42" w:rsidRDefault="00550E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0E42" w:rsidRDefault="00550E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42" w:rsidRDefault="00550E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7615">
      <w:rPr>
        <w:rStyle w:val="PageNumber"/>
        <w:noProof/>
      </w:rPr>
      <w:t>2</w:t>
    </w:r>
    <w:r>
      <w:rPr>
        <w:rStyle w:val="PageNumber"/>
      </w:rPr>
      <w:fldChar w:fldCharType="end"/>
    </w:r>
  </w:p>
  <w:p w:rsidR="00550E42" w:rsidRDefault="00550E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E42" w:rsidRDefault="00550E42">
      <w:r>
        <w:separator/>
      </w:r>
    </w:p>
  </w:footnote>
  <w:footnote w:type="continuationSeparator" w:id="0">
    <w:p w:rsidR="00550E42" w:rsidRDefault="00550E42">
      <w:r>
        <w:continuationSeparator/>
      </w:r>
    </w:p>
  </w:footnote>
  <w:footnote w:id="1">
    <w:p w:rsidR="00550E42" w:rsidRPr="008F5A60" w:rsidRDefault="00550E42" w:rsidP="00501888">
      <w:pPr>
        <w:pStyle w:val="FootnoteText"/>
      </w:pPr>
      <w:r>
        <w:rPr>
          <w:rStyle w:val="FootnoteReference"/>
        </w:rPr>
        <w:footnoteRef/>
      </w:r>
      <w:r>
        <w:t xml:space="preserve"> i.e., whether respondents have only a landline telephone, only a cell phone, or both kinds of telephone.</w:t>
      </w:r>
    </w:p>
  </w:footnote>
  <w:footnote w:id="2">
    <w:p w:rsidR="00550E42" w:rsidRDefault="00550E42">
      <w:pPr>
        <w:pStyle w:val="FootnoteText"/>
      </w:pPr>
      <w:r>
        <w:rPr>
          <w:rStyle w:val="FootnoteReference"/>
        </w:rPr>
        <w:footnoteRef/>
      </w:r>
      <w:r>
        <w:t xml:space="preserve"> The occupational/vocational educational attainment classification was moved to the “Some college” category to reflect the updated answer categories for the education question.</w:t>
      </w:r>
    </w:p>
  </w:footnote>
  <w:footnote w:id="3">
    <w:p w:rsidR="00550E42" w:rsidRDefault="00550E42" w:rsidP="000B7E56">
      <w:pPr>
        <w:pStyle w:val="FootnoteText"/>
      </w:pPr>
      <w:r>
        <w:rPr>
          <w:rStyle w:val="FootnoteReference"/>
        </w:rPr>
        <w:footnoteRef/>
      </w:r>
      <w:r>
        <w:t xml:space="preserve"> ACS analysis was based on all adults excluding those living in institutional group quarters (GCs).</w:t>
      </w:r>
    </w:p>
  </w:footnote>
  <w:footnote w:id="4">
    <w:p w:rsidR="00550E42" w:rsidRDefault="00550E42" w:rsidP="000B7E56">
      <w:pPr>
        <w:pStyle w:val="FootnoteText"/>
      </w:pPr>
      <w:r>
        <w:rPr>
          <w:rStyle w:val="FootnoteReference"/>
        </w:rPr>
        <w:footnoteRef/>
      </w:r>
      <w:r>
        <w:t xml:space="preserve"> Blumberg SJ, Luke JV. Wireless substitution: Early release of estimates from the National Health Interview Survey, January-June, 2012. National Center for Health Statistics. Dec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E9"/>
    <w:rsid w:val="00002EBE"/>
    <w:rsid w:val="00014964"/>
    <w:rsid w:val="00024C51"/>
    <w:rsid w:val="00026A38"/>
    <w:rsid w:val="00035FB2"/>
    <w:rsid w:val="00041C3F"/>
    <w:rsid w:val="00045F9C"/>
    <w:rsid w:val="00055E53"/>
    <w:rsid w:val="00057AA2"/>
    <w:rsid w:val="00061250"/>
    <w:rsid w:val="00061D38"/>
    <w:rsid w:val="000712B5"/>
    <w:rsid w:val="0007278B"/>
    <w:rsid w:val="000739C4"/>
    <w:rsid w:val="00081BBA"/>
    <w:rsid w:val="0008355C"/>
    <w:rsid w:val="00093852"/>
    <w:rsid w:val="000A10AE"/>
    <w:rsid w:val="000A1F8B"/>
    <w:rsid w:val="000B54E9"/>
    <w:rsid w:val="000B6008"/>
    <w:rsid w:val="000B7E56"/>
    <w:rsid w:val="000C794C"/>
    <w:rsid w:val="001069FC"/>
    <w:rsid w:val="00106C94"/>
    <w:rsid w:val="001108F9"/>
    <w:rsid w:val="00116865"/>
    <w:rsid w:val="00134291"/>
    <w:rsid w:val="00135EC7"/>
    <w:rsid w:val="00137615"/>
    <w:rsid w:val="00143BE2"/>
    <w:rsid w:val="001509CA"/>
    <w:rsid w:val="0015318F"/>
    <w:rsid w:val="00155867"/>
    <w:rsid w:val="00182C8A"/>
    <w:rsid w:val="00185FEE"/>
    <w:rsid w:val="00186489"/>
    <w:rsid w:val="001874EE"/>
    <w:rsid w:val="00190A08"/>
    <w:rsid w:val="00195FDC"/>
    <w:rsid w:val="00196F29"/>
    <w:rsid w:val="001A11D9"/>
    <w:rsid w:val="001A2D0A"/>
    <w:rsid w:val="001A7006"/>
    <w:rsid w:val="001D5244"/>
    <w:rsid w:val="001D7EF0"/>
    <w:rsid w:val="001E6D75"/>
    <w:rsid w:val="001F0928"/>
    <w:rsid w:val="001F0D99"/>
    <w:rsid w:val="001F2E59"/>
    <w:rsid w:val="001F5FBC"/>
    <w:rsid w:val="002009CA"/>
    <w:rsid w:val="00206BE6"/>
    <w:rsid w:val="002104AB"/>
    <w:rsid w:val="00212B34"/>
    <w:rsid w:val="00214EA3"/>
    <w:rsid w:val="002170EC"/>
    <w:rsid w:val="002227F6"/>
    <w:rsid w:val="0022381D"/>
    <w:rsid w:val="00227617"/>
    <w:rsid w:val="0023103D"/>
    <w:rsid w:val="00237F41"/>
    <w:rsid w:val="00246B26"/>
    <w:rsid w:val="00250590"/>
    <w:rsid w:val="00253B98"/>
    <w:rsid w:val="002654C8"/>
    <w:rsid w:val="00266423"/>
    <w:rsid w:val="002904B9"/>
    <w:rsid w:val="002A2806"/>
    <w:rsid w:val="002A68E5"/>
    <w:rsid w:val="002C2624"/>
    <w:rsid w:val="002D35CD"/>
    <w:rsid w:val="002E2D2C"/>
    <w:rsid w:val="002E54DA"/>
    <w:rsid w:val="002F2595"/>
    <w:rsid w:val="002F2B42"/>
    <w:rsid w:val="002F3DB8"/>
    <w:rsid w:val="002F4496"/>
    <w:rsid w:val="00305411"/>
    <w:rsid w:val="00311405"/>
    <w:rsid w:val="003170FC"/>
    <w:rsid w:val="003250F9"/>
    <w:rsid w:val="003456A9"/>
    <w:rsid w:val="00347F1E"/>
    <w:rsid w:val="003557C9"/>
    <w:rsid w:val="003600C8"/>
    <w:rsid w:val="00360EE3"/>
    <w:rsid w:val="0036350D"/>
    <w:rsid w:val="00364356"/>
    <w:rsid w:val="00370999"/>
    <w:rsid w:val="00377002"/>
    <w:rsid w:val="00384CF1"/>
    <w:rsid w:val="00393EC2"/>
    <w:rsid w:val="003A10BF"/>
    <w:rsid w:val="003A2141"/>
    <w:rsid w:val="003A6C23"/>
    <w:rsid w:val="003A6F36"/>
    <w:rsid w:val="003D4640"/>
    <w:rsid w:val="003E2701"/>
    <w:rsid w:val="003E308F"/>
    <w:rsid w:val="003E486B"/>
    <w:rsid w:val="003E5C13"/>
    <w:rsid w:val="003E6012"/>
    <w:rsid w:val="003F2497"/>
    <w:rsid w:val="003F5B0E"/>
    <w:rsid w:val="00402A9E"/>
    <w:rsid w:val="00406583"/>
    <w:rsid w:val="0041045D"/>
    <w:rsid w:val="004174FB"/>
    <w:rsid w:val="00424B60"/>
    <w:rsid w:val="00430D7A"/>
    <w:rsid w:val="004348F1"/>
    <w:rsid w:val="00443C91"/>
    <w:rsid w:val="0044672A"/>
    <w:rsid w:val="00476D08"/>
    <w:rsid w:val="0047736E"/>
    <w:rsid w:val="00483A92"/>
    <w:rsid w:val="00490739"/>
    <w:rsid w:val="0049374E"/>
    <w:rsid w:val="004B58AB"/>
    <w:rsid w:val="004C08B0"/>
    <w:rsid w:val="004C268F"/>
    <w:rsid w:val="00500889"/>
    <w:rsid w:val="00501888"/>
    <w:rsid w:val="00502A59"/>
    <w:rsid w:val="00522DD8"/>
    <w:rsid w:val="00526C6C"/>
    <w:rsid w:val="00535CBE"/>
    <w:rsid w:val="005369E2"/>
    <w:rsid w:val="005374C5"/>
    <w:rsid w:val="0053793B"/>
    <w:rsid w:val="0054068C"/>
    <w:rsid w:val="005450BB"/>
    <w:rsid w:val="00550E42"/>
    <w:rsid w:val="00553E9D"/>
    <w:rsid w:val="00554485"/>
    <w:rsid w:val="00554AFC"/>
    <w:rsid w:val="00555CCA"/>
    <w:rsid w:val="0055703E"/>
    <w:rsid w:val="005755DA"/>
    <w:rsid w:val="00587FA1"/>
    <w:rsid w:val="005C516C"/>
    <w:rsid w:val="005C6160"/>
    <w:rsid w:val="005E0143"/>
    <w:rsid w:val="005E4FB0"/>
    <w:rsid w:val="005E59AC"/>
    <w:rsid w:val="005F7B61"/>
    <w:rsid w:val="00607AFA"/>
    <w:rsid w:val="00612CFF"/>
    <w:rsid w:val="0061795E"/>
    <w:rsid w:val="00625194"/>
    <w:rsid w:val="006416F9"/>
    <w:rsid w:val="00643F96"/>
    <w:rsid w:val="00646759"/>
    <w:rsid w:val="00661683"/>
    <w:rsid w:val="0067748E"/>
    <w:rsid w:val="00687022"/>
    <w:rsid w:val="006900F6"/>
    <w:rsid w:val="00690A75"/>
    <w:rsid w:val="00693A36"/>
    <w:rsid w:val="00697535"/>
    <w:rsid w:val="006A5D7E"/>
    <w:rsid w:val="006B02E7"/>
    <w:rsid w:val="006B05B8"/>
    <w:rsid w:val="006B2ABF"/>
    <w:rsid w:val="006B3382"/>
    <w:rsid w:val="006B5C46"/>
    <w:rsid w:val="006B7F33"/>
    <w:rsid w:val="006C120E"/>
    <w:rsid w:val="006C1803"/>
    <w:rsid w:val="006C3E94"/>
    <w:rsid w:val="006D4B87"/>
    <w:rsid w:val="006E54B3"/>
    <w:rsid w:val="006E7DBF"/>
    <w:rsid w:val="00706222"/>
    <w:rsid w:val="00707ECB"/>
    <w:rsid w:val="00713984"/>
    <w:rsid w:val="00717EE2"/>
    <w:rsid w:val="00727B52"/>
    <w:rsid w:val="00733C07"/>
    <w:rsid w:val="00740FB6"/>
    <w:rsid w:val="00757AB9"/>
    <w:rsid w:val="00757E20"/>
    <w:rsid w:val="00776A42"/>
    <w:rsid w:val="00776C4B"/>
    <w:rsid w:val="00787D4B"/>
    <w:rsid w:val="007A33A2"/>
    <w:rsid w:val="007A4F5A"/>
    <w:rsid w:val="007B2694"/>
    <w:rsid w:val="007B5B3E"/>
    <w:rsid w:val="007C2EC5"/>
    <w:rsid w:val="007D3E8C"/>
    <w:rsid w:val="007D7B85"/>
    <w:rsid w:val="007E4441"/>
    <w:rsid w:val="007F093A"/>
    <w:rsid w:val="007F13AF"/>
    <w:rsid w:val="007F2971"/>
    <w:rsid w:val="008027F6"/>
    <w:rsid w:val="0081420F"/>
    <w:rsid w:val="00815821"/>
    <w:rsid w:val="0082382F"/>
    <w:rsid w:val="00825746"/>
    <w:rsid w:val="00826ECD"/>
    <w:rsid w:val="00835169"/>
    <w:rsid w:val="00836E27"/>
    <w:rsid w:val="008371A6"/>
    <w:rsid w:val="00840CB1"/>
    <w:rsid w:val="00841BEA"/>
    <w:rsid w:val="008465F2"/>
    <w:rsid w:val="008A26E7"/>
    <w:rsid w:val="008B2567"/>
    <w:rsid w:val="008B534B"/>
    <w:rsid w:val="008B7FEA"/>
    <w:rsid w:val="008C3F9F"/>
    <w:rsid w:val="008E6406"/>
    <w:rsid w:val="008F5A60"/>
    <w:rsid w:val="00903F4B"/>
    <w:rsid w:val="009065D7"/>
    <w:rsid w:val="009128FB"/>
    <w:rsid w:val="00915C09"/>
    <w:rsid w:val="00916C5C"/>
    <w:rsid w:val="009209A6"/>
    <w:rsid w:val="009211D7"/>
    <w:rsid w:val="00925BD1"/>
    <w:rsid w:val="009314A1"/>
    <w:rsid w:val="0094454A"/>
    <w:rsid w:val="00953C9D"/>
    <w:rsid w:val="00967A95"/>
    <w:rsid w:val="0097166D"/>
    <w:rsid w:val="00976825"/>
    <w:rsid w:val="009914B8"/>
    <w:rsid w:val="009A2187"/>
    <w:rsid w:val="009B0530"/>
    <w:rsid w:val="009B5A33"/>
    <w:rsid w:val="009D7CBC"/>
    <w:rsid w:val="009F0C3B"/>
    <w:rsid w:val="009F41FB"/>
    <w:rsid w:val="00A06314"/>
    <w:rsid w:val="00A154BE"/>
    <w:rsid w:val="00A248E8"/>
    <w:rsid w:val="00A24943"/>
    <w:rsid w:val="00A33CFD"/>
    <w:rsid w:val="00A404B7"/>
    <w:rsid w:val="00A421F0"/>
    <w:rsid w:val="00A47AE8"/>
    <w:rsid w:val="00A5167F"/>
    <w:rsid w:val="00A56CBD"/>
    <w:rsid w:val="00A5778F"/>
    <w:rsid w:val="00A640E6"/>
    <w:rsid w:val="00A71B44"/>
    <w:rsid w:val="00A96987"/>
    <w:rsid w:val="00AA4AA2"/>
    <w:rsid w:val="00AB4BAB"/>
    <w:rsid w:val="00AC1950"/>
    <w:rsid w:val="00AD20E8"/>
    <w:rsid w:val="00AD7E0A"/>
    <w:rsid w:val="00AF5918"/>
    <w:rsid w:val="00AF5D67"/>
    <w:rsid w:val="00B175A8"/>
    <w:rsid w:val="00B177D6"/>
    <w:rsid w:val="00B214E7"/>
    <w:rsid w:val="00B2539D"/>
    <w:rsid w:val="00B26E09"/>
    <w:rsid w:val="00B4171E"/>
    <w:rsid w:val="00B51E40"/>
    <w:rsid w:val="00B5262F"/>
    <w:rsid w:val="00B65193"/>
    <w:rsid w:val="00B67D4D"/>
    <w:rsid w:val="00B7209A"/>
    <w:rsid w:val="00B82367"/>
    <w:rsid w:val="00B8380D"/>
    <w:rsid w:val="00B84D47"/>
    <w:rsid w:val="00B94910"/>
    <w:rsid w:val="00B94B03"/>
    <w:rsid w:val="00B9752B"/>
    <w:rsid w:val="00BA05C6"/>
    <w:rsid w:val="00BA19BD"/>
    <w:rsid w:val="00BA58B2"/>
    <w:rsid w:val="00BB08BB"/>
    <w:rsid w:val="00BB4140"/>
    <w:rsid w:val="00BB53D1"/>
    <w:rsid w:val="00BC6C3D"/>
    <w:rsid w:val="00BC718E"/>
    <w:rsid w:val="00BD2E36"/>
    <w:rsid w:val="00BD4D52"/>
    <w:rsid w:val="00BD4EE3"/>
    <w:rsid w:val="00BF2CA6"/>
    <w:rsid w:val="00BF5374"/>
    <w:rsid w:val="00C0726C"/>
    <w:rsid w:val="00C21508"/>
    <w:rsid w:val="00C2397C"/>
    <w:rsid w:val="00C24746"/>
    <w:rsid w:val="00C26EE9"/>
    <w:rsid w:val="00C32625"/>
    <w:rsid w:val="00C54C6D"/>
    <w:rsid w:val="00C5725C"/>
    <w:rsid w:val="00C67471"/>
    <w:rsid w:val="00C742B1"/>
    <w:rsid w:val="00C77BDB"/>
    <w:rsid w:val="00C845BE"/>
    <w:rsid w:val="00C875A8"/>
    <w:rsid w:val="00C879B3"/>
    <w:rsid w:val="00C90235"/>
    <w:rsid w:val="00C9064B"/>
    <w:rsid w:val="00CA30D1"/>
    <w:rsid w:val="00CA51C9"/>
    <w:rsid w:val="00CA6D5E"/>
    <w:rsid w:val="00CB1EF2"/>
    <w:rsid w:val="00CB3E63"/>
    <w:rsid w:val="00CB6D24"/>
    <w:rsid w:val="00CC1A7F"/>
    <w:rsid w:val="00CC2882"/>
    <w:rsid w:val="00CC49AB"/>
    <w:rsid w:val="00CD24AC"/>
    <w:rsid w:val="00CF0204"/>
    <w:rsid w:val="00CF18AE"/>
    <w:rsid w:val="00D0582C"/>
    <w:rsid w:val="00D22F52"/>
    <w:rsid w:val="00D35A9B"/>
    <w:rsid w:val="00D40B8E"/>
    <w:rsid w:val="00D40BF2"/>
    <w:rsid w:val="00D42F19"/>
    <w:rsid w:val="00D571FD"/>
    <w:rsid w:val="00D60EA7"/>
    <w:rsid w:val="00D72C3C"/>
    <w:rsid w:val="00D75AFE"/>
    <w:rsid w:val="00D87F19"/>
    <w:rsid w:val="00D90249"/>
    <w:rsid w:val="00D91671"/>
    <w:rsid w:val="00DC11D3"/>
    <w:rsid w:val="00DC50CA"/>
    <w:rsid w:val="00DC52BB"/>
    <w:rsid w:val="00DC650F"/>
    <w:rsid w:val="00DF1AB2"/>
    <w:rsid w:val="00DF4720"/>
    <w:rsid w:val="00E0101D"/>
    <w:rsid w:val="00E13D42"/>
    <w:rsid w:val="00E2701A"/>
    <w:rsid w:val="00E3098C"/>
    <w:rsid w:val="00E37087"/>
    <w:rsid w:val="00E40CAC"/>
    <w:rsid w:val="00E47709"/>
    <w:rsid w:val="00E50C7E"/>
    <w:rsid w:val="00E625C6"/>
    <w:rsid w:val="00E83EA5"/>
    <w:rsid w:val="00E902FF"/>
    <w:rsid w:val="00EB55D8"/>
    <w:rsid w:val="00EC0EA6"/>
    <w:rsid w:val="00EC36A6"/>
    <w:rsid w:val="00EC71F2"/>
    <w:rsid w:val="00ED33F6"/>
    <w:rsid w:val="00ED4009"/>
    <w:rsid w:val="00ED4AEC"/>
    <w:rsid w:val="00EF7F0A"/>
    <w:rsid w:val="00F006D8"/>
    <w:rsid w:val="00F2321F"/>
    <w:rsid w:val="00F2481A"/>
    <w:rsid w:val="00F373CB"/>
    <w:rsid w:val="00F436F1"/>
    <w:rsid w:val="00F47183"/>
    <w:rsid w:val="00F51ADC"/>
    <w:rsid w:val="00F53785"/>
    <w:rsid w:val="00F72BF9"/>
    <w:rsid w:val="00F73987"/>
    <w:rsid w:val="00F769C3"/>
    <w:rsid w:val="00F84B34"/>
    <w:rsid w:val="00F92A5F"/>
    <w:rsid w:val="00F9639C"/>
    <w:rsid w:val="00FA1A3C"/>
    <w:rsid w:val="00FC014F"/>
    <w:rsid w:val="00FC19C4"/>
    <w:rsid w:val="00FD392B"/>
    <w:rsid w:val="00FE1AD4"/>
    <w:rsid w:val="00FE2087"/>
    <w:rsid w:val="00F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right"/>
      <w:outlineLvl w:val="2"/>
    </w:pPr>
    <w:rPr>
      <w:rFonts w:ascii="Arial" w:hAnsi="Arial"/>
      <w:b/>
      <w:color w:val="000000"/>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ind w:right="73"/>
      <w:jc w:val="right"/>
      <w:outlineLvl w:val="5"/>
    </w:pPr>
    <w:rPr>
      <w:i/>
      <w:iCs/>
      <w:color w:val="0000FF"/>
    </w:rPr>
  </w:style>
  <w:style w:type="paragraph" w:styleId="Heading7">
    <w:name w:val="heading 7"/>
    <w:basedOn w:val="Normal"/>
    <w:next w:val="Normal"/>
    <w:qFormat/>
    <w:pPr>
      <w:keepNext/>
      <w:outlineLvl w:val="6"/>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20"/>
      <w:vertAlign w:val="superscript"/>
    </w:rPr>
  </w:style>
  <w:style w:type="paragraph" w:styleId="Title">
    <w:name w:val="Title"/>
    <w:basedOn w:val="Normal"/>
    <w:qFormat/>
    <w:pPr>
      <w:jc w:val="center"/>
    </w:pPr>
    <w:rPr>
      <w:rFonts w:ascii="Arial" w:hAnsi="Arial"/>
      <w:b/>
      <w:sz w:val="40"/>
    </w:rPr>
  </w:style>
  <w:style w:type="paragraph" w:styleId="FootnoteText">
    <w:name w:val="footnote text"/>
    <w:basedOn w:val="Normal"/>
    <w:link w:val="FootnoteTextChar"/>
    <w:semiHidden/>
    <w:pPr>
      <w:keepLines/>
    </w:pPr>
    <w:rPr>
      <w:sz w:val="20"/>
      <w:lang w:val="x-none" w:eastAsia="x-none"/>
    </w:rPr>
  </w:style>
  <w:style w:type="paragraph" w:customStyle="1" w:styleId="BodyofReport">
    <w:name w:val="Body of Report"/>
    <w:basedOn w:val="Normal"/>
    <w:pPr>
      <w:widowControl/>
      <w:spacing w:line="312" w:lineRule="auto"/>
      <w:ind w:firstLine="720"/>
    </w:pPr>
    <w:rPr>
      <w:snapToGrid/>
    </w:rPr>
  </w:style>
  <w:style w:type="paragraph" w:styleId="Subtitle">
    <w:name w:val="Subtitle"/>
    <w:basedOn w:val="Normal"/>
    <w:qFormat/>
    <w:pPr>
      <w:spacing w:after="60"/>
      <w:jc w:val="center"/>
      <w:outlineLvl w:val="1"/>
    </w:pPr>
    <w:rPr>
      <w:rFonts w:ascii="Arial" w:hAnsi="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pPr>
      <w:widowControl/>
    </w:pPr>
    <w:rPr>
      <w:rFonts w:ascii="Courier New" w:hAnsi="Courier New"/>
      <w:snapToGrid/>
      <w:sz w:val="2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DocumentClient">
    <w:name w:val="Document Client"/>
    <w:basedOn w:val="Normal"/>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pPr>
      <w:framePr w:wrap="around"/>
    </w:pPr>
    <w:rPr>
      <w:b/>
      <w:w w:val="98"/>
      <w:sz w:val="28"/>
    </w:rPr>
  </w:style>
  <w:style w:type="paragraph" w:customStyle="1" w:styleId="DocumentDate">
    <w:name w:val="Document Date"/>
    <w:basedOn w:val="DocumentClient"/>
    <w:pPr>
      <w:framePr w:wrap="around"/>
      <w:spacing w:after="1440"/>
    </w:pPr>
    <w:rPr>
      <w:sz w:val="16"/>
    </w:rPr>
  </w:style>
  <w:style w:type="character" w:customStyle="1" w:styleId="FootnoteTextChar">
    <w:name w:val="Footnote Text Char"/>
    <w:link w:val="FootnoteText"/>
    <w:semiHidden/>
    <w:rsid w:val="00186489"/>
    <w:rPr>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right"/>
      <w:outlineLvl w:val="2"/>
    </w:pPr>
    <w:rPr>
      <w:rFonts w:ascii="Arial" w:hAnsi="Arial"/>
      <w:b/>
      <w:color w:val="000000"/>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ind w:right="73"/>
      <w:jc w:val="right"/>
      <w:outlineLvl w:val="5"/>
    </w:pPr>
    <w:rPr>
      <w:i/>
      <w:iCs/>
      <w:color w:val="0000FF"/>
    </w:rPr>
  </w:style>
  <w:style w:type="paragraph" w:styleId="Heading7">
    <w:name w:val="heading 7"/>
    <w:basedOn w:val="Normal"/>
    <w:next w:val="Normal"/>
    <w:qFormat/>
    <w:pPr>
      <w:keepNext/>
      <w:outlineLvl w:val="6"/>
    </w:pPr>
    <w:rPr>
      <w:rFonts w:ascii="Arial" w:hAnsi="Arial" w:cs="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20"/>
      <w:vertAlign w:val="superscript"/>
    </w:rPr>
  </w:style>
  <w:style w:type="paragraph" w:styleId="Title">
    <w:name w:val="Title"/>
    <w:basedOn w:val="Normal"/>
    <w:qFormat/>
    <w:pPr>
      <w:jc w:val="center"/>
    </w:pPr>
    <w:rPr>
      <w:rFonts w:ascii="Arial" w:hAnsi="Arial"/>
      <w:b/>
      <w:sz w:val="40"/>
    </w:rPr>
  </w:style>
  <w:style w:type="paragraph" w:styleId="FootnoteText">
    <w:name w:val="footnote text"/>
    <w:basedOn w:val="Normal"/>
    <w:link w:val="FootnoteTextChar"/>
    <w:semiHidden/>
    <w:pPr>
      <w:keepLines/>
    </w:pPr>
    <w:rPr>
      <w:sz w:val="20"/>
      <w:lang w:val="x-none" w:eastAsia="x-none"/>
    </w:rPr>
  </w:style>
  <w:style w:type="paragraph" w:customStyle="1" w:styleId="BodyofReport">
    <w:name w:val="Body of Report"/>
    <w:basedOn w:val="Normal"/>
    <w:pPr>
      <w:widowControl/>
      <w:spacing w:line="312" w:lineRule="auto"/>
      <w:ind w:firstLine="720"/>
    </w:pPr>
    <w:rPr>
      <w:snapToGrid/>
    </w:rPr>
  </w:style>
  <w:style w:type="paragraph" w:styleId="Subtitle">
    <w:name w:val="Subtitle"/>
    <w:basedOn w:val="Normal"/>
    <w:qFormat/>
    <w:pPr>
      <w:spacing w:after="60"/>
      <w:jc w:val="center"/>
      <w:outlineLvl w:val="1"/>
    </w:pPr>
    <w:rPr>
      <w:rFonts w:ascii="Arial" w:hAnsi="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pPr>
      <w:widowControl/>
    </w:pPr>
    <w:rPr>
      <w:rFonts w:ascii="Courier New" w:hAnsi="Courier New"/>
      <w:snapToGrid/>
      <w:sz w:val="2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customStyle="1" w:styleId="DocumentClient">
    <w:name w:val="Document Client"/>
    <w:basedOn w:val="Normal"/>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pPr>
      <w:framePr w:wrap="around"/>
    </w:pPr>
    <w:rPr>
      <w:b/>
      <w:w w:val="98"/>
      <w:sz w:val="28"/>
    </w:rPr>
  </w:style>
  <w:style w:type="paragraph" w:customStyle="1" w:styleId="DocumentDate">
    <w:name w:val="Document Date"/>
    <w:basedOn w:val="DocumentClient"/>
    <w:pPr>
      <w:framePr w:wrap="around"/>
      <w:spacing w:after="1440"/>
    </w:pPr>
    <w:rPr>
      <w:sz w:val="16"/>
    </w:rPr>
  </w:style>
  <w:style w:type="character" w:customStyle="1" w:styleId="FootnoteTextChar">
    <w:name w:val="Footnote Text Char"/>
    <w:link w:val="FootnoteText"/>
    <w:semiHidden/>
    <w:rsid w:val="00186489"/>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2">
      <w:bodyDiv w:val="1"/>
      <w:marLeft w:val="0"/>
      <w:marRight w:val="0"/>
      <w:marTop w:val="0"/>
      <w:marBottom w:val="0"/>
      <w:divBdr>
        <w:top w:val="none" w:sz="0" w:space="0" w:color="auto"/>
        <w:left w:val="none" w:sz="0" w:space="0" w:color="auto"/>
        <w:bottom w:val="none" w:sz="0" w:space="0" w:color="auto"/>
        <w:right w:val="none" w:sz="0" w:space="0" w:color="auto"/>
      </w:divBdr>
    </w:div>
    <w:div w:id="9647201">
      <w:bodyDiv w:val="1"/>
      <w:marLeft w:val="0"/>
      <w:marRight w:val="0"/>
      <w:marTop w:val="0"/>
      <w:marBottom w:val="0"/>
      <w:divBdr>
        <w:top w:val="none" w:sz="0" w:space="0" w:color="auto"/>
        <w:left w:val="none" w:sz="0" w:space="0" w:color="auto"/>
        <w:bottom w:val="none" w:sz="0" w:space="0" w:color="auto"/>
        <w:right w:val="none" w:sz="0" w:space="0" w:color="auto"/>
      </w:divBdr>
    </w:div>
    <w:div w:id="29383447">
      <w:bodyDiv w:val="1"/>
      <w:marLeft w:val="0"/>
      <w:marRight w:val="0"/>
      <w:marTop w:val="0"/>
      <w:marBottom w:val="0"/>
      <w:divBdr>
        <w:top w:val="none" w:sz="0" w:space="0" w:color="auto"/>
        <w:left w:val="none" w:sz="0" w:space="0" w:color="auto"/>
        <w:bottom w:val="none" w:sz="0" w:space="0" w:color="auto"/>
        <w:right w:val="none" w:sz="0" w:space="0" w:color="auto"/>
      </w:divBdr>
    </w:div>
    <w:div w:id="84497186">
      <w:bodyDiv w:val="1"/>
      <w:marLeft w:val="0"/>
      <w:marRight w:val="0"/>
      <w:marTop w:val="0"/>
      <w:marBottom w:val="0"/>
      <w:divBdr>
        <w:top w:val="none" w:sz="0" w:space="0" w:color="auto"/>
        <w:left w:val="none" w:sz="0" w:space="0" w:color="auto"/>
        <w:bottom w:val="none" w:sz="0" w:space="0" w:color="auto"/>
        <w:right w:val="none" w:sz="0" w:space="0" w:color="auto"/>
      </w:divBdr>
    </w:div>
    <w:div w:id="95639881">
      <w:bodyDiv w:val="1"/>
      <w:marLeft w:val="0"/>
      <w:marRight w:val="0"/>
      <w:marTop w:val="0"/>
      <w:marBottom w:val="0"/>
      <w:divBdr>
        <w:top w:val="none" w:sz="0" w:space="0" w:color="auto"/>
        <w:left w:val="none" w:sz="0" w:space="0" w:color="auto"/>
        <w:bottom w:val="none" w:sz="0" w:space="0" w:color="auto"/>
        <w:right w:val="none" w:sz="0" w:space="0" w:color="auto"/>
      </w:divBdr>
    </w:div>
    <w:div w:id="137109206">
      <w:bodyDiv w:val="1"/>
      <w:marLeft w:val="0"/>
      <w:marRight w:val="0"/>
      <w:marTop w:val="0"/>
      <w:marBottom w:val="0"/>
      <w:divBdr>
        <w:top w:val="none" w:sz="0" w:space="0" w:color="auto"/>
        <w:left w:val="none" w:sz="0" w:space="0" w:color="auto"/>
        <w:bottom w:val="none" w:sz="0" w:space="0" w:color="auto"/>
        <w:right w:val="none" w:sz="0" w:space="0" w:color="auto"/>
      </w:divBdr>
    </w:div>
    <w:div w:id="164714013">
      <w:bodyDiv w:val="1"/>
      <w:marLeft w:val="0"/>
      <w:marRight w:val="0"/>
      <w:marTop w:val="0"/>
      <w:marBottom w:val="0"/>
      <w:divBdr>
        <w:top w:val="none" w:sz="0" w:space="0" w:color="auto"/>
        <w:left w:val="none" w:sz="0" w:space="0" w:color="auto"/>
        <w:bottom w:val="none" w:sz="0" w:space="0" w:color="auto"/>
        <w:right w:val="none" w:sz="0" w:space="0" w:color="auto"/>
      </w:divBdr>
    </w:div>
    <w:div w:id="184487492">
      <w:bodyDiv w:val="1"/>
      <w:marLeft w:val="0"/>
      <w:marRight w:val="0"/>
      <w:marTop w:val="0"/>
      <w:marBottom w:val="0"/>
      <w:divBdr>
        <w:top w:val="none" w:sz="0" w:space="0" w:color="auto"/>
        <w:left w:val="none" w:sz="0" w:space="0" w:color="auto"/>
        <w:bottom w:val="none" w:sz="0" w:space="0" w:color="auto"/>
        <w:right w:val="none" w:sz="0" w:space="0" w:color="auto"/>
      </w:divBdr>
    </w:div>
    <w:div w:id="193229226">
      <w:bodyDiv w:val="1"/>
      <w:marLeft w:val="0"/>
      <w:marRight w:val="0"/>
      <w:marTop w:val="0"/>
      <w:marBottom w:val="0"/>
      <w:divBdr>
        <w:top w:val="none" w:sz="0" w:space="0" w:color="auto"/>
        <w:left w:val="none" w:sz="0" w:space="0" w:color="auto"/>
        <w:bottom w:val="none" w:sz="0" w:space="0" w:color="auto"/>
        <w:right w:val="none" w:sz="0" w:space="0" w:color="auto"/>
      </w:divBdr>
    </w:div>
    <w:div w:id="257253559">
      <w:bodyDiv w:val="1"/>
      <w:marLeft w:val="0"/>
      <w:marRight w:val="0"/>
      <w:marTop w:val="0"/>
      <w:marBottom w:val="0"/>
      <w:divBdr>
        <w:top w:val="none" w:sz="0" w:space="0" w:color="auto"/>
        <w:left w:val="none" w:sz="0" w:space="0" w:color="auto"/>
        <w:bottom w:val="none" w:sz="0" w:space="0" w:color="auto"/>
        <w:right w:val="none" w:sz="0" w:space="0" w:color="auto"/>
      </w:divBdr>
    </w:div>
    <w:div w:id="264310105">
      <w:bodyDiv w:val="1"/>
      <w:marLeft w:val="0"/>
      <w:marRight w:val="0"/>
      <w:marTop w:val="0"/>
      <w:marBottom w:val="0"/>
      <w:divBdr>
        <w:top w:val="none" w:sz="0" w:space="0" w:color="auto"/>
        <w:left w:val="none" w:sz="0" w:space="0" w:color="auto"/>
        <w:bottom w:val="none" w:sz="0" w:space="0" w:color="auto"/>
        <w:right w:val="none" w:sz="0" w:space="0" w:color="auto"/>
      </w:divBdr>
    </w:div>
    <w:div w:id="314997416">
      <w:bodyDiv w:val="1"/>
      <w:marLeft w:val="0"/>
      <w:marRight w:val="0"/>
      <w:marTop w:val="0"/>
      <w:marBottom w:val="0"/>
      <w:divBdr>
        <w:top w:val="none" w:sz="0" w:space="0" w:color="auto"/>
        <w:left w:val="none" w:sz="0" w:space="0" w:color="auto"/>
        <w:bottom w:val="none" w:sz="0" w:space="0" w:color="auto"/>
        <w:right w:val="none" w:sz="0" w:space="0" w:color="auto"/>
      </w:divBdr>
    </w:div>
    <w:div w:id="318267026">
      <w:bodyDiv w:val="1"/>
      <w:marLeft w:val="0"/>
      <w:marRight w:val="0"/>
      <w:marTop w:val="0"/>
      <w:marBottom w:val="0"/>
      <w:divBdr>
        <w:top w:val="none" w:sz="0" w:space="0" w:color="auto"/>
        <w:left w:val="none" w:sz="0" w:space="0" w:color="auto"/>
        <w:bottom w:val="none" w:sz="0" w:space="0" w:color="auto"/>
        <w:right w:val="none" w:sz="0" w:space="0" w:color="auto"/>
      </w:divBdr>
    </w:div>
    <w:div w:id="322589696">
      <w:bodyDiv w:val="1"/>
      <w:marLeft w:val="0"/>
      <w:marRight w:val="0"/>
      <w:marTop w:val="0"/>
      <w:marBottom w:val="0"/>
      <w:divBdr>
        <w:top w:val="none" w:sz="0" w:space="0" w:color="auto"/>
        <w:left w:val="none" w:sz="0" w:space="0" w:color="auto"/>
        <w:bottom w:val="none" w:sz="0" w:space="0" w:color="auto"/>
        <w:right w:val="none" w:sz="0" w:space="0" w:color="auto"/>
      </w:divBdr>
    </w:div>
    <w:div w:id="339040527">
      <w:bodyDiv w:val="1"/>
      <w:marLeft w:val="0"/>
      <w:marRight w:val="0"/>
      <w:marTop w:val="0"/>
      <w:marBottom w:val="0"/>
      <w:divBdr>
        <w:top w:val="none" w:sz="0" w:space="0" w:color="auto"/>
        <w:left w:val="none" w:sz="0" w:space="0" w:color="auto"/>
        <w:bottom w:val="none" w:sz="0" w:space="0" w:color="auto"/>
        <w:right w:val="none" w:sz="0" w:space="0" w:color="auto"/>
      </w:divBdr>
    </w:div>
    <w:div w:id="342561500">
      <w:bodyDiv w:val="1"/>
      <w:marLeft w:val="0"/>
      <w:marRight w:val="0"/>
      <w:marTop w:val="0"/>
      <w:marBottom w:val="0"/>
      <w:divBdr>
        <w:top w:val="none" w:sz="0" w:space="0" w:color="auto"/>
        <w:left w:val="none" w:sz="0" w:space="0" w:color="auto"/>
        <w:bottom w:val="none" w:sz="0" w:space="0" w:color="auto"/>
        <w:right w:val="none" w:sz="0" w:space="0" w:color="auto"/>
      </w:divBdr>
    </w:div>
    <w:div w:id="372269111">
      <w:bodyDiv w:val="1"/>
      <w:marLeft w:val="0"/>
      <w:marRight w:val="0"/>
      <w:marTop w:val="0"/>
      <w:marBottom w:val="0"/>
      <w:divBdr>
        <w:top w:val="none" w:sz="0" w:space="0" w:color="auto"/>
        <w:left w:val="none" w:sz="0" w:space="0" w:color="auto"/>
        <w:bottom w:val="none" w:sz="0" w:space="0" w:color="auto"/>
        <w:right w:val="none" w:sz="0" w:space="0" w:color="auto"/>
      </w:divBdr>
    </w:div>
    <w:div w:id="420878872">
      <w:bodyDiv w:val="1"/>
      <w:marLeft w:val="0"/>
      <w:marRight w:val="0"/>
      <w:marTop w:val="0"/>
      <w:marBottom w:val="0"/>
      <w:divBdr>
        <w:top w:val="none" w:sz="0" w:space="0" w:color="auto"/>
        <w:left w:val="none" w:sz="0" w:space="0" w:color="auto"/>
        <w:bottom w:val="none" w:sz="0" w:space="0" w:color="auto"/>
        <w:right w:val="none" w:sz="0" w:space="0" w:color="auto"/>
      </w:divBdr>
    </w:div>
    <w:div w:id="428935913">
      <w:bodyDiv w:val="1"/>
      <w:marLeft w:val="0"/>
      <w:marRight w:val="0"/>
      <w:marTop w:val="0"/>
      <w:marBottom w:val="0"/>
      <w:divBdr>
        <w:top w:val="none" w:sz="0" w:space="0" w:color="auto"/>
        <w:left w:val="none" w:sz="0" w:space="0" w:color="auto"/>
        <w:bottom w:val="none" w:sz="0" w:space="0" w:color="auto"/>
        <w:right w:val="none" w:sz="0" w:space="0" w:color="auto"/>
      </w:divBdr>
    </w:div>
    <w:div w:id="430129120">
      <w:bodyDiv w:val="1"/>
      <w:marLeft w:val="0"/>
      <w:marRight w:val="0"/>
      <w:marTop w:val="0"/>
      <w:marBottom w:val="0"/>
      <w:divBdr>
        <w:top w:val="none" w:sz="0" w:space="0" w:color="auto"/>
        <w:left w:val="none" w:sz="0" w:space="0" w:color="auto"/>
        <w:bottom w:val="none" w:sz="0" w:space="0" w:color="auto"/>
        <w:right w:val="none" w:sz="0" w:space="0" w:color="auto"/>
      </w:divBdr>
    </w:div>
    <w:div w:id="453254712">
      <w:bodyDiv w:val="1"/>
      <w:marLeft w:val="0"/>
      <w:marRight w:val="0"/>
      <w:marTop w:val="0"/>
      <w:marBottom w:val="0"/>
      <w:divBdr>
        <w:top w:val="none" w:sz="0" w:space="0" w:color="auto"/>
        <w:left w:val="none" w:sz="0" w:space="0" w:color="auto"/>
        <w:bottom w:val="none" w:sz="0" w:space="0" w:color="auto"/>
        <w:right w:val="none" w:sz="0" w:space="0" w:color="auto"/>
      </w:divBdr>
    </w:div>
    <w:div w:id="462584124">
      <w:bodyDiv w:val="1"/>
      <w:marLeft w:val="0"/>
      <w:marRight w:val="0"/>
      <w:marTop w:val="0"/>
      <w:marBottom w:val="0"/>
      <w:divBdr>
        <w:top w:val="none" w:sz="0" w:space="0" w:color="auto"/>
        <w:left w:val="none" w:sz="0" w:space="0" w:color="auto"/>
        <w:bottom w:val="none" w:sz="0" w:space="0" w:color="auto"/>
        <w:right w:val="none" w:sz="0" w:space="0" w:color="auto"/>
      </w:divBdr>
    </w:div>
    <w:div w:id="485364098">
      <w:bodyDiv w:val="1"/>
      <w:marLeft w:val="0"/>
      <w:marRight w:val="0"/>
      <w:marTop w:val="0"/>
      <w:marBottom w:val="0"/>
      <w:divBdr>
        <w:top w:val="none" w:sz="0" w:space="0" w:color="auto"/>
        <w:left w:val="none" w:sz="0" w:space="0" w:color="auto"/>
        <w:bottom w:val="none" w:sz="0" w:space="0" w:color="auto"/>
        <w:right w:val="none" w:sz="0" w:space="0" w:color="auto"/>
      </w:divBdr>
    </w:div>
    <w:div w:id="498540552">
      <w:bodyDiv w:val="1"/>
      <w:marLeft w:val="0"/>
      <w:marRight w:val="0"/>
      <w:marTop w:val="0"/>
      <w:marBottom w:val="0"/>
      <w:divBdr>
        <w:top w:val="none" w:sz="0" w:space="0" w:color="auto"/>
        <w:left w:val="none" w:sz="0" w:space="0" w:color="auto"/>
        <w:bottom w:val="none" w:sz="0" w:space="0" w:color="auto"/>
        <w:right w:val="none" w:sz="0" w:space="0" w:color="auto"/>
      </w:divBdr>
    </w:div>
    <w:div w:id="500896353">
      <w:bodyDiv w:val="1"/>
      <w:marLeft w:val="0"/>
      <w:marRight w:val="0"/>
      <w:marTop w:val="0"/>
      <w:marBottom w:val="0"/>
      <w:divBdr>
        <w:top w:val="none" w:sz="0" w:space="0" w:color="auto"/>
        <w:left w:val="none" w:sz="0" w:space="0" w:color="auto"/>
        <w:bottom w:val="none" w:sz="0" w:space="0" w:color="auto"/>
        <w:right w:val="none" w:sz="0" w:space="0" w:color="auto"/>
      </w:divBdr>
    </w:div>
    <w:div w:id="504855692">
      <w:bodyDiv w:val="1"/>
      <w:marLeft w:val="0"/>
      <w:marRight w:val="0"/>
      <w:marTop w:val="0"/>
      <w:marBottom w:val="0"/>
      <w:divBdr>
        <w:top w:val="none" w:sz="0" w:space="0" w:color="auto"/>
        <w:left w:val="none" w:sz="0" w:space="0" w:color="auto"/>
        <w:bottom w:val="none" w:sz="0" w:space="0" w:color="auto"/>
        <w:right w:val="none" w:sz="0" w:space="0" w:color="auto"/>
      </w:divBdr>
    </w:div>
    <w:div w:id="504902027">
      <w:bodyDiv w:val="1"/>
      <w:marLeft w:val="0"/>
      <w:marRight w:val="0"/>
      <w:marTop w:val="0"/>
      <w:marBottom w:val="0"/>
      <w:divBdr>
        <w:top w:val="none" w:sz="0" w:space="0" w:color="auto"/>
        <w:left w:val="none" w:sz="0" w:space="0" w:color="auto"/>
        <w:bottom w:val="none" w:sz="0" w:space="0" w:color="auto"/>
        <w:right w:val="none" w:sz="0" w:space="0" w:color="auto"/>
      </w:divBdr>
    </w:div>
    <w:div w:id="533032245">
      <w:bodyDiv w:val="1"/>
      <w:marLeft w:val="0"/>
      <w:marRight w:val="0"/>
      <w:marTop w:val="0"/>
      <w:marBottom w:val="0"/>
      <w:divBdr>
        <w:top w:val="none" w:sz="0" w:space="0" w:color="auto"/>
        <w:left w:val="none" w:sz="0" w:space="0" w:color="auto"/>
        <w:bottom w:val="none" w:sz="0" w:space="0" w:color="auto"/>
        <w:right w:val="none" w:sz="0" w:space="0" w:color="auto"/>
      </w:divBdr>
    </w:div>
    <w:div w:id="567155586">
      <w:bodyDiv w:val="1"/>
      <w:marLeft w:val="0"/>
      <w:marRight w:val="0"/>
      <w:marTop w:val="0"/>
      <w:marBottom w:val="0"/>
      <w:divBdr>
        <w:top w:val="none" w:sz="0" w:space="0" w:color="auto"/>
        <w:left w:val="none" w:sz="0" w:space="0" w:color="auto"/>
        <w:bottom w:val="none" w:sz="0" w:space="0" w:color="auto"/>
        <w:right w:val="none" w:sz="0" w:space="0" w:color="auto"/>
      </w:divBdr>
    </w:div>
    <w:div w:id="572816167">
      <w:bodyDiv w:val="1"/>
      <w:marLeft w:val="0"/>
      <w:marRight w:val="0"/>
      <w:marTop w:val="0"/>
      <w:marBottom w:val="0"/>
      <w:divBdr>
        <w:top w:val="none" w:sz="0" w:space="0" w:color="auto"/>
        <w:left w:val="none" w:sz="0" w:space="0" w:color="auto"/>
        <w:bottom w:val="none" w:sz="0" w:space="0" w:color="auto"/>
        <w:right w:val="none" w:sz="0" w:space="0" w:color="auto"/>
      </w:divBdr>
    </w:div>
    <w:div w:id="596525831">
      <w:bodyDiv w:val="1"/>
      <w:marLeft w:val="0"/>
      <w:marRight w:val="0"/>
      <w:marTop w:val="0"/>
      <w:marBottom w:val="0"/>
      <w:divBdr>
        <w:top w:val="none" w:sz="0" w:space="0" w:color="auto"/>
        <w:left w:val="none" w:sz="0" w:space="0" w:color="auto"/>
        <w:bottom w:val="none" w:sz="0" w:space="0" w:color="auto"/>
        <w:right w:val="none" w:sz="0" w:space="0" w:color="auto"/>
      </w:divBdr>
    </w:div>
    <w:div w:id="600262133">
      <w:bodyDiv w:val="1"/>
      <w:marLeft w:val="0"/>
      <w:marRight w:val="0"/>
      <w:marTop w:val="0"/>
      <w:marBottom w:val="0"/>
      <w:divBdr>
        <w:top w:val="none" w:sz="0" w:space="0" w:color="auto"/>
        <w:left w:val="none" w:sz="0" w:space="0" w:color="auto"/>
        <w:bottom w:val="none" w:sz="0" w:space="0" w:color="auto"/>
        <w:right w:val="none" w:sz="0" w:space="0" w:color="auto"/>
      </w:divBdr>
    </w:div>
    <w:div w:id="689137220">
      <w:bodyDiv w:val="1"/>
      <w:marLeft w:val="0"/>
      <w:marRight w:val="0"/>
      <w:marTop w:val="0"/>
      <w:marBottom w:val="0"/>
      <w:divBdr>
        <w:top w:val="none" w:sz="0" w:space="0" w:color="auto"/>
        <w:left w:val="none" w:sz="0" w:space="0" w:color="auto"/>
        <w:bottom w:val="none" w:sz="0" w:space="0" w:color="auto"/>
        <w:right w:val="none" w:sz="0" w:space="0" w:color="auto"/>
      </w:divBdr>
    </w:div>
    <w:div w:id="702289535">
      <w:bodyDiv w:val="1"/>
      <w:marLeft w:val="0"/>
      <w:marRight w:val="0"/>
      <w:marTop w:val="0"/>
      <w:marBottom w:val="0"/>
      <w:divBdr>
        <w:top w:val="none" w:sz="0" w:space="0" w:color="auto"/>
        <w:left w:val="none" w:sz="0" w:space="0" w:color="auto"/>
        <w:bottom w:val="none" w:sz="0" w:space="0" w:color="auto"/>
        <w:right w:val="none" w:sz="0" w:space="0" w:color="auto"/>
      </w:divBdr>
    </w:div>
    <w:div w:id="734011362">
      <w:bodyDiv w:val="1"/>
      <w:marLeft w:val="0"/>
      <w:marRight w:val="0"/>
      <w:marTop w:val="0"/>
      <w:marBottom w:val="0"/>
      <w:divBdr>
        <w:top w:val="none" w:sz="0" w:space="0" w:color="auto"/>
        <w:left w:val="none" w:sz="0" w:space="0" w:color="auto"/>
        <w:bottom w:val="none" w:sz="0" w:space="0" w:color="auto"/>
        <w:right w:val="none" w:sz="0" w:space="0" w:color="auto"/>
      </w:divBdr>
    </w:div>
    <w:div w:id="740980038">
      <w:bodyDiv w:val="1"/>
      <w:marLeft w:val="0"/>
      <w:marRight w:val="0"/>
      <w:marTop w:val="0"/>
      <w:marBottom w:val="0"/>
      <w:divBdr>
        <w:top w:val="none" w:sz="0" w:space="0" w:color="auto"/>
        <w:left w:val="none" w:sz="0" w:space="0" w:color="auto"/>
        <w:bottom w:val="none" w:sz="0" w:space="0" w:color="auto"/>
        <w:right w:val="none" w:sz="0" w:space="0" w:color="auto"/>
      </w:divBdr>
    </w:div>
    <w:div w:id="749354484">
      <w:bodyDiv w:val="1"/>
      <w:marLeft w:val="0"/>
      <w:marRight w:val="0"/>
      <w:marTop w:val="0"/>
      <w:marBottom w:val="0"/>
      <w:divBdr>
        <w:top w:val="none" w:sz="0" w:space="0" w:color="auto"/>
        <w:left w:val="none" w:sz="0" w:space="0" w:color="auto"/>
        <w:bottom w:val="none" w:sz="0" w:space="0" w:color="auto"/>
        <w:right w:val="none" w:sz="0" w:space="0" w:color="auto"/>
      </w:divBdr>
    </w:div>
    <w:div w:id="758450141">
      <w:bodyDiv w:val="1"/>
      <w:marLeft w:val="0"/>
      <w:marRight w:val="0"/>
      <w:marTop w:val="0"/>
      <w:marBottom w:val="0"/>
      <w:divBdr>
        <w:top w:val="none" w:sz="0" w:space="0" w:color="auto"/>
        <w:left w:val="none" w:sz="0" w:space="0" w:color="auto"/>
        <w:bottom w:val="none" w:sz="0" w:space="0" w:color="auto"/>
        <w:right w:val="none" w:sz="0" w:space="0" w:color="auto"/>
      </w:divBdr>
    </w:div>
    <w:div w:id="768547634">
      <w:bodyDiv w:val="1"/>
      <w:marLeft w:val="0"/>
      <w:marRight w:val="0"/>
      <w:marTop w:val="0"/>
      <w:marBottom w:val="0"/>
      <w:divBdr>
        <w:top w:val="none" w:sz="0" w:space="0" w:color="auto"/>
        <w:left w:val="none" w:sz="0" w:space="0" w:color="auto"/>
        <w:bottom w:val="none" w:sz="0" w:space="0" w:color="auto"/>
        <w:right w:val="none" w:sz="0" w:space="0" w:color="auto"/>
      </w:divBdr>
    </w:div>
    <w:div w:id="770704335">
      <w:bodyDiv w:val="1"/>
      <w:marLeft w:val="0"/>
      <w:marRight w:val="0"/>
      <w:marTop w:val="0"/>
      <w:marBottom w:val="0"/>
      <w:divBdr>
        <w:top w:val="none" w:sz="0" w:space="0" w:color="auto"/>
        <w:left w:val="none" w:sz="0" w:space="0" w:color="auto"/>
        <w:bottom w:val="none" w:sz="0" w:space="0" w:color="auto"/>
        <w:right w:val="none" w:sz="0" w:space="0" w:color="auto"/>
      </w:divBdr>
    </w:div>
    <w:div w:id="782577900">
      <w:bodyDiv w:val="1"/>
      <w:marLeft w:val="0"/>
      <w:marRight w:val="0"/>
      <w:marTop w:val="0"/>
      <w:marBottom w:val="0"/>
      <w:divBdr>
        <w:top w:val="none" w:sz="0" w:space="0" w:color="auto"/>
        <w:left w:val="none" w:sz="0" w:space="0" w:color="auto"/>
        <w:bottom w:val="none" w:sz="0" w:space="0" w:color="auto"/>
        <w:right w:val="none" w:sz="0" w:space="0" w:color="auto"/>
      </w:divBdr>
    </w:div>
    <w:div w:id="787286006">
      <w:bodyDiv w:val="1"/>
      <w:marLeft w:val="0"/>
      <w:marRight w:val="0"/>
      <w:marTop w:val="0"/>
      <w:marBottom w:val="0"/>
      <w:divBdr>
        <w:top w:val="none" w:sz="0" w:space="0" w:color="auto"/>
        <w:left w:val="none" w:sz="0" w:space="0" w:color="auto"/>
        <w:bottom w:val="none" w:sz="0" w:space="0" w:color="auto"/>
        <w:right w:val="none" w:sz="0" w:space="0" w:color="auto"/>
      </w:divBdr>
    </w:div>
    <w:div w:id="788205628">
      <w:bodyDiv w:val="1"/>
      <w:marLeft w:val="0"/>
      <w:marRight w:val="0"/>
      <w:marTop w:val="0"/>
      <w:marBottom w:val="0"/>
      <w:divBdr>
        <w:top w:val="none" w:sz="0" w:space="0" w:color="auto"/>
        <w:left w:val="none" w:sz="0" w:space="0" w:color="auto"/>
        <w:bottom w:val="none" w:sz="0" w:space="0" w:color="auto"/>
        <w:right w:val="none" w:sz="0" w:space="0" w:color="auto"/>
      </w:divBdr>
    </w:div>
    <w:div w:id="802699214">
      <w:bodyDiv w:val="1"/>
      <w:marLeft w:val="0"/>
      <w:marRight w:val="0"/>
      <w:marTop w:val="0"/>
      <w:marBottom w:val="0"/>
      <w:divBdr>
        <w:top w:val="none" w:sz="0" w:space="0" w:color="auto"/>
        <w:left w:val="none" w:sz="0" w:space="0" w:color="auto"/>
        <w:bottom w:val="none" w:sz="0" w:space="0" w:color="auto"/>
        <w:right w:val="none" w:sz="0" w:space="0" w:color="auto"/>
      </w:divBdr>
    </w:div>
    <w:div w:id="824395533">
      <w:bodyDiv w:val="1"/>
      <w:marLeft w:val="0"/>
      <w:marRight w:val="0"/>
      <w:marTop w:val="0"/>
      <w:marBottom w:val="0"/>
      <w:divBdr>
        <w:top w:val="none" w:sz="0" w:space="0" w:color="auto"/>
        <w:left w:val="none" w:sz="0" w:space="0" w:color="auto"/>
        <w:bottom w:val="none" w:sz="0" w:space="0" w:color="auto"/>
        <w:right w:val="none" w:sz="0" w:space="0" w:color="auto"/>
      </w:divBdr>
    </w:div>
    <w:div w:id="849951977">
      <w:bodyDiv w:val="1"/>
      <w:marLeft w:val="0"/>
      <w:marRight w:val="0"/>
      <w:marTop w:val="0"/>
      <w:marBottom w:val="0"/>
      <w:divBdr>
        <w:top w:val="none" w:sz="0" w:space="0" w:color="auto"/>
        <w:left w:val="none" w:sz="0" w:space="0" w:color="auto"/>
        <w:bottom w:val="none" w:sz="0" w:space="0" w:color="auto"/>
        <w:right w:val="none" w:sz="0" w:space="0" w:color="auto"/>
      </w:divBdr>
    </w:div>
    <w:div w:id="865169400">
      <w:bodyDiv w:val="1"/>
      <w:marLeft w:val="0"/>
      <w:marRight w:val="0"/>
      <w:marTop w:val="0"/>
      <w:marBottom w:val="0"/>
      <w:divBdr>
        <w:top w:val="none" w:sz="0" w:space="0" w:color="auto"/>
        <w:left w:val="none" w:sz="0" w:space="0" w:color="auto"/>
        <w:bottom w:val="none" w:sz="0" w:space="0" w:color="auto"/>
        <w:right w:val="none" w:sz="0" w:space="0" w:color="auto"/>
      </w:divBdr>
    </w:div>
    <w:div w:id="865750628">
      <w:bodyDiv w:val="1"/>
      <w:marLeft w:val="0"/>
      <w:marRight w:val="0"/>
      <w:marTop w:val="0"/>
      <w:marBottom w:val="0"/>
      <w:divBdr>
        <w:top w:val="none" w:sz="0" w:space="0" w:color="auto"/>
        <w:left w:val="none" w:sz="0" w:space="0" w:color="auto"/>
        <w:bottom w:val="none" w:sz="0" w:space="0" w:color="auto"/>
        <w:right w:val="none" w:sz="0" w:space="0" w:color="auto"/>
      </w:divBdr>
    </w:div>
    <w:div w:id="924000029">
      <w:bodyDiv w:val="1"/>
      <w:marLeft w:val="0"/>
      <w:marRight w:val="0"/>
      <w:marTop w:val="0"/>
      <w:marBottom w:val="0"/>
      <w:divBdr>
        <w:top w:val="none" w:sz="0" w:space="0" w:color="auto"/>
        <w:left w:val="none" w:sz="0" w:space="0" w:color="auto"/>
        <w:bottom w:val="none" w:sz="0" w:space="0" w:color="auto"/>
        <w:right w:val="none" w:sz="0" w:space="0" w:color="auto"/>
      </w:divBdr>
    </w:div>
    <w:div w:id="933976401">
      <w:bodyDiv w:val="1"/>
      <w:marLeft w:val="0"/>
      <w:marRight w:val="0"/>
      <w:marTop w:val="0"/>
      <w:marBottom w:val="0"/>
      <w:divBdr>
        <w:top w:val="none" w:sz="0" w:space="0" w:color="auto"/>
        <w:left w:val="none" w:sz="0" w:space="0" w:color="auto"/>
        <w:bottom w:val="none" w:sz="0" w:space="0" w:color="auto"/>
        <w:right w:val="none" w:sz="0" w:space="0" w:color="auto"/>
      </w:divBdr>
    </w:div>
    <w:div w:id="954678177">
      <w:bodyDiv w:val="1"/>
      <w:marLeft w:val="0"/>
      <w:marRight w:val="0"/>
      <w:marTop w:val="0"/>
      <w:marBottom w:val="0"/>
      <w:divBdr>
        <w:top w:val="none" w:sz="0" w:space="0" w:color="auto"/>
        <w:left w:val="none" w:sz="0" w:space="0" w:color="auto"/>
        <w:bottom w:val="none" w:sz="0" w:space="0" w:color="auto"/>
        <w:right w:val="none" w:sz="0" w:space="0" w:color="auto"/>
      </w:divBdr>
    </w:div>
    <w:div w:id="971596250">
      <w:bodyDiv w:val="1"/>
      <w:marLeft w:val="0"/>
      <w:marRight w:val="0"/>
      <w:marTop w:val="0"/>
      <w:marBottom w:val="0"/>
      <w:divBdr>
        <w:top w:val="none" w:sz="0" w:space="0" w:color="auto"/>
        <w:left w:val="none" w:sz="0" w:space="0" w:color="auto"/>
        <w:bottom w:val="none" w:sz="0" w:space="0" w:color="auto"/>
        <w:right w:val="none" w:sz="0" w:space="0" w:color="auto"/>
      </w:divBdr>
    </w:div>
    <w:div w:id="992879884">
      <w:bodyDiv w:val="1"/>
      <w:marLeft w:val="0"/>
      <w:marRight w:val="0"/>
      <w:marTop w:val="0"/>
      <w:marBottom w:val="0"/>
      <w:divBdr>
        <w:top w:val="none" w:sz="0" w:space="0" w:color="auto"/>
        <w:left w:val="none" w:sz="0" w:space="0" w:color="auto"/>
        <w:bottom w:val="none" w:sz="0" w:space="0" w:color="auto"/>
        <w:right w:val="none" w:sz="0" w:space="0" w:color="auto"/>
      </w:divBdr>
    </w:div>
    <w:div w:id="1008021518">
      <w:bodyDiv w:val="1"/>
      <w:marLeft w:val="0"/>
      <w:marRight w:val="0"/>
      <w:marTop w:val="0"/>
      <w:marBottom w:val="0"/>
      <w:divBdr>
        <w:top w:val="none" w:sz="0" w:space="0" w:color="auto"/>
        <w:left w:val="none" w:sz="0" w:space="0" w:color="auto"/>
        <w:bottom w:val="none" w:sz="0" w:space="0" w:color="auto"/>
        <w:right w:val="none" w:sz="0" w:space="0" w:color="auto"/>
      </w:divBdr>
    </w:div>
    <w:div w:id="1014846170">
      <w:bodyDiv w:val="1"/>
      <w:marLeft w:val="0"/>
      <w:marRight w:val="0"/>
      <w:marTop w:val="0"/>
      <w:marBottom w:val="0"/>
      <w:divBdr>
        <w:top w:val="none" w:sz="0" w:space="0" w:color="auto"/>
        <w:left w:val="none" w:sz="0" w:space="0" w:color="auto"/>
        <w:bottom w:val="none" w:sz="0" w:space="0" w:color="auto"/>
        <w:right w:val="none" w:sz="0" w:space="0" w:color="auto"/>
      </w:divBdr>
    </w:div>
    <w:div w:id="1062094849">
      <w:bodyDiv w:val="1"/>
      <w:marLeft w:val="0"/>
      <w:marRight w:val="0"/>
      <w:marTop w:val="0"/>
      <w:marBottom w:val="0"/>
      <w:divBdr>
        <w:top w:val="none" w:sz="0" w:space="0" w:color="auto"/>
        <w:left w:val="none" w:sz="0" w:space="0" w:color="auto"/>
        <w:bottom w:val="none" w:sz="0" w:space="0" w:color="auto"/>
        <w:right w:val="none" w:sz="0" w:space="0" w:color="auto"/>
      </w:divBdr>
    </w:div>
    <w:div w:id="1063674762">
      <w:bodyDiv w:val="1"/>
      <w:marLeft w:val="0"/>
      <w:marRight w:val="0"/>
      <w:marTop w:val="0"/>
      <w:marBottom w:val="0"/>
      <w:divBdr>
        <w:top w:val="none" w:sz="0" w:space="0" w:color="auto"/>
        <w:left w:val="none" w:sz="0" w:space="0" w:color="auto"/>
        <w:bottom w:val="none" w:sz="0" w:space="0" w:color="auto"/>
        <w:right w:val="none" w:sz="0" w:space="0" w:color="auto"/>
      </w:divBdr>
    </w:div>
    <w:div w:id="1081685361">
      <w:bodyDiv w:val="1"/>
      <w:marLeft w:val="0"/>
      <w:marRight w:val="0"/>
      <w:marTop w:val="0"/>
      <w:marBottom w:val="0"/>
      <w:divBdr>
        <w:top w:val="none" w:sz="0" w:space="0" w:color="auto"/>
        <w:left w:val="none" w:sz="0" w:space="0" w:color="auto"/>
        <w:bottom w:val="none" w:sz="0" w:space="0" w:color="auto"/>
        <w:right w:val="none" w:sz="0" w:space="0" w:color="auto"/>
      </w:divBdr>
    </w:div>
    <w:div w:id="1114442304">
      <w:bodyDiv w:val="1"/>
      <w:marLeft w:val="0"/>
      <w:marRight w:val="0"/>
      <w:marTop w:val="0"/>
      <w:marBottom w:val="0"/>
      <w:divBdr>
        <w:top w:val="none" w:sz="0" w:space="0" w:color="auto"/>
        <w:left w:val="none" w:sz="0" w:space="0" w:color="auto"/>
        <w:bottom w:val="none" w:sz="0" w:space="0" w:color="auto"/>
        <w:right w:val="none" w:sz="0" w:space="0" w:color="auto"/>
      </w:divBdr>
    </w:div>
    <w:div w:id="1136263849">
      <w:bodyDiv w:val="1"/>
      <w:marLeft w:val="0"/>
      <w:marRight w:val="0"/>
      <w:marTop w:val="0"/>
      <w:marBottom w:val="0"/>
      <w:divBdr>
        <w:top w:val="none" w:sz="0" w:space="0" w:color="auto"/>
        <w:left w:val="none" w:sz="0" w:space="0" w:color="auto"/>
        <w:bottom w:val="none" w:sz="0" w:space="0" w:color="auto"/>
        <w:right w:val="none" w:sz="0" w:space="0" w:color="auto"/>
      </w:divBdr>
    </w:div>
    <w:div w:id="1159927715">
      <w:bodyDiv w:val="1"/>
      <w:marLeft w:val="0"/>
      <w:marRight w:val="0"/>
      <w:marTop w:val="0"/>
      <w:marBottom w:val="0"/>
      <w:divBdr>
        <w:top w:val="none" w:sz="0" w:space="0" w:color="auto"/>
        <w:left w:val="none" w:sz="0" w:space="0" w:color="auto"/>
        <w:bottom w:val="none" w:sz="0" w:space="0" w:color="auto"/>
        <w:right w:val="none" w:sz="0" w:space="0" w:color="auto"/>
      </w:divBdr>
    </w:div>
    <w:div w:id="1175074119">
      <w:bodyDiv w:val="1"/>
      <w:marLeft w:val="0"/>
      <w:marRight w:val="0"/>
      <w:marTop w:val="0"/>
      <w:marBottom w:val="0"/>
      <w:divBdr>
        <w:top w:val="none" w:sz="0" w:space="0" w:color="auto"/>
        <w:left w:val="none" w:sz="0" w:space="0" w:color="auto"/>
        <w:bottom w:val="none" w:sz="0" w:space="0" w:color="auto"/>
        <w:right w:val="none" w:sz="0" w:space="0" w:color="auto"/>
      </w:divBdr>
    </w:div>
    <w:div w:id="1176455834">
      <w:bodyDiv w:val="1"/>
      <w:marLeft w:val="0"/>
      <w:marRight w:val="0"/>
      <w:marTop w:val="0"/>
      <w:marBottom w:val="0"/>
      <w:divBdr>
        <w:top w:val="none" w:sz="0" w:space="0" w:color="auto"/>
        <w:left w:val="none" w:sz="0" w:space="0" w:color="auto"/>
        <w:bottom w:val="none" w:sz="0" w:space="0" w:color="auto"/>
        <w:right w:val="none" w:sz="0" w:space="0" w:color="auto"/>
      </w:divBdr>
    </w:div>
    <w:div w:id="1190294858">
      <w:bodyDiv w:val="1"/>
      <w:marLeft w:val="0"/>
      <w:marRight w:val="0"/>
      <w:marTop w:val="0"/>
      <w:marBottom w:val="0"/>
      <w:divBdr>
        <w:top w:val="none" w:sz="0" w:space="0" w:color="auto"/>
        <w:left w:val="none" w:sz="0" w:space="0" w:color="auto"/>
        <w:bottom w:val="none" w:sz="0" w:space="0" w:color="auto"/>
        <w:right w:val="none" w:sz="0" w:space="0" w:color="auto"/>
      </w:divBdr>
    </w:div>
    <w:div w:id="1195192416">
      <w:bodyDiv w:val="1"/>
      <w:marLeft w:val="0"/>
      <w:marRight w:val="0"/>
      <w:marTop w:val="0"/>
      <w:marBottom w:val="0"/>
      <w:divBdr>
        <w:top w:val="none" w:sz="0" w:space="0" w:color="auto"/>
        <w:left w:val="none" w:sz="0" w:space="0" w:color="auto"/>
        <w:bottom w:val="none" w:sz="0" w:space="0" w:color="auto"/>
        <w:right w:val="none" w:sz="0" w:space="0" w:color="auto"/>
      </w:divBdr>
    </w:div>
    <w:div w:id="1202208574">
      <w:bodyDiv w:val="1"/>
      <w:marLeft w:val="0"/>
      <w:marRight w:val="0"/>
      <w:marTop w:val="0"/>
      <w:marBottom w:val="0"/>
      <w:divBdr>
        <w:top w:val="none" w:sz="0" w:space="0" w:color="auto"/>
        <w:left w:val="none" w:sz="0" w:space="0" w:color="auto"/>
        <w:bottom w:val="none" w:sz="0" w:space="0" w:color="auto"/>
        <w:right w:val="none" w:sz="0" w:space="0" w:color="auto"/>
      </w:divBdr>
    </w:div>
    <w:div w:id="1206480028">
      <w:bodyDiv w:val="1"/>
      <w:marLeft w:val="0"/>
      <w:marRight w:val="0"/>
      <w:marTop w:val="0"/>
      <w:marBottom w:val="0"/>
      <w:divBdr>
        <w:top w:val="none" w:sz="0" w:space="0" w:color="auto"/>
        <w:left w:val="none" w:sz="0" w:space="0" w:color="auto"/>
        <w:bottom w:val="none" w:sz="0" w:space="0" w:color="auto"/>
        <w:right w:val="none" w:sz="0" w:space="0" w:color="auto"/>
      </w:divBdr>
    </w:div>
    <w:div w:id="1227957919">
      <w:bodyDiv w:val="1"/>
      <w:marLeft w:val="0"/>
      <w:marRight w:val="0"/>
      <w:marTop w:val="0"/>
      <w:marBottom w:val="0"/>
      <w:divBdr>
        <w:top w:val="none" w:sz="0" w:space="0" w:color="auto"/>
        <w:left w:val="none" w:sz="0" w:space="0" w:color="auto"/>
        <w:bottom w:val="none" w:sz="0" w:space="0" w:color="auto"/>
        <w:right w:val="none" w:sz="0" w:space="0" w:color="auto"/>
      </w:divBdr>
    </w:div>
    <w:div w:id="1233662332">
      <w:bodyDiv w:val="1"/>
      <w:marLeft w:val="0"/>
      <w:marRight w:val="0"/>
      <w:marTop w:val="0"/>
      <w:marBottom w:val="0"/>
      <w:divBdr>
        <w:top w:val="none" w:sz="0" w:space="0" w:color="auto"/>
        <w:left w:val="none" w:sz="0" w:space="0" w:color="auto"/>
        <w:bottom w:val="none" w:sz="0" w:space="0" w:color="auto"/>
        <w:right w:val="none" w:sz="0" w:space="0" w:color="auto"/>
      </w:divBdr>
    </w:div>
    <w:div w:id="1246694978">
      <w:bodyDiv w:val="1"/>
      <w:marLeft w:val="0"/>
      <w:marRight w:val="0"/>
      <w:marTop w:val="0"/>
      <w:marBottom w:val="0"/>
      <w:divBdr>
        <w:top w:val="none" w:sz="0" w:space="0" w:color="auto"/>
        <w:left w:val="none" w:sz="0" w:space="0" w:color="auto"/>
        <w:bottom w:val="none" w:sz="0" w:space="0" w:color="auto"/>
        <w:right w:val="none" w:sz="0" w:space="0" w:color="auto"/>
      </w:divBdr>
    </w:div>
    <w:div w:id="1256092985">
      <w:bodyDiv w:val="1"/>
      <w:marLeft w:val="0"/>
      <w:marRight w:val="0"/>
      <w:marTop w:val="0"/>
      <w:marBottom w:val="0"/>
      <w:divBdr>
        <w:top w:val="none" w:sz="0" w:space="0" w:color="auto"/>
        <w:left w:val="none" w:sz="0" w:space="0" w:color="auto"/>
        <w:bottom w:val="none" w:sz="0" w:space="0" w:color="auto"/>
        <w:right w:val="none" w:sz="0" w:space="0" w:color="auto"/>
      </w:divBdr>
    </w:div>
    <w:div w:id="1278415997">
      <w:bodyDiv w:val="1"/>
      <w:marLeft w:val="0"/>
      <w:marRight w:val="0"/>
      <w:marTop w:val="0"/>
      <w:marBottom w:val="0"/>
      <w:divBdr>
        <w:top w:val="none" w:sz="0" w:space="0" w:color="auto"/>
        <w:left w:val="none" w:sz="0" w:space="0" w:color="auto"/>
        <w:bottom w:val="none" w:sz="0" w:space="0" w:color="auto"/>
        <w:right w:val="none" w:sz="0" w:space="0" w:color="auto"/>
      </w:divBdr>
    </w:div>
    <w:div w:id="1319840772">
      <w:bodyDiv w:val="1"/>
      <w:marLeft w:val="0"/>
      <w:marRight w:val="0"/>
      <w:marTop w:val="0"/>
      <w:marBottom w:val="0"/>
      <w:divBdr>
        <w:top w:val="none" w:sz="0" w:space="0" w:color="auto"/>
        <w:left w:val="none" w:sz="0" w:space="0" w:color="auto"/>
        <w:bottom w:val="none" w:sz="0" w:space="0" w:color="auto"/>
        <w:right w:val="none" w:sz="0" w:space="0" w:color="auto"/>
      </w:divBdr>
    </w:div>
    <w:div w:id="1321425669">
      <w:bodyDiv w:val="1"/>
      <w:marLeft w:val="0"/>
      <w:marRight w:val="0"/>
      <w:marTop w:val="0"/>
      <w:marBottom w:val="0"/>
      <w:divBdr>
        <w:top w:val="none" w:sz="0" w:space="0" w:color="auto"/>
        <w:left w:val="none" w:sz="0" w:space="0" w:color="auto"/>
        <w:bottom w:val="none" w:sz="0" w:space="0" w:color="auto"/>
        <w:right w:val="none" w:sz="0" w:space="0" w:color="auto"/>
      </w:divBdr>
    </w:div>
    <w:div w:id="1326589328">
      <w:bodyDiv w:val="1"/>
      <w:marLeft w:val="0"/>
      <w:marRight w:val="0"/>
      <w:marTop w:val="0"/>
      <w:marBottom w:val="0"/>
      <w:divBdr>
        <w:top w:val="none" w:sz="0" w:space="0" w:color="auto"/>
        <w:left w:val="none" w:sz="0" w:space="0" w:color="auto"/>
        <w:bottom w:val="none" w:sz="0" w:space="0" w:color="auto"/>
        <w:right w:val="none" w:sz="0" w:space="0" w:color="auto"/>
      </w:divBdr>
    </w:div>
    <w:div w:id="1339773524">
      <w:bodyDiv w:val="1"/>
      <w:marLeft w:val="0"/>
      <w:marRight w:val="0"/>
      <w:marTop w:val="0"/>
      <w:marBottom w:val="0"/>
      <w:divBdr>
        <w:top w:val="none" w:sz="0" w:space="0" w:color="auto"/>
        <w:left w:val="none" w:sz="0" w:space="0" w:color="auto"/>
        <w:bottom w:val="none" w:sz="0" w:space="0" w:color="auto"/>
        <w:right w:val="none" w:sz="0" w:space="0" w:color="auto"/>
      </w:divBdr>
    </w:div>
    <w:div w:id="1340039636">
      <w:bodyDiv w:val="1"/>
      <w:marLeft w:val="0"/>
      <w:marRight w:val="0"/>
      <w:marTop w:val="0"/>
      <w:marBottom w:val="0"/>
      <w:divBdr>
        <w:top w:val="none" w:sz="0" w:space="0" w:color="auto"/>
        <w:left w:val="none" w:sz="0" w:space="0" w:color="auto"/>
        <w:bottom w:val="none" w:sz="0" w:space="0" w:color="auto"/>
        <w:right w:val="none" w:sz="0" w:space="0" w:color="auto"/>
      </w:divBdr>
    </w:div>
    <w:div w:id="1359352351">
      <w:bodyDiv w:val="1"/>
      <w:marLeft w:val="0"/>
      <w:marRight w:val="0"/>
      <w:marTop w:val="0"/>
      <w:marBottom w:val="0"/>
      <w:divBdr>
        <w:top w:val="none" w:sz="0" w:space="0" w:color="auto"/>
        <w:left w:val="none" w:sz="0" w:space="0" w:color="auto"/>
        <w:bottom w:val="none" w:sz="0" w:space="0" w:color="auto"/>
        <w:right w:val="none" w:sz="0" w:space="0" w:color="auto"/>
      </w:divBdr>
    </w:div>
    <w:div w:id="1373576766">
      <w:bodyDiv w:val="1"/>
      <w:marLeft w:val="0"/>
      <w:marRight w:val="0"/>
      <w:marTop w:val="0"/>
      <w:marBottom w:val="0"/>
      <w:divBdr>
        <w:top w:val="none" w:sz="0" w:space="0" w:color="auto"/>
        <w:left w:val="none" w:sz="0" w:space="0" w:color="auto"/>
        <w:bottom w:val="none" w:sz="0" w:space="0" w:color="auto"/>
        <w:right w:val="none" w:sz="0" w:space="0" w:color="auto"/>
      </w:divBdr>
    </w:div>
    <w:div w:id="1427461772">
      <w:bodyDiv w:val="1"/>
      <w:marLeft w:val="0"/>
      <w:marRight w:val="0"/>
      <w:marTop w:val="0"/>
      <w:marBottom w:val="0"/>
      <w:divBdr>
        <w:top w:val="none" w:sz="0" w:space="0" w:color="auto"/>
        <w:left w:val="none" w:sz="0" w:space="0" w:color="auto"/>
        <w:bottom w:val="none" w:sz="0" w:space="0" w:color="auto"/>
        <w:right w:val="none" w:sz="0" w:space="0" w:color="auto"/>
      </w:divBdr>
    </w:div>
    <w:div w:id="1448507649">
      <w:bodyDiv w:val="1"/>
      <w:marLeft w:val="0"/>
      <w:marRight w:val="0"/>
      <w:marTop w:val="0"/>
      <w:marBottom w:val="0"/>
      <w:divBdr>
        <w:top w:val="none" w:sz="0" w:space="0" w:color="auto"/>
        <w:left w:val="none" w:sz="0" w:space="0" w:color="auto"/>
        <w:bottom w:val="none" w:sz="0" w:space="0" w:color="auto"/>
        <w:right w:val="none" w:sz="0" w:space="0" w:color="auto"/>
      </w:divBdr>
    </w:div>
    <w:div w:id="1465080510">
      <w:bodyDiv w:val="1"/>
      <w:marLeft w:val="0"/>
      <w:marRight w:val="0"/>
      <w:marTop w:val="0"/>
      <w:marBottom w:val="0"/>
      <w:divBdr>
        <w:top w:val="none" w:sz="0" w:space="0" w:color="auto"/>
        <w:left w:val="none" w:sz="0" w:space="0" w:color="auto"/>
        <w:bottom w:val="none" w:sz="0" w:space="0" w:color="auto"/>
        <w:right w:val="none" w:sz="0" w:space="0" w:color="auto"/>
      </w:divBdr>
    </w:div>
    <w:div w:id="1492715228">
      <w:bodyDiv w:val="1"/>
      <w:marLeft w:val="0"/>
      <w:marRight w:val="0"/>
      <w:marTop w:val="0"/>
      <w:marBottom w:val="0"/>
      <w:divBdr>
        <w:top w:val="none" w:sz="0" w:space="0" w:color="auto"/>
        <w:left w:val="none" w:sz="0" w:space="0" w:color="auto"/>
        <w:bottom w:val="none" w:sz="0" w:space="0" w:color="auto"/>
        <w:right w:val="none" w:sz="0" w:space="0" w:color="auto"/>
      </w:divBdr>
    </w:div>
    <w:div w:id="1549485778">
      <w:bodyDiv w:val="1"/>
      <w:marLeft w:val="0"/>
      <w:marRight w:val="0"/>
      <w:marTop w:val="0"/>
      <w:marBottom w:val="0"/>
      <w:divBdr>
        <w:top w:val="none" w:sz="0" w:space="0" w:color="auto"/>
        <w:left w:val="none" w:sz="0" w:space="0" w:color="auto"/>
        <w:bottom w:val="none" w:sz="0" w:space="0" w:color="auto"/>
        <w:right w:val="none" w:sz="0" w:space="0" w:color="auto"/>
      </w:divBdr>
    </w:div>
    <w:div w:id="1559510340">
      <w:bodyDiv w:val="1"/>
      <w:marLeft w:val="0"/>
      <w:marRight w:val="0"/>
      <w:marTop w:val="0"/>
      <w:marBottom w:val="0"/>
      <w:divBdr>
        <w:top w:val="none" w:sz="0" w:space="0" w:color="auto"/>
        <w:left w:val="none" w:sz="0" w:space="0" w:color="auto"/>
        <w:bottom w:val="none" w:sz="0" w:space="0" w:color="auto"/>
        <w:right w:val="none" w:sz="0" w:space="0" w:color="auto"/>
      </w:divBdr>
    </w:div>
    <w:div w:id="1573344901">
      <w:bodyDiv w:val="1"/>
      <w:marLeft w:val="0"/>
      <w:marRight w:val="0"/>
      <w:marTop w:val="0"/>
      <w:marBottom w:val="0"/>
      <w:divBdr>
        <w:top w:val="none" w:sz="0" w:space="0" w:color="auto"/>
        <w:left w:val="none" w:sz="0" w:space="0" w:color="auto"/>
        <w:bottom w:val="none" w:sz="0" w:space="0" w:color="auto"/>
        <w:right w:val="none" w:sz="0" w:space="0" w:color="auto"/>
      </w:divBdr>
    </w:div>
    <w:div w:id="1588688982">
      <w:bodyDiv w:val="1"/>
      <w:marLeft w:val="0"/>
      <w:marRight w:val="0"/>
      <w:marTop w:val="0"/>
      <w:marBottom w:val="0"/>
      <w:divBdr>
        <w:top w:val="none" w:sz="0" w:space="0" w:color="auto"/>
        <w:left w:val="none" w:sz="0" w:space="0" w:color="auto"/>
        <w:bottom w:val="none" w:sz="0" w:space="0" w:color="auto"/>
        <w:right w:val="none" w:sz="0" w:space="0" w:color="auto"/>
      </w:divBdr>
    </w:div>
    <w:div w:id="1600914600">
      <w:bodyDiv w:val="1"/>
      <w:marLeft w:val="0"/>
      <w:marRight w:val="0"/>
      <w:marTop w:val="0"/>
      <w:marBottom w:val="0"/>
      <w:divBdr>
        <w:top w:val="none" w:sz="0" w:space="0" w:color="auto"/>
        <w:left w:val="none" w:sz="0" w:space="0" w:color="auto"/>
        <w:bottom w:val="none" w:sz="0" w:space="0" w:color="auto"/>
        <w:right w:val="none" w:sz="0" w:space="0" w:color="auto"/>
      </w:divBdr>
    </w:div>
    <w:div w:id="1608004269">
      <w:bodyDiv w:val="1"/>
      <w:marLeft w:val="0"/>
      <w:marRight w:val="0"/>
      <w:marTop w:val="0"/>
      <w:marBottom w:val="0"/>
      <w:divBdr>
        <w:top w:val="none" w:sz="0" w:space="0" w:color="auto"/>
        <w:left w:val="none" w:sz="0" w:space="0" w:color="auto"/>
        <w:bottom w:val="none" w:sz="0" w:space="0" w:color="auto"/>
        <w:right w:val="none" w:sz="0" w:space="0" w:color="auto"/>
      </w:divBdr>
    </w:div>
    <w:div w:id="1650398779">
      <w:bodyDiv w:val="1"/>
      <w:marLeft w:val="0"/>
      <w:marRight w:val="0"/>
      <w:marTop w:val="0"/>
      <w:marBottom w:val="0"/>
      <w:divBdr>
        <w:top w:val="none" w:sz="0" w:space="0" w:color="auto"/>
        <w:left w:val="none" w:sz="0" w:space="0" w:color="auto"/>
        <w:bottom w:val="none" w:sz="0" w:space="0" w:color="auto"/>
        <w:right w:val="none" w:sz="0" w:space="0" w:color="auto"/>
      </w:divBdr>
    </w:div>
    <w:div w:id="1657689739">
      <w:bodyDiv w:val="1"/>
      <w:marLeft w:val="0"/>
      <w:marRight w:val="0"/>
      <w:marTop w:val="0"/>
      <w:marBottom w:val="0"/>
      <w:divBdr>
        <w:top w:val="none" w:sz="0" w:space="0" w:color="auto"/>
        <w:left w:val="none" w:sz="0" w:space="0" w:color="auto"/>
        <w:bottom w:val="none" w:sz="0" w:space="0" w:color="auto"/>
        <w:right w:val="none" w:sz="0" w:space="0" w:color="auto"/>
      </w:divBdr>
    </w:div>
    <w:div w:id="1699964367">
      <w:bodyDiv w:val="1"/>
      <w:marLeft w:val="0"/>
      <w:marRight w:val="0"/>
      <w:marTop w:val="0"/>
      <w:marBottom w:val="0"/>
      <w:divBdr>
        <w:top w:val="none" w:sz="0" w:space="0" w:color="auto"/>
        <w:left w:val="none" w:sz="0" w:space="0" w:color="auto"/>
        <w:bottom w:val="none" w:sz="0" w:space="0" w:color="auto"/>
        <w:right w:val="none" w:sz="0" w:space="0" w:color="auto"/>
      </w:divBdr>
    </w:div>
    <w:div w:id="1741977569">
      <w:bodyDiv w:val="1"/>
      <w:marLeft w:val="0"/>
      <w:marRight w:val="0"/>
      <w:marTop w:val="0"/>
      <w:marBottom w:val="0"/>
      <w:divBdr>
        <w:top w:val="none" w:sz="0" w:space="0" w:color="auto"/>
        <w:left w:val="none" w:sz="0" w:space="0" w:color="auto"/>
        <w:bottom w:val="none" w:sz="0" w:space="0" w:color="auto"/>
        <w:right w:val="none" w:sz="0" w:space="0" w:color="auto"/>
      </w:divBdr>
    </w:div>
    <w:div w:id="1753354928">
      <w:bodyDiv w:val="1"/>
      <w:marLeft w:val="0"/>
      <w:marRight w:val="0"/>
      <w:marTop w:val="0"/>
      <w:marBottom w:val="0"/>
      <w:divBdr>
        <w:top w:val="none" w:sz="0" w:space="0" w:color="auto"/>
        <w:left w:val="none" w:sz="0" w:space="0" w:color="auto"/>
        <w:bottom w:val="none" w:sz="0" w:space="0" w:color="auto"/>
        <w:right w:val="none" w:sz="0" w:space="0" w:color="auto"/>
      </w:divBdr>
    </w:div>
    <w:div w:id="1770075351">
      <w:bodyDiv w:val="1"/>
      <w:marLeft w:val="0"/>
      <w:marRight w:val="0"/>
      <w:marTop w:val="0"/>
      <w:marBottom w:val="0"/>
      <w:divBdr>
        <w:top w:val="none" w:sz="0" w:space="0" w:color="auto"/>
        <w:left w:val="none" w:sz="0" w:space="0" w:color="auto"/>
        <w:bottom w:val="none" w:sz="0" w:space="0" w:color="auto"/>
        <w:right w:val="none" w:sz="0" w:space="0" w:color="auto"/>
      </w:divBdr>
    </w:div>
    <w:div w:id="1773083699">
      <w:bodyDiv w:val="1"/>
      <w:marLeft w:val="0"/>
      <w:marRight w:val="0"/>
      <w:marTop w:val="0"/>
      <w:marBottom w:val="0"/>
      <w:divBdr>
        <w:top w:val="none" w:sz="0" w:space="0" w:color="auto"/>
        <w:left w:val="none" w:sz="0" w:space="0" w:color="auto"/>
        <w:bottom w:val="none" w:sz="0" w:space="0" w:color="auto"/>
        <w:right w:val="none" w:sz="0" w:space="0" w:color="auto"/>
      </w:divBdr>
    </w:div>
    <w:div w:id="1790587829">
      <w:bodyDiv w:val="1"/>
      <w:marLeft w:val="0"/>
      <w:marRight w:val="0"/>
      <w:marTop w:val="0"/>
      <w:marBottom w:val="0"/>
      <w:divBdr>
        <w:top w:val="none" w:sz="0" w:space="0" w:color="auto"/>
        <w:left w:val="none" w:sz="0" w:space="0" w:color="auto"/>
        <w:bottom w:val="none" w:sz="0" w:space="0" w:color="auto"/>
        <w:right w:val="none" w:sz="0" w:space="0" w:color="auto"/>
      </w:divBdr>
    </w:div>
    <w:div w:id="1802067928">
      <w:bodyDiv w:val="1"/>
      <w:marLeft w:val="0"/>
      <w:marRight w:val="0"/>
      <w:marTop w:val="0"/>
      <w:marBottom w:val="0"/>
      <w:divBdr>
        <w:top w:val="none" w:sz="0" w:space="0" w:color="auto"/>
        <w:left w:val="none" w:sz="0" w:space="0" w:color="auto"/>
        <w:bottom w:val="none" w:sz="0" w:space="0" w:color="auto"/>
        <w:right w:val="none" w:sz="0" w:space="0" w:color="auto"/>
      </w:divBdr>
    </w:div>
    <w:div w:id="1839496990">
      <w:bodyDiv w:val="1"/>
      <w:marLeft w:val="0"/>
      <w:marRight w:val="0"/>
      <w:marTop w:val="0"/>
      <w:marBottom w:val="0"/>
      <w:divBdr>
        <w:top w:val="none" w:sz="0" w:space="0" w:color="auto"/>
        <w:left w:val="none" w:sz="0" w:space="0" w:color="auto"/>
        <w:bottom w:val="none" w:sz="0" w:space="0" w:color="auto"/>
        <w:right w:val="none" w:sz="0" w:space="0" w:color="auto"/>
      </w:divBdr>
    </w:div>
    <w:div w:id="1866216129">
      <w:bodyDiv w:val="1"/>
      <w:marLeft w:val="0"/>
      <w:marRight w:val="0"/>
      <w:marTop w:val="0"/>
      <w:marBottom w:val="0"/>
      <w:divBdr>
        <w:top w:val="none" w:sz="0" w:space="0" w:color="auto"/>
        <w:left w:val="none" w:sz="0" w:space="0" w:color="auto"/>
        <w:bottom w:val="none" w:sz="0" w:space="0" w:color="auto"/>
        <w:right w:val="none" w:sz="0" w:space="0" w:color="auto"/>
      </w:divBdr>
    </w:div>
    <w:div w:id="1875921649">
      <w:bodyDiv w:val="1"/>
      <w:marLeft w:val="0"/>
      <w:marRight w:val="0"/>
      <w:marTop w:val="0"/>
      <w:marBottom w:val="0"/>
      <w:divBdr>
        <w:top w:val="none" w:sz="0" w:space="0" w:color="auto"/>
        <w:left w:val="none" w:sz="0" w:space="0" w:color="auto"/>
        <w:bottom w:val="none" w:sz="0" w:space="0" w:color="auto"/>
        <w:right w:val="none" w:sz="0" w:space="0" w:color="auto"/>
      </w:divBdr>
    </w:div>
    <w:div w:id="1894851180">
      <w:bodyDiv w:val="1"/>
      <w:marLeft w:val="0"/>
      <w:marRight w:val="0"/>
      <w:marTop w:val="0"/>
      <w:marBottom w:val="0"/>
      <w:divBdr>
        <w:top w:val="none" w:sz="0" w:space="0" w:color="auto"/>
        <w:left w:val="none" w:sz="0" w:space="0" w:color="auto"/>
        <w:bottom w:val="none" w:sz="0" w:space="0" w:color="auto"/>
        <w:right w:val="none" w:sz="0" w:space="0" w:color="auto"/>
      </w:divBdr>
    </w:div>
    <w:div w:id="1897006031">
      <w:bodyDiv w:val="1"/>
      <w:marLeft w:val="0"/>
      <w:marRight w:val="0"/>
      <w:marTop w:val="0"/>
      <w:marBottom w:val="0"/>
      <w:divBdr>
        <w:top w:val="none" w:sz="0" w:space="0" w:color="auto"/>
        <w:left w:val="none" w:sz="0" w:space="0" w:color="auto"/>
        <w:bottom w:val="none" w:sz="0" w:space="0" w:color="auto"/>
        <w:right w:val="none" w:sz="0" w:space="0" w:color="auto"/>
      </w:divBdr>
    </w:div>
    <w:div w:id="1905025911">
      <w:bodyDiv w:val="1"/>
      <w:marLeft w:val="0"/>
      <w:marRight w:val="0"/>
      <w:marTop w:val="0"/>
      <w:marBottom w:val="0"/>
      <w:divBdr>
        <w:top w:val="none" w:sz="0" w:space="0" w:color="auto"/>
        <w:left w:val="none" w:sz="0" w:space="0" w:color="auto"/>
        <w:bottom w:val="none" w:sz="0" w:space="0" w:color="auto"/>
        <w:right w:val="none" w:sz="0" w:space="0" w:color="auto"/>
      </w:divBdr>
    </w:div>
    <w:div w:id="1920407091">
      <w:bodyDiv w:val="1"/>
      <w:marLeft w:val="0"/>
      <w:marRight w:val="0"/>
      <w:marTop w:val="0"/>
      <w:marBottom w:val="0"/>
      <w:divBdr>
        <w:top w:val="none" w:sz="0" w:space="0" w:color="auto"/>
        <w:left w:val="none" w:sz="0" w:space="0" w:color="auto"/>
        <w:bottom w:val="none" w:sz="0" w:space="0" w:color="auto"/>
        <w:right w:val="none" w:sz="0" w:space="0" w:color="auto"/>
      </w:divBdr>
    </w:div>
    <w:div w:id="1945379584">
      <w:bodyDiv w:val="1"/>
      <w:marLeft w:val="0"/>
      <w:marRight w:val="0"/>
      <w:marTop w:val="0"/>
      <w:marBottom w:val="0"/>
      <w:divBdr>
        <w:top w:val="none" w:sz="0" w:space="0" w:color="auto"/>
        <w:left w:val="none" w:sz="0" w:space="0" w:color="auto"/>
        <w:bottom w:val="none" w:sz="0" w:space="0" w:color="auto"/>
        <w:right w:val="none" w:sz="0" w:space="0" w:color="auto"/>
      </w:divBdr>
    </w:div>
    <w:div w:id="1949115090">
      <w:bodyDiv w:val="1"/>
      <w:marLeft w:val="0"/>
      <w:marRight w:val="0"/>
      <w:marTop w:val="0"/>
      <w:marBottom w:val="0"/>
      <w:divBdr>
        <w:top w:val="none" w:sz="0" w:space="0" w:color="auto"/>
        <w:left w:val="none" w:sz="0" w:space="0" w:color="auto"/>
        <w:bottom w:val="none" w:sz="0" w:space="0" w:color="auto"/>
        <w:right w:val="none" w:sz="0" w:space="0" w:color="auto"/>
      </w:divBdr>
    </w:div>
    <w:div w:id="1959723861">
      <w:bodyDiv w:val="1"/>
      <w:marLeft w:val="0"/>
      <w:marRight w:val="0"/>
      <w:marTop w:val="0"/>
      <w:marBottom w:val="0"/>
      <w:divBdr>
        <w:top w:val="none" w:sz="0" w:space="0" w:color="auto"/>
        <w:left w:val="none" w:sz="0" w:space="0" w:color="auto"/>
        <w:bottom w:val="none" w:sz="0" w:space="0" w:color="auto"/>
        <w:right w:val="none" w:sz="0" w:space="0" w:color="auto"/>
      </w:divBdr>
    </w:div>
    <w:div w:id="1962227899">
      <w:bodyDiv w:val="1"/>
      <w:marLeft w:val="0"/>
      <w:marRight w:val="0"/>
      <w:marTop w:val="0"/>
      <w:marBottom w:val="0"/>
      <w:divBdr>
        <w:top w:val="none" w:sz="0" w:space="0" w:color="auto"/>
        <w:left w:val="none" w:sz="0" w:space="0" w:color="auto"/>
        <w:bottom w:val="none" w:sz="0" w:space="0" w:color="auto"/>
        <w:right w:val="none" w:sz="0" w:space="0" w:color="auto"/>
      </w:divBdr>
    </w:div>
    <w:div w:id="1976064994">
      <w:bodyDiv w:val="1"/>
      <w:marLeft w:val="0"/>
      <w:marRight w:val="0"/>
      <w:marTop w:val="0"/>
      <w:marBottom w:val="0"/>
      <w:divBdr>
        <w:top w:val="none" w:sz="0" w:space="0" w:color="auto"/>
        <w:left w:val="none" w:sz="0" w:space="0" w:color="auto"/>
        <w:bottom w:val="none" w:sz="0" w:space="0" w:color="auto"/>
        <w:right w:val="none" w:sz="0" w:space="0" w:color="auto"/>
      </w:divBdr>
    </w:div>
    <w:div w:id="2024016242">
      <w:bodyDiv w:val="1"/>
      <w:marLeft w:val="0"/>
      <w:marRight w:val="0"/>
      <w:marTop w:val="0"/>
      <w:marBottom w:val="0"/>
      <w:divBdr>
        <w:top w:val="none" w:sz="0" w:space="0" w:color="auto"/>
        <w:left w:val="none" w:sz="0" w:space="0" w:color="auto"/>
        <w:bottom w:val="none" w:sz="0" w:space="0" w:color="auto"/>
        <w:right w:val="none" w:sz="0" w:space="0" w:color="auto"/>
      </w:divBdr>
    </w:div>
    <w:div w:id="2029284109">
      <w:bodyDiv w:val="1"/>
      <w:marLeft w:val="0"/>
      <w:marRight w:val="0"/>
      <w:marTop w:val="0"/>
      <w:marBottom w:val="0"/>
      <w:divBdr>
        <w:top w:val="none" w:sz="0" w:space="0" w:color="auto"/>
        <w:left w:val="none" w:sz="0" w:space="0" w:color="auto"/>
        <w:bottom w:val="none" w:sz="0" w:space="0" w:color="auto"/>
        <w:right w:val="none" w:sz="0" w:space="0" w:color="auto"/>
      </w:divBdr>
    </w:div>
    <w:div w:id="2041667782">
      <w:bodyDiv w:val="1"/>
      <w:marLeft w:val="0"/>
      <w:marRight w:val="0"/>
      <w:marTop w:val="0"/>
      <w:marBottom w:val="0"/>
      <w:divBdr>
        <w:top w:val="none" w:sz="0" w:space="0" w:color="auto"/>
        <w:left w:val="none" w:sz="0" w:space="0" w:color="auto"/>
        <w:bottom w:val="none" w:sz="0" w:space="0" w:color="auto"/>
        <w:right w:val="none" w:sz="0" w:space="0" w:color="auto"/>
      </w:divBdr>
    </w:div>
    <w:div w:id="2051876181">
      <w:bodyDiv w:val="1"/>
      <w:marLeft w:val="0"/>
      <w:marRight w:val="0"/>
      <w:marTop w:val="0"/>
      <w:marBottom w:val="0"/>
      <w:divBdr>
        <w:top w:val="none" w:sz="0" w:space="0" w:color="auto"/>
        <w:left w:val="none" w:sz="0" w:space="0" w:color="auto"/>
        <w:bottom w:val="none" w:sz="0" w:space="0" w:color="auto"/>
        <w:right w:val="none" w:sz="0" w:space="0" w:color="auto"/>
      </w:divBdr>
    </w:div>
    <w:div w:id="2054694577">
      <w:bodyDiv w:val="1"/>
      <w:marLeft w:val="0"/>
      <w:marRight w:val="0"/>
      <w:marTop w:val="0"/>
      <w:marBottom w:val="0"/>
      <w:divBdr>
        <w:top w:val="none" w:sz="0" w:space="0" w:color="auto"/>
        <w:left w:val="none" w:sz="0" w:space="0" w:color="auto"/>
        <w:bottom w:val="none" w:sz="0" w:space="0" w:color="auto"/>
        <w:right w:val="none" w:sz="0" w:space="0" w:color="auto"/>
      </w:divBdr>
    </w:div>
    <w:div w:id="2063166304">
      <w:bodyDiv w:val="1"/>
      <w:marLeft w:val="0"/>
      <w:marRight w:val="0"/>
      <w:marTop w:val="0"/>
      <w:marBottom w:val="0"/>
      <w:divBdr>
        <w:top w:val="none" w:sz="0" w:space="0" w:color="auto"/>
        <w:left w:val="none" w:sz="0" w:space="0" w:color="auto"/>
        <w:bottom w:val="none" w:sz="0" w:space="0" w:color="auto"/>
        <w:right w:val="none" w:sz="0" w:space="0" w:color="auto"/>
      </w:divBdr>
    </w:div>
    <w:div w:id="2068214706">
      <w:bodyDiv w:val="1"/>
      <w:marLeft w:val="0"/>
      <w:marRight w:val="0"/>
      <w:marTop w:val="0"/>
      <w:marBottom w:val="0"/>
      <w:divBdr>
        <w:top w:val="none" w:sz="0" w:space="0" w:color="auto"/>
        <w:left w:val="none" w:sz="0" w:space="0" w:color="auto"/>
        <w:bottom w:val="none" w:sz="0" w:space="0" w:color="auto"/>
        <w:right w:val="none" w:sz="0" w:space="0" w:color="auto"/>
      </w:divBdr>
    </w:div>
    <w:div w:id="2133163114">
      <w:bodyDiv w:val="1"/>
      <w:marLeft w:val="0"/>
      <w:marRight w:val="0"/>
      <w:marTop w:val="0"/>
      <w:marBottom w:val="0"/>
      <w:divBdr>
        <w:top w:val="none" w:sz="0" w:space="0" w:color="auto"/>
        <w:left w:val="none" w:sz="0" w:space="0" w:color="auto"/>
        <w:bottom w:val="none" w:sz="0" w:space="0" w:color="auto"/>
        <w:right w:val="none" w:sz="0" w:space="0" w:color="auto"/>
      </w:divBdr>
    </w:div>
    <w:div w:id="214500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A42A6-053A-4D5B-9ACE-F6B41F3B2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1312</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Princeton Survey Research Associates Int'l.</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Methodology</dc:subject>
  <dc:creator>Julie Gasior</dc:creator>
  <cp:lastModifiedBy>Julie Gasior</cp:lastModifiedBy>
  <cp:revision>8</cp:revision>
  <cp:lastPrinted>2012-11-06T19:05:00Z</cp:lastPrinted>
  <dcterms:created xsi:type="dcterms:W3CDTF">2013-01-14T19:04:00Z</dcterms:created>
  <dcterms:modified xsi:type="dcterms:W3CDTF">2013-05-06T16:11:00Z</dcterms:modified>
</cp:coreProperties>
</file>