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FinTrust Advanced Business Intelligence &amp; Dashboard Development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Week 3 — Parts E &amp; F | Data Analytics Track | Miancy (Mercy Chepkemoi Koech)</w:t>
      </w:r>
    </w:p>
    <w:p>
      <w:pPr>
        <w:pStyle w:val="Heading1"/>
        <w:spacing w:after="150" w:before="300"/>
      </w:pPr>
      <w:r>
        <w:t xml:space="preserve">Part E — Validate Business Findings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Finding 1: International transactions carry higher risk than domestic.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Evidence: </w:t>
      </w:r>
      <w:r>
        <w:rPr>
          <w:b w:val="false"/>
          <w:bCs w:val="false"/>
          <w:sz w:val="21"/>
          <w:szCs w:val="21"/>
        </w:rPr>
        <w:t xml:space="preserve">Week 2: 36.88% international vs. 18.88% domestic risk rate.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Validation: </w:t>
      </w:r>
      <w:r>
        <w:rPr>
          <w:b w:val="false"/>
          <w:bCs w:val="false"/>
          <w:sz w:val="21"/>
          <w:szCs w:val="21"/>
        </w:rPr>
        <w:t xml:space="preserve">Week 3: The heatmap and compound-risk query show this isn't uniform — it varies sharply by channel, from 32.5% (Mobile App) to 46.0% (ATM).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Meaning: </w:t>
      </w:r>
      <w:r>
        <w:rPr>
          <w:b w:val="false"/>
          <w:bCs w:val="false"/>
          <w:sz w:val="21"/>
          <w:szCs w:val="21"/>
        </w:rPr>
        <w:t xml:space="preserve">The original finding holds but was incomplete. Revised finding: international risk is channel-dependent, with ATM + International as the single highest-risk combination (46.0%) — this is the more precise, actionable version.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Finding 2: ~8% of transactions fail or reverse.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Evidence: </w:t>
      </w:r>
      <w:r>
        <w:rPr>
          <w:b w:val="false"/>
          <w:bCs w:val="false"/>
          <w:sz w:val="21"/>
          <w:szCs w:val="21"/>
        </w:rPr>
        <w:t xml:space="preserve">Week 2: 5.25% Failed + 2.72% Reversed = 7.97% combined.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Validation: </w:t>
      </w:r>
      <w:r>
        <w:rPr>
          <w:b w:val="false"/>
          <w:bCs w:val="false"/>
          <w:sz w:val="21"/>
          <w:szCs w:val="21"/>
        </w:rPr>
        <w:t xml:space="preserve">Week 3: Breaking this down by channel + type shows it's not evenly spread — USSD combinations reach ~10%, meaningfully above the average.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Meaning: </w:t>
      </w:r>
      <w:r>
        <w:rPr>
          <w:b w:val="false"/>
          <w:bCs w:val="false"/>
          <w:sz w:val="21"/>
          <w:szCs w:val="21"/>
        </w:rPr>
        <w:t xml:space="preserve">Original finding holds, but the cause is now identified. Revised finding: failure is concentrated in USSD specifically, not a platform-wide issue — reliability investment should target USSD first.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Finding 3: Everyday segment drives the most value and volume.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Evidence: </w:t>
      </w:r>
      <w:r>
        <w:rPr>
          <w:b w:val="false"/>
          <w:bCs w:val="false"/>
          <w:sz w:val="21"/>
          <w:szCs w:val="21"/>
        </w:rPr>
        <w:t xml:space="preserve">Week 2: 711 of 1,500 customers; ₦258.7M in transaction value, more than other segments combined.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Validation: </w:t>
      </w:r>
      <w:r>
        <w:rPr>
          <w:b w:val="false"/>
          <w:bCs w:val="false"/>
          <w:sz w:val="21"/>
          <w:szCs w:val="21"/>
        </w:rPr>
        <w:t xml:space="preserve">Week 3: Segment-by-type breakdown confirms Transfer dominance holds within Everyday specifically, not just in aggregate; high-value-spender analysis shows proportionally similar behaviour across segments (~37-40%).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Meaning: </w:t>
      </w:r>
      <w:r>
        <w:rPr>
          <w:b w:val="false"/>
          <w:bCs w:val="false"/>
          <w:sz w:val="21"/>
          <w:szCs w:val="21"/>
        </w:rPr>
        <w:t xml:space="preserve">Original finding fully confirmed and strengthened — Everyday's dominance is structural, not a statistical artifact of sample size.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Finding 4: Customer segment is a weak risk differentiator.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Evidence: </w:t>
      </w:r>
      <w:r>
        <w:rPr>
          <w:b w:val="false"/>
          <w:bCs w:val="false"/>
          <w:sz w:val="21"/>
          <w:szCs w:val="21"/>
        </w:rPr>
        <w:t xml:space="preserve">Week 2: Risk rates across segments sit within a tight 19.29%-20.33% band once normalized.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Validation: </w:t>
      </w:r>
      <w:r>
        <w:rPr>
          <w:b w:val="false"/>
          <w:bCs w:val="false"/>
          <w:sz w:val="21"/>
          <w:szCs w:val="21"/>
        </w:rPr>
        <w:t xml:space="preserve">Week 3: The spend-vs-frequency scatter shows high-value customers exist across all transaction-count levels, with no segment-specific clustering pattern — reinforcing that segment membership doesn't predict behaviour as strongly as transaction-level factors do.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Meaning: </w:t>
      </w:r>
      <w:r>
        <w:rPr>
          <w:b w:val="false"/>
          <w:bCs w:val="false"/>
          <w:sz w:val="21"/>
          <w:szCs w:val="21"/>
        </w:rPr>
        <w:t xml:space="preserve">Original finding holds. Risk and value targeting should use transaction-level signals (channel, international status, amount) rather than customer segment.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Finding 5: Transaction amounts are heavily right-skewed, mean overstates "typical" transaction.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Evidence: </w:t>
      </w:r>
      <w:r>
        <w:rPr>
          <w:b w:val="false"/>
          <w:bCs w:val="false"/>
          <w:sz w:val="21"/>
          <w:szCs w:val="21"/>
        </w:rPr>
        <w:t xml:space="preserve">Week 2: Mean ₦46,706 vs. a much lower concentration of transactions under ₦50K.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Validation: </w:t>
      </w:r>
      <w:r>
        <w:rPr>
          <w:b w:val="false"/>
          <w:bCs w:val="false"/>
          <w:sz w:val="21"/>
          <w:szCs w:val="21"/>
        </w:rPr>
        <w:t xml:space="preserve">Week 3: Success-rate-by-value-range analysis confirms high-value transactions aren't a reliability problem (88-92% success regardless of range) but ARE a risk-flag problem (top 1% flagged at 35.83%, nearly double the rest).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Meaning: </w:t>
      </w:r>
      <w:r>
        <w:rPr>
          <w:b w:val="false"/>
          <w:bCs w:val="false"/>
          <w:sz w:val="21"/>
          <w:szCs w:val="21"/>
        </w:rPr>
        <w:t xml:space="preserve">Original finding holds, with an important addition: transaction size matters for risk, but not for reliability — these are two separate business concerns that shouldn't be conflated.</w:t>
      </w:r>
    </w:p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t xml:space="preserve">Part F — Management Recommendations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Recommendation 1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Finding: </w:t>
      </w:r>
      <w:r>
        <w:rPr>
          <w:b w:val="false"/>
          <w:bCs w:val="false"/>
          <w:sz w:val="21"/>
          <w:szCs w:val="21"/>
        </w:rPr>
        <w:t xml:space="preserve">ATM + International transactions reach a 46.0% risk-flag rate.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Evidence: </w:t>
      </w:r>
      <w:r>
        <w:rPr>
          <w:b w:val="false"/>
          <w:bCs w:val="false"/>
          <w:sz w:val="21"/>
          <w:szCs w:val="21"/>
        </w:rPr>
        <w:t xml:space="preserve">Week 3 compound-risk analysis.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Implication: </w:t>
      </w:r>
      <w:r>
        <w:rPr>
          <w:b w:val="false"/>
          <w:bCs w:val="false"/>
          <w:sz w:val="21"/>
          <w:szCs w:val="21"/>
        </w:rPr>
        <w:t xml:space="preserve">This narrow combination likely accounts for a disproportionate share of risk-review workload relative to its volume (only 132 transactions).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Recommended Action: </w:t>
      </w:r>
      <w:r>
        <w:rPr>
          <w:b w:val="false"/>
          <w:bCs w:val="false"/>
          <w:sz w:val="21"/>
          <w:szCs w:val="21"/>
        </w:rPr>
        <w:t xml:space="preserve">Implement an automated priority flag for international ATM transactions specifically, rather than applying uniform review criteria across all channels.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Recommendation 2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Finding: </w:t>
      </w:r>
      <w:r>
        <w:rPr>
          <w:b w:val="false"/>
          <w:bCs w:val="false"/>
          <w:sz w:val="21"/>
          <w:szCs w:val="21"/>
        </w:rPr>
        <w:t xml:space="preserve">USSD has the highest failure/reversal rate (~10%) across channel-type combinations.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Evidence: </w:t>
      </w:r>
      <w:r>
        <w:rPr>
          <w:b w:val="false"/>
          <w:bCs w:val="false"/>
          <w:sz w:val="21"/>
          <w:szCs w:val="21"/>
        </w:rPr>
        <w:t xml:space="preserve">Week 3 Q1 breakdown.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Implication: </w:t>
      </w:r>
      <w:r>
        <w:rPr>
          <w:b w:val="false"/>
          <w:bCs w:val="false"/>
          <w:sz w:val="21"/>
          <w:szCs w:val="21"/>
        </w:rPr>
        <w:t xml:space="preserve">Customers using USSD — often those with limited smartphone/data access — face a worse experience, risking financial-inclusion goals.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Recommended Action: </w:t>
      </w:r>
      <w:r>
        <w:rPr>
          <w:b w:val="false"/>
          <w:bCs w:val="false"/>
          <w:sz w:val="21"/>
          <w:szCs w:val="21"/>
        </w:rPr>
        <w:t xml:space="preserve">Prioritize a technical review of USSD transaction processing reliability before Week 4, focusing first on Cash Withdrawal and Deposit (the two highest-failure USSD transaction types).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Recommendation 3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Finding: </w:t>
      </w:r>
      <w:r>
        <w:rPr>
          <w:b w:val="false"/>
          <w:bCs w:val="false"/>
          <w:sz w:val="21"/>
          <w:szCs w:val="21"/>
        </w:rPr>
        <w:t xml:space="preserve">Customer segment is a weak differentiator for both risk and value.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Evidence: </w:t>
      </w:r>
      <w:r>
        <w:rPr>
          <w:b w:val="false"/>
          <w:bCs w:val="false"/>
          <w:sz w:val="21"/>
          <w:szCs w:val="21"/>
        </w:rPr>
        <w:t xml:space="preserve">Week 2 and Week 3 segment-normalized analyses.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Implication: </w:t>
      </w:r>
      <w:r>
        <w:rPr>
          <w:b w:val="false"/>
          <w:bCs w:val="false"/>
          <w:sz w:val="21"/>
          <w:szCs w:val="21"/>
        </w:rPr>
        <w:t xml:space="preserve">Resources currently allocated by segment (if any) may be misallocated.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Recommended Action: </w:t>
      </w:r>
      <w:r>
        <w:rPr>
          <w:b w:val="false"/>
          <w:bCs w:val="false"/>
          <w:sz w:val="21"/>
          <w:szCs w:val="21"/>
        </w:rPr>
        <w:t xml:space="preserve">Shift targeting criteria for both risk review and customer engagement campaigns from segment-based to transaction-behaviour-based (channel, international status, value range).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Recommendation 4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Finding: </w:t>
      </w:r>
      <w:r>
        <w:rPr>
          <w:b w:val="false"/>
          <w:bCs w:val="false"/>
          <w:sz w:val="21"/>
          <w:szCs w:val="21"/>
        </w:rPr>
        <w:t xml:space="preserve">High-value customers show two distinct patterns — frequent/moderate vs. infrequent/large.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Evidence: </w:t>
      </w:r>
      <w:r>
        <w:rPr>
          <w:b w:val="false"/>
          <w:bCs w:val="false"/>
          <w:sz w:val="21"/>
          <w:szCs w:val="21"/>
        </w:rPr>
        <w:t xml:space="preserve">Week 3 spend-vs-frequency scatter plot.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Implication: </w:t>
      </w:r>
      <w:r>
        <w:rPr>
          <w:b w:val="false"/>
          <w:bCs w:val="false"/>
          <w:sz w:val="21"/>
          <w:szCs w:val="21"/>
        </w:rPr>
        <w:t xml:space="preserve">A single "high-value customer" program would serve both poorly.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Recommended Action: </w:t>
      </w:r>
      <w:r>
        <w:rPr>
          <w:b w:val="false"/>
          <w:bCs w:val="false"/>
          <w:sz w:val="21"/>
          <w:szCs w:val="21"/>
        </w:rPr>
        <w:t xml:space="preserve">Develop two separate retention tracks — a loyalty/rewards program for frequent transactors, and relationship banking outreach for large, infrequent spenders.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Recommendation 5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Finding: </w:t>
      </w:r>
      <w:r>
        <w:rPr>
          <w:b w:val="false"/>
          <w:bCs w:val="false"/>
          <w:sz w:val="21"/>
          <w:szCs w:val="21"/>
        </w:rPr>
        <w:t xml:space="preserve">Transaction value does not predict failure, but does predict risk-flagging.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Evidence: </w:t>
      </w:r>
      <w:r>
        <w:rPr>
          <w:b w:val="false"/>
          <w:bCs w:val="false"/>
          <w:sz w:val="21"/>
          <w:szCs w:val="21"/>
        </w:rPr>
        <w:t xml:space="preserve">Week 3 success-rate-by-value-range (stable 88-92%) vs. top-1%-value risk rate (35.83%).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Implication: </w:t>
      </w:r>
      <w:r>
        <w:rPr>
          <w:b w:val="false"/>
          <w:bCs w:val="false"/>
          <w:sz w:val="21"/>
          <w:szCs w:val="21"/>
        </w:rPr>
        <w:t xml:space="preserve">Current risk processes correctly target high-value transactions, but reliability issues need a different fix entirely (channel-based, not value-based).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Recommended Action: </w:t>
      </w:r>
      <w:r>
        <w:rPr>
          <w:b w:val="false"/>
          <w:bCs w:val="false"/>
          <w:sz w:val="21"/>
          <w:szCs w:val="21"/>
        </w:rPr>
        <w:t xml:space="preserve">Keep value-based risk-flagging as-is; direct separate engineering/ops resources at channel reliability (USSD) rather than treating both as the same problem.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2026-10-04T09:55:48.093Z</dcterms:created>
  <dcterms:modified xsi:type="dcterms:W3CDTF">2026-10-04T09:55:48.101Z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