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FEA2B0">
      <w:pPr>
        <w:pStyle w:val="31"/>
        <w:jc w:val="center"/>
      </w:pPr>
      <w:r>
        <w:rPr>
          <w:rFonts w:ascii="微软雅黑" w:hAnsi="微软雅黑" w:eastAsia="微软雅黑"/>
        </w:rPr>
        <w:t>成员1项目更新说明</w:t>
      </w:r>
    </w:p>
    <w:p w14:paraId="5F1D1F68">
      <w:pPr>
        <w:jc w:val="center"/>
      </w:pPr>
      <w:r>
        <w:rPr>
          <w:rFonts w:ascii="微软雅黑" w:hAnsi="微软雅黑" w:eastAsia="微软雅黑"/>
          <w:b/>
          <w:sz w:val="22"/>
        </w:rPr>
        <w:t>眠境探索与内容中心  2026年10月19日</w:t>
      </w:r>
    </w:p>
    <w:p w14:paraId="31679A36">
      <w:r>
        <w:rPr>
          <w:rFonts w:ascii="微软雅黑" w:hAnsi="微软雅黑" w:eastAsia="微软雅黑"/>
        </w:rPr>
        <w:t>本说明对比原始项目压缩包 mianyu-integrated-story-20261014.zip 与mianyu-integrated-story修复.zip。结论是：成员1对内容中心后端做了两处实际业务修复，补充两套专项自动化测试及运行证据。其余大量目录差异主要来自测试产物清理和压缩包中文文件名编码恢复，不能作为新增业务功能计算。</w:t>
      </w:r>
    </w:p>
    <w:p w14:paraId="5EE218A8">
      <w:pPr>
        <w:pStyle w:val="3"/>
      </w:pPr>
      <w:r>
        <w:rPr>
          <w:rFonts w:ascii="微软雅黑" w:hAnsi="微软雅黑" w:eastAsia="微软雅黑"/>
        </w:rPr>
        <w:t>一 对比范围与判定方法</w:t>
      </w:r>
      <w:bookmarkStart w:id="0" w:name="_GoBack"/>
      <w:bookmarkEnd w:id="0"/>
    </w:p>
    <w:tbl>
      <w:tblPr>
        <w:tblStyle w:val="32"/>
        <w:tblW w:w="0" w:type="auto"/>
        <w:tblInd w:w="0" w:type="dxa"/>
        <w:tblLayout w:type="fixed"/>
        <w:tblCellMar>
          <w:top w:w="0" w:type="dxa"/>
          <w:left w:w="108" w:type="dxa"/>
          <w:bottom w:w="0" w:type="dxa"/>
          <w:right w:w="108" w:type="dxa"/>
        </w:tblCellMar>
      </w:tblPr>
      <w:tblGrid>
        <w:gridCol w:w="3229"/>
        <w:gridCol w:w="3229"/>
        <w:gridCol w:w="3229"/>
      </w:tblGrid>
      <w:tr w14:paraId="27F0914A">
        <w:tblPrEx>
          <w:tblCellMar>
            <w:top w:w="0" w:type="dxa"/>
            <w:left w:w="108" w:type="dxa"/>
            <w:bottom w:w="0" w:type="dxa"/>
            <w:right w:w="108" w:type="dxa"/>
          </w:tblCellMar>
        </w:tblPrEx>
        <w:tc>
          <w:tcPr>
            <w:tcW w:w="1757"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8"/>
            <w:tcMar>
              <w:top w:w="75" w:type="dxa"/>
              <w:left w:w="100" w:type="dxa"/>
              <w:bottom w:w="75" w:type="dxa"/>
              <w:right w:w="100" w:type="dxa"/>
            </w:tcMar>
            <w:vAlign w:val="center"/>
          </w:tcPr>
          <w:p w14:paraId="0B0095A6">
            <w:pPr>
              <w:jc w:val="center"/>
            </w:pPr>
            <w:r>
              <w:rPr>
                <w:b/>
                <w:color w:val="FFFFFF"/>
                <w:sz w:val="18"/>
              </w:rPr>
              <w:t>项目</w:t>
            </w:r>
          </w:p>
        </w:tc>
        <w:tc>
          <w:tcPr>
            <w:tcW w:w="340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8"/>
            <w:tcMar>
              <w:top w:w="75" w:type="dxa"/>
              <w:left w:w="100" w:type="dxa"/>
              <w:bottom w:w="75" w:type="dxa"/>
              <w:right w:w="100" w:type="dxa"/>
            </w:tcMar>
            <w:vAlign w:val="center"/>
          </w:tcPr>
          <w:p w14:paraId="1B65B449">
            <w:pPr>
              <w:jc w:val="center"/>
            </w:pPr>
            <w:r>
              <w:rPr>
                <w:b/>
                <w:color w:val="FFFFFF"/>
                <w:sz w:val="18"/>
              </w:rPr>
              <w:t>基线</w:t>
            </w:r>
          </w:p>
        </w:tc>
        <w:tc>
          <w:tcPr>
            <w:tcW w:w="340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8"/>
            <w:tcMar>
              <w:top w:w="75" w:type="dxa"/>
              <w:left w:w="100" w:type="dxa"/>
              <w:bottom w:w="75" w:type="dxa"/>
              <w:right w:w="100" w:type="dxa"/>
            </w:tcMar>
            <w:vAlign w:val="center"/>
          </w:tcPr>
          <w:p w14:paraId="70163E23">
            <w:pPr>
              <w:jc w:val="center"/>
            </w:pPr>
            <w:r>
              <w:rPr>
                <w:b/>
                <w:color w:val="FFFFFF"/>
                <w:sz w:val="18"/>
              </w:rPr>
              <w:t>修复版</w:t>
            </w:r>
          </w:p>
        </w:tc>
      </w:tr>
      <w:tr w14:paraId="7D84F2FE">
        <w:tblPrEx>
          <w:tblCellMar>
            <w:top w:w="0" w:type="dxa"/>
            <w:left w:w="108" w:type="dxa"/>
            <w:bottom w:w="0" w:type="dxa"/>
            <w:right w:w="108" w:type="dxa"/>
          </w:tblCellMar>
        </w:tblPrEx>
        <w:tc>
          <w:tcPr>
            <w:tcW w:w="1757"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58BEECAD">
            <w:pPr>
              <w:spacing w:after="0" w:line="259" w:lineRule="auto"/>
              <w:jc w:val="center"/>
            </w:pPr>
            <w:r>
              <w:rPr>
                <w:sz w:val="16"/>
              </w:rPr>
              <w:t>对象</w:t>
            </w:r>
          </w:p>
        </w:tc>
        <w:tc>
          <w:tcPr>
            <w:tcW w:w="340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2EB95400">
            <w:pPr>
              <w:spacing w:after="0" w:line="259" w:lineRule="auto"/>
            </w:pPr>
            <w:r>
              <w:rPr>
                <w:sz w:val="16"/>
              </w:rPr>
              <w:t>mianyu-integrated-story.zip</w:t>
            </w:r>
          </w:p>
        </w:tc>
        <w:tc>
          <w:tcPr>
            <w:tcW w:w="340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4DD0A527">
            <w:pPr>
              <w:spacing w:after="0" w:line="259" w:lineRule="auto"/>
            </w:pPr>
            <w:r>
              <w:rPr>
                <w:sz w:val="16"/>
              </w:rPr>
              <w:t>mianyu-integrated-story修复.zip</w:t>
            </w:r>
          </w:p>
        </w:tc>
      </w:tr>
      <w:tr w14:paraId="25870A19">
        <w:tblPrEx>
          <w:tblCellMar>
            <w:top w:w="0" w:type="dxa"/>
            <w:left w:w="108" w:type="dxa"/>
            <w:bottom w:w="0" w:type="dxa"/>
            <w:right w:w="108" w:type="dxa"/>
          </w:tblCellMar>
        </w:tblPrEx>
        <w:tc>
          <w:tcPr>
            <w:tcW w:w="1757"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2BC086FE">
            <w:pPr>
              <w:spacing w:after="0" w:line="259" w:lineRule="auto"/>
              <w:jc w:val="center"/>
            </w:pPr>
            <w:r>
              <w:rPr>
                <w:sz w:val="16"/>
              </w:rPr>
              <w:t>比较方式</w:t>
            </w:r>
          </w:p>
        </w:tc>
        <w:tc>
          <w:tcPr>
            <w:tcW w:w="340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32B34292">
            <w:pPr>
              <w:spacing w:after="0" w:line="259" w:lineRule="auto"/>
            </w:pPr>
            <w:r>
              <w:rPr>
                <w:sz w:val="16"/>
              </w:rPr>
              <w:t>解压后按相对路径、文件长度与SHA 256比较</w:t>
            </w:r>
          </w:p>
        </w:tc>
        <w:tc>
          <w:tcPr>
            <w:tcW w:w="340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0CBB6B31">
            <w:pPr>
              <w:spacing w:after="0" w:line="259" w:lineRule="auto"/>
            </w:pPr>
            <w:r>
              <w:rPr>
                <w:sz w:val="16"/>
              </w:rPr>
              <w:t>同一文件内容相同才判定未修改</w:t>
            </w:r>
          </w:p>
        </w:tc>
      </w:tr>
      <w:tr w14:paraId="79604680">
        <w:tblPrEx>
          <w:tblCellMar>
            <w:top w:w="0" w:type="dxa"/>
            <w:left w:w="108" w:type="dxa"/>
            <w:bottom w:w="0" w:type="dxa"/>
            <w:right w:w="108" w:type="dxa"/>
          </w:tblCellMar>
        </w:tblPrEx>
        <w:tc>
          <w:tcPr>
            <w:tcW w:w="1757"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43D8D4B5">
            <w:pPr>
              <w:spacing w:after="0" w:line="259" w:lineRule="auto"/>
              <w:jc w:val="center"/>
            </w:pPr>
            <w:r>
              <w:rPr>
                <w:sz w:val="16"/>
              </w:rPr>
              <w:t>统计结果</w:t>
            </w:r>
          </w:p>
        </w:tc>
        <w:tc>
          <w:tcPr>
            <w:tcW w:w="340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50A81026">
            <w:pPr>
              <w:spacing w:after="0" w:line="259" w:lineRule="auto"/>
            </w:pPr>
            <w:r>
              <w:rPr>
                <w:sz w:val="16"/>
              </w:rPr>
              <w:t>2261个文件</w:t>
            </w:r>
          </w:p>
        </w:tc>
        <w:tc>
          <w:tcPr>
            <w:tcW w:w="340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104DE164">
            <w:pPr>
              <w:spacing w:after="0" w:line="259" w:lineRule="auto"/>
            </w:pPr>
            <w:r>
              <w:rPr>
                <w:sz w:val="16"/>
              </w:rPr>
              <w:t>2176个文件</w:t>
            </w:r>
          </w:p>
        </w:tc>
      </w:tr>
    </w:tbl>
    <w:p w14:paraId="45B25AB3">
      <w:pPr>
        <w:spacing w:after="20"/>
      </w:pPr>
    </w:p>
    <w:p w14:paraId="56353ADE">
      <w:r>
        <w:rPr>
          <w:rFonts w:ascii="微软雅黑" w:hAnsi="微软雅黑" w:eastAsia="微软雅黑"/>
        </w:rPr>
        <w:t>原始压缩包中部分中文路径解压后出现乱码。哈希核对确认，58个“新增”和“删除”路径实际上是同一字节内容的文件名恢复，包括开发文档、素材台账和各成员图件。它们属于路径编码变化，不属于成员1新增内容。</w:t>
      </w:r>
    </w:p>
    <w:p w14:paraId="23AFF713">
      <w:pPr>
        <w:pStyle w:val="3"/>
      </w:pPr>
      <w:r>
        <w:rPr>
          <w:rFonts w:ascii="微软雅黑" w:hAnsi="微软雅黑" w:eastAsia="微软雅黑"/>
        </w:rPr>
        <w:t>二 成员1实际修改的业务代码</w:t>
      </w:r>
    </w:p>
    <w:tbl>
      <w:tblPr>
        <w:tblStyle w:val="32"/>
        <w:tblW w:w="0" w:type="auto"/>
        <w:tblInd w:w="0" w:type="dxa"/>
        <w:tblLayout w:type="fixed"/>
        <w:tblCellMar>
          <w:top w:w="0" w:type="dxa"/>
          <w:left w:w="108" w:type="dxa"/>
          <w:bottom w:w="0" w:type="dxa"/>
          <w:right w:w="108" w:type="dxa"/>
        </w:tblCellMar>
      </w:tblPr>
      <w:tblGrid>
        <w:gridCol w:w="2422"/>
        <w:gridCol w:w="2422"/>
        <w:gridCol w:w="2422"/>
        <w:gridCol w:w="2422"/>
      </w:tblGrid>
      <w:tr w14:paraId="1473C46B">
        <w:tblPrEx>
          <w:tblCellMar>
            <w:top w:w="0" w:type="dxa"/>
            <w:left w:w="108" w:type="dxa"/>
            <w:bottom w:w="0" w:type="dxa"/>
            <w:right w:w="108" w:type="dxa"/>
          </w:tblCellMar>
        </w:tblPrEx>
        <w:tc>
          <w:tcPr>
            <w:tcW w:w="215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8"/>
            <w:tcMar>
              <w:top w:w="75" w:type="dxa"/>
              <w:left w:w="100" w:type="dxa"/>
              <w:bottom w:w="75" w:type="dxa"/>
              <w:right w:w="100" w:type="dxa"/>
            </w:tcMar>
            <w:vAlign w:val="center"/>
          </w:tcPr>
          <w:p w14:paraId="524A620B">
            <w:pPr>
              <w:jc w:val="center"/>
            </w:pPr>
            <w:r>
              <w:rPr>
                <w:b/>
                <w:color w:val="FFFFFF"/>
                <w:sz w:val="18"/>
              </w:rPr>
              <w:t>文件</w:t>
            </w:r>
          </w:p>
        </w:tc>
        <w:tc>
          <w:tcPr>
            <w:tcW w:w="226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8"/>
            <w:tcMar>
              <w:top w:w="75" w:type="dxa"/>
              <w:left w:w="100" w:type="dxa"/>
              <w:bottom w:w="75" w:type="dxa"/>
              <w:right w:w="100" w:type="dxa"/>
            </w:tcMar>
            <w:vAlign w:val="center"/>
          </w:tcPr>
          <w:p w14:paraId="78CCC49E">
            <w:pPr>
              <w:jc w:val="center"/>
            </w:pPr>
            <w:r>
              <w:rPr>
                <w:b/>
                <w:color w:val="FFFFFF"/>
                <w:sz w:val="18"/>
              </w:rPr>
              <w:t>修改前</w:t>
            </w:r>
          </w:p>
        </w:tc>
        <w:tc>
          <w:tcPr>
            <w:tcW w:w="226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8"/>
            <w:tcMar>
              <w:top w:w="75" w:type="dxa"/>
              <w:left w:w="100" w:type="dxa"/>
              <w:bottom w:w="75" w:type="dxa"/>
              <w:right w:w="100" w:type="dxa"/>
            </w:tcMar>
            <w:vAlign w:val="center"/>
          </w:tcPr>
          <w:p w14:paraId="06D23BC1">
            <w:pPr>
              <w:jc w:val="center"/>
            </w:pPr>
            <w:r>
              <w:rPr>
                <w:b/>
                <w:color w:val="FFFFFF"/>
                <w:sz w:val="18"/>
              </w:rPr>
              <w:t>修改后</w:t>
            </w:r>
          </w:p>
        </w:tc>
        <w:tc>
          <w:tcPr>
            <w:tcW w:w="226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8"/>
            <w:tcMar>
              <w:top w:w="75" w:type="dxa"/>
              <w:left w:w="100" w:type="dxa"/>
              <w:bottom w:w="75" w:type="dxa"/>
              <w:right w:w="100" w:type="dxa"/>
            </w:tcMar>
            <w:vAlign w:val="center"/>
          </w:tcPr>
          <w:p w14:paraId="5C86E766">
            <w:pPr>
              <w:jc w:val="center"/>
            </w:pPr>
            <w:r>
              <w:rPr>
                <w:b/>
                <w:color w:val="FFFFFF"/>
                <w:sz w:val="18"/>
              </w:rPr>
              <w:t>实际作用</w:t>
            </w:r>
          </w:p>
        </w:tc>
      </w:tr>
      <w:tr w14:paraId="4D5370C0">
        <w:tblPrEx>
          <w:tblCellMar>
            <w:top w:w="0" w:type="dxa"/>
            <w:left w:w="108" w:type="dxa"/>
            <w:bottom w:w="0" w:type="dxa"/>
            <w:right w:w="108" w:type="dxa"/>
          </w:tblCellMar>
        </w:tblPrEx>
        <w:tc>
          <w:tcPr>
            <w:tcW w:w="215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4277D30C">
            <w:pPr>
              <w:spacing w:after="0" w:line="259" w:lineRule="auto"/>
            </w:pPr>
            <w:r>
              <w:rPr>
                <w:sz w:val="16"/>
              </w:rPr>
              <w:t>backend/src/modules/content/routes.ts</w:t>
            </w:r>
          </w:p>
        </w:tc>
        <w:tc>
          <w:tcPr>
            <w:tcW w:w="2268"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0B93244D">
            <w:pPr>
              <w:spacing w:after="0" w:line="259" w:lineRule="auto"/>
            </w:pPr>
            <w:r>
              <w:rPr>
                <w:sz w:val="16"/>
              </w:rPr>
              <w:t>试听接口只判断 age_mode 是否等于 child；其他任意值会回退到默认年龄模式。</w:t>
            </w:r>
          </w:p>
        </w:tc>
        <w:tc>
          <w:tcPr>
            <w:tcW w:w="2268"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36C15648">
            <w:pPr>
              <w:spacing w:after="0" w:line="259" w:lineRule="auto"/>
            </w:pPr>
            <w:r>
              <w:rPr>
                <w:sz w:val="16"/>
              </w:rPr>
              <w:t>增加 playableQuery，限定 age_mode 只能为 adult 或 child，并通过 Zod 解析。</w:t>
            </w:r>
          </w:p>
        </w:tc>
        <w:tc>
          <w:tcPr>
            <w:tcW w:w="2268"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00659BB5">
            <w:pPr>
              <w:spacing w:after="0" w:line="259" w:lineRule="auto"/>
            </w:pPr>
            <w:r>
              <w:rPr>
                <w:sz w:val="16"/>
              </w:rPr>
              <w:t>teen 等非法值返回400 INVALID_REQUEST，不再静默按成人模式处理。</w:t>
            </w:r>
          </w:p>
        </w:tc>
      </w:tr>
      <w:tr w14:paraId="39A789C6">
        <w:tblPrEx>
          <w:tblCellMar>
            <w:top w:w="0" w:type="dxa"/>
            <w:left w:w="108" w:type="dxa"/>
            <w:bottom w:w="0" w:type="dxa"/>
            <w:right w:w="108" w:type="dxa"/>
          </w:tblCellMar>
        </w:tblPrEx>
        <w:tc>
          <w:tcPr>
            <w:tcW w:w="215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5A2C2A05">
            <w:pPr>
              <w:spacing w:after="0" w:line="259" w:lineRule="auto"/>
            </w:pPr>
            <w:r>
              <w:rPr>
                <w:sz w:val="16"/>
              </w:rPr>
              <w:t>backend/src/modules/content/catalog.ts</w:t>
            </w:r>
          </w:p>
        </w:tc>
        <w:tc>
          <w:tcPr>
            <w:tcW w:w="226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198D59C1">
            <w:pPr>
              <w:spacing w:after="0" w:line="259" w:lineRule="auto"/>
            </w:pPr>
            <w:r>
              <w:rPr>
                <w:sz w:val="16"/>
              </w:rPr>
              <w:t>isPlayable 只检查启用状态和版权，没有检查 audioPath；无音频路径的内容可能被标记为可播放。</w:t>
            </w:r>
          </w:p>
        </w:tc>
        <w:tc>
          <w:tcPr>
            <w:tcW w:w="226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2125A746">
            <w:pPr>
              <w:spacing w:after="0" w:line="259" w:lineRule="auto"/>
            </w:pPr>
            <w:r>
              <w:rPr>
                <w:sz w:val="16"/>
              </w:rPr>
              <w:t>isPlayable 增加 Boolean(entry.audioPath)；仅可播放时返回确定的音频路径。</w:t>
            </w:r>
          </w:p>
        </w:tc>
        <w:tc>
          <w:tcPr>
            <w:tcW w:w="2268"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5580B12E">
            <w:pPr>
              <w:spacing w:after="0" w:line="259" w:lineRule="auto"/>
            </w:pPr>
            <w:r>
              <w:rPr>
                <w:sz w:val="16"/>
              </w:rPr>
              <w:t>ST06 等未绑定音频的条目返回 playable=false、url为空，避免“可播放但没有地址”的矛盾状态。</w:t>
            </w:r>
          </w:p>
        </w:tc>
      </w:tr>
    </w:tbl>
    <w:p w14:paraId="419FD7D5">
      <w:pPr>
        <w:spacing w:after="20"/>
      </w:pPr>
    </w:p>
    <w:p w14:paraId="4EE1F9B3">
      <w:pPr>
        <w:pStyle w:val="3"/>
      </w:pPr>
      <w:r>
        <w:rPr>
          <w:rFonts w:ascii="微软雅黑" w:hAnsi="微软雅黑" w:eastAsia="微软雅黑"/>
        </w:rPr>
        <w:t>三 成员1完善的测试内容</w:t>
      </w:r>
    </w:p>
    <w:p w14:paraId="4A718029">
      <w:pPr>
        <w:pStyle w:val="4"/>
      </w:pPr>
      <w:r>
        <w:rPr>
          <w:rFonts w:ascii="微软雅黑" w:hAnsi="微软雅黑" w:eastAsia="微软雅黑"/>
        </w:rPr>
        <w:t>1 首次专项测试</w:t>
      </w:r>
    </w:p>
    <w:p w14:paraId="16F7666E">
      <w:r>
        <w:rPr>
          <w:rFonts w:ascii="微软雅黑" w:hAnsi="微软雅黑" w:eastAsia="微软雅黑"/>
        </w:rPr>
        <w:t>新增 backend/member1-tests.ts，并将证据写入 backend/test-evidence。脚本覆盖28条成员1用例。</w:t>
      </w:r>
    </w:p>
    <w:tbl>
      <w:tblPr>
        <w:tblStyle w:val="32"/>
        <w:tblW w:w="0" w:type="auto"/>
        <w:tblInd w:w="0" w:type="dxa"/>
        <w:tblLayout w:type="fixed"/>
        <w:tblCellMar>
          <w:top w:w="0" w:type="dxa"/>
          <w:left w:w="108" w:type="dxa"/>
          <w:bottom w:w="0" w:type="dxa"/>
          <w:right w:w="108" w:type="dxa"/>
        </w:tblCellMar>
      </w:tblPr>
      <w:tblGrid>
        <w:gridCol w:w="3229"/>
        <w:gridCol w:w="3229"/>
        <w:gridCol w:w="3229"/>
      </w:tblGrid>
      <w:tr w14:paraId="16DFD422">
        <w:tblPrEx>
          <w:tblCellMar>
            <w:top w:w="0" w:type="dxa"/>
            <w:left w:w="108" w:type="dxa"/>
            <w:bottom w:w="0" w:type="dxa"/>
            <w:right w:w="108" w:type="dxa"/>
          </w:tblCellMar>
        </w:tblPrEx>
        <w:tc>
          <w:tcPr>
            <w:tcW w:w="1757"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8"/>
            <w:tcMar>
              <w:top w:w="75" w:type="dxa"/>
              <w:left w:w="100" w:type="dxa"/>
              <w:bottom w:w="75" w:type="dxa"/>
              <w:right w:w="100" w:type="dxa"/>
            </w:tcMar>
            <w:vAlign w:val="center"/>
          </w:tcPr>
          <w:p w14:paraId="1F131488">
            <w:pPr>
              <w:jc w:val="center"/>
            </w:pPr>
            <w:r>
              <w:rPr>
                <w:b/>
                <w:color w:val="FFFFFF"/>
                <w:sz w:val="18"/>
              </w:rPr>
              <w:t>测试层次</w:t>
            </w:r>
          </w:p>
        </w:tc>
        <w:tc>
          <w:tcPr>
            <w:tcW w:w="113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8"/>
            <w:tcMar>
              <w:top w:w="75" w:type="dxa"/>
              <w:left w:w="100" w:type="dxa"/>
              <w:bottom w:w="75" w:type="dxa"/>
              <w:right w:w="100" w:type="dxa"/>
            </w:tcMar>
            <w:vAlign w:val="center"/>
          </w:tcPr>
          <w:p w14:paraId="34D86B61">
            <w:pPr>
              <w:jc w:val="center"/>
            </w:pPr>
            <w:r>
              <w:rPr>
                <w:b/>
                <w:color w:val="FFFFFF"/>
                <w:sz w:val="18"/>
              </w:rPr>
              <w:t>数量</w:t>
            </w:r>
          </w:p>
        </w:tc>
        <w:tc>
          <w:tcPr>
            <w:tcW w:w="606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8"/>
            <w:tcMar>
              <w:top w:w="75" w:type="dxa"/>
              <w:left w:w="100" w:type="dxa"/>
              <w:bottom w:w="75" w:type="dxa"/>
              <w:right w:w="100" w:type="dxa"/>
            </w:tcMar>
            <w:vAlign w:val="center"/>
          </w:tcPr>
          <w:p w14:paraId="57748877">
            <w:pPr>
              <w:jc w:val="center"/>
            </w:pPr>
            <w:r>
              <w:rPr>
                <w:b/>
                <w:color w:val="FFFFFF"/>
                <w:sz w:val="18"/>
              </w:rPr>
              <w:t>主要范围</w:t>
            </w:r>
          </w:p>
        </w:tc>
      </w:tr>
      <w:tr w14:paraId="15C489C4">
        <w:tblPrEx>
          <w:tblCellMar>
            <w:top w:w="0" w:type="dxa"/>
            <w:left w:w="108" w:type="dxa"/>
            <w:bottom w:w="0" w:type="dxa"/>
            <w:right w:w="108" w:type="dxa"/>
          </w:tblCellMar>
        </w:tblPrEx>
        <w:tc>
          <w:tcPr>
            <w:tcW w:w="1757"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2FE3B4A6">
            <w:pPr>
              <w:spacing w:after="0" w:line="259" w:lineRule="auto"/>
              <w:jc w:val="center"/>
            </w:pPr>
            <w:r>
              <w:rPr>
                <w:sz w:val="16"/>
              </w:rPr>
              <w:t>白盒与单元测试</w:t>
            </w:r>
          </w:p>
        </w:tc>
        <w:tc>
          <w:tcPr>
            <w:tcW w:w="113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74C77DED">
            <w:pPr>
              <w:spacing w:after="0" w:line="259" w:lineRule="auto"/>
            </w:pPr>
            <w:r>
              <w:rPr>
                <w:sz w:val="16"/>
              </w:rPr>
              <w:t>12</w:t>
            </w:r>
          </w:p>
        </w:tc>
        <w:tc>
          <w:tcPr>
            <w:tcW w:w="606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5EFB0BEC">
            <w:pPr>
              <w:spacing w:after="0" w:line="259" w:lineRule="auto"/>
            </w:pPr>
            <w:r>
              <w:rPr>
                <w:sz w:val="16"/>
              </w:rPr>
              <w:t>ID和UUID解析、可播放分支、年龄过滤、分类、循环边界、收藏去重、用户隔离、跨模块资源映射、DTO字段</w:t>
            </w:r>
          </w:p>
        </w:tc>
      </w:tr>
      <w:tr w14:paraId="5BD14F58">
        <w:tblPrEx>
          <w:tblCellMar>
            <w:top w:w="0" w:type="dxa"/>
            <w:left w:w="108" w:type="dxa"/>
            <w:bottom w:w="0" w:type="dxa"/>
            <w:right w:w="108" w:type="dxa"/>
          </w:tblCellMar>
        </w:tblPrEx>
        <w:tc>
          <w:tcPr>
            <w:tcW w:w="1757"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52AD3351">
            <w:pPr>
              <w:spacing w:after="0" w:line="259" w:lineRule="auto"/>
              <w:jc w:val="center"/>
            </w:pPr>
            <w:r>
              <w:rPr>
                <w:sz w:val="16"/>
              </w:rPr>
              <w:t>黑盒HTTP测试</w:t>
            </w:r>
          </w:p>
        </w:tc>
        <w:tc>
          <w:tcPr>
            <w:tcW w:w="113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7EA93946">
            <w:pPr>
              <w:spacing w:after="0" w:line="259" w:lineRule="auto"/>
            </w:pPr>
            <w:r>
              <w:rPr>
                <w:sz w:val="16"/>
              </w:rPr>
              <w:t>12</w:t>
            </w:r>
          </w:p>
        </w:tc>
        <w:tc>
          <w:tcPr>
            <w:tcW w:w="606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4B55B497">
            <w:pPr>
              <w:spacing w:after="0" w:line="259" w:lineRule="auto"/>
            </w:pPr>
            <w:r>
              <w:rPr>
                <w:sz w:val="16"/>
              </w:rPr>
              <w:t>内容目录、非法输入、试听与Range、年龄限制、收藏身份与输入校验、媒体可访问性</w:t>
            </w:r>
          </w:p>
        </w:tc>
      </w:tr>
      <w:tr w14:paraId="73EAD2D3">
        <w:tblPrEx>
          <w:tblCellMar>
            <w:top w:w="0" w:type="dxa"/>
            <w:left w:w="108" w:type="dxa"/>
            <w:bottom w:w="0" w:type="dxa"/>
            <w:right w:w="108" w:type="dxa"/>
          </w:tblCellMar>
        </w:tblPrEx>
        <w:tc>
          <w:tcPr>
            <w:tcW w:w="1757"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4BB89DF4">
            <w:pPr>
              <w:spacing w:after="0" w:line="259" w:lineRule="auto"/>
              <w:jc w:val="center"/>
            </w:pPr>
            <w:r>
              <w:rPr>
                <w:sz w:val="16"/>
              </w:rPr>
              <w:t>集成测试</w:t>
            </w:r>
          </w:p>
        </w:tc>
        <w:tc>
          <w:tcPr>
            <w:tcW w:w="1134"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1412B66F">
            <w:pPr>
              <w:spacing w:after="0" w:line="259" w:lineRule="auto"/>
            </w:pPr>
            <w:r>
              <w:rPr>
                <w:sz w:val="16"/>
              </w:rPr>
              <w:t>2</w:t>
            </w:r>
          </w:p>
        </w:tc>
        <w:tc>
          <w:tcPr>
            <w:tcW w:w="6066"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59642974">
            <w:pPr>
              <w:spacing w:after="0" w:line="259" w:lineRule="auto"/>
            </w:pPr>
            <w:r>
              <w:rPr>
                <w:sz w:val="16"/>
              </w:rPr>
              <w:t>HTTP到SQLite持久化；前端ContentHttpAdapter到真实API</w:t>
            </w:r>
          </w:p>
        </w:tc>
      </w:tr>
      <w:tr w14:paraId="0725EE02">
        <w:tblPrEx>
          <w:tblCellMar>
            <w:top w:w="0" w:type="dxa"/>
            <w:left w:w="108" w:type="dxa"/>
            <w:bottom w:w="0" w:type="dxa"/>
            <w:right w:w="108" w:type="dxa"/>
          </w:tblCellMar>
        </w:tblPrEx>
        <w:tc>
          <w:tcPr>
            <w:tcW w:w="1757"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6B29BC5C">
            <w:pPr>
              <w:spacing w:after="0" w:line="259" w:lineRule="auto"/>
              <w:jc w:val="center"/>
            </w:pPr>
            <w:r>
              <w:rPr>
                <w:sz w:val="16"/>
              </w:rPr>
              <w:t>非功能测试</w:t>
            </w:r>
          </w:p>
        </w:tc>
        <w:tc>
          <w:tcPr>
            <w:tcW w:w="1134"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193E275F">
            <w:pPr>
              <w:spacing w:after="0" w:line="259" w:lineRule="auto"/>
            </w:pPr>
            <w:r>
              <w:rPr>
                <w:sz w:val="16"/>
              </w:rPr>
              <w:t>2</w:t>
            </w:r>
          </w:p>
        </w:tc>
        <w:tc>
          <w:tcPr>
            <w:tcW w:w="6066"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72DC8F3C">
            <w:pPr>
              <w:spacing w:after="0" w:line="259" w:lineRule="auto"/>
            </w:pPr>
            <w:r>
              <w:rPr>
                <w:sz w:val="16"/>
              </w:rPr>
              <w:t>本机顺序请求延迟；目录元数据敏感字段检查</w:t>
            </w:r>
          </w:p>
        </w:tc>
      </w:tr>
    </w:tbl>
    <w:p w14:paraId="2E560200">
      <w:pPr>
        <w:spacing w:after="20"/>
      </w:pPr>
    </w:p>
    <w:p w14:paraId="528747B3">
      <w:r>
        <w:rPr>
          <w:rFonts w:ascii="微软雅黑" w:hAnsi="微软雅黑" w:eastAsia="微软雅黑"/>
        </w:rPr>
        <w:t>提供的 case-results.json 实际记录28条，状态均为“通过”。其中两项修复验证为：非法 age_mode 返回400；ST06返回 playable=false。</w:t>
      </w:r>
    </w:p>
    <w:p w14:paraId="64827D62">
      <w:pPr>
        <w:pStyle w:val="4"/>
      </w:pPr>
      <w:r>
        <w:rPr>
          <w:rFonts w:ascii="微软雅黑" w:hAnsi="微软雅黑" w:eastAsia="微软雅黑"/>
        </w:rPr>
        <w:t>2 追加专项测试</w:t>
      </w:r>
    </w:p>
    <w:p w14:paraId="2A4FF635">
      <w:r>
        <w:rPr>
          <w:rFonts w:ascii="微软雅黑" w:hAnsi="微软雅黑" w:eastAsia="微软雅黑"/>
        </w:rPr>
        <w:t>新增 backend/member1-additional.ts，脚本定义8条追加用例，覆盖集成策略与非功能测试。</w:t>
      </w:r>
    </w:p>
    <w:tbl>
      <w:tblPr>
        <w:tblStyle w:val="32"/>
        <w:tblW w:w="0" w:type="auto"/>
        <w:tblInd w:w="0" w:type="dxa"/>
        <w:tblLayout w:type="fixed"/>
        <w:tblCellMar>
          <w:top w:w="0" w:type="dxa"/>
          <w:left w:w="108" w:type="dxa"/>
          <w:bottom w:w="0" w:type="dxa"/>
          <w:right w:w="108" w:type="dxa"/>
        </w:tblCellMar>
      </w:tblPr>
      <w:tblGrid>
        <w:gridCol w:w="3229"/>
        <w:gridCol w:w="3229"/>
        <w:gridCol w:w="3229"/>
      </w:tblGrid>
      <w:tr w14:paraId="104A31D1">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8"/>
            <w:tcMar>
              <w:top w:w="75" w:type="dxa"/>
              <w:left w:w="100" w:type="dxa"/>
              <w:bottom w:w="75" w:type="dxa"/>
              <w:right w:w="100" w:type="dxa"/>
            </w:tcMar>
            <w:vAlign w:val="center"/>
          </w:tcPr>
          <w:p w14:paraId="16DF73BA">
            <w:pPr>
              <w:jc w:val="center"/>
            </w:pPr>
            <w:r>
              <w:rPr>
                <w:b/>
                <w:color w:val="FFFFFF"/>
                <w:sz w:val="18"/>
              </w:rPr>
              <w:t>用例组</w:t>
            </w:r>
          </w:p>
        </w:tc>
        <w:tc>
          <w:tcPr>
            <w:tcW w:w="408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8"/>
            <w:tcMar>
              <w:top w:w="75" w:type="dxa"/>
              <w:left w:w="100" w:type="dxa"/>
              <w:bottom w:w="75" w:type="dxa"/>
              <w:right w:w="100" w:type="dxa"/>
            </w:tcMar>
            <w:vAlign w:val="center"/>
          </w:tcPr>
          <w:p w14:paraId="63B8C497">
            <w:pPr>
              <w:jc w:val="center"/>
            </w:pPr>
            <w:r>
              <w:rPr>
                <w:b/>
                <w:color w:val="FFFFFF"/>
                <w:sz w:val="18"/>
              </w:rPr>
              <w:t>定义内容</w:t>
            </w:r>
          </w:p>
        </w:tc>
        <w:tc>
          <w:tcPr>
            <w:tcW w:w="31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8"/>
            <w:tcMar>
              <w:top w:w="75" w:type="dxa"/>
              <w:left w:w="100" w:type="dxa"/>
              <w:bottom w:w="75" w:type="dxa"/>
              <w:right w:w="100" w:type="dxa"/>
            </w:tcMar>
            <w:vAlign w:val="center"/>
          </w:tcPr>
          <w:p w14:paraId="0EF6A9E7">
            <w:pPr>
              <w:jc w:val="center"/>
            </w:pPr>
            <w:r>
              <w:rPr>
                <w:b/>
                <w:color w:val="FFFFFF"/>
                <w:sz w:val="18"/>
              </w:rPr>
              <w:t>提供目录中的证据状态</w:t>
            </w:r>
          </w:p>
        </w:tc>
      </w:tr>
      <w:tr w14:paraId="70DC3F87">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36D348C9">
            <w:pPr>
              <w:spacing w:after="0" w:line="259" w:lineRule="auto"/>
              <w:jc w:val="center"/>
            </w:pPr>
            <w:r>
              <w:rPr>
                <w:sz w:val="16"/>
              </w:rPr>
              <w:t>INT 003至005</w:t>
            </w:r>
          </w:p>
        </w:tc>
        <w:tc>
          <w:tcPr>
            <w:tcW w:w="408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41BF4252">
            <w:pPr>
              <w:spacing w:after="0" w:line="259" w:lineRule="auto"/>
            </w:pPr>
            <w:r>
              <w:rPr>
                <w:sz w:val="16"/>
              </w:rPr>
              <w:t>自底向上、自顶向下、整体装配后的非增量集成</w:t>
            </w:r>
          </w:p>
        </w:tc>
        <w:tc>
          <w:tcPr>
            <w:tcW w:w="3175"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3C6B6AC7">
            <w:pPr>
              <w:spacing w:after="0" w:line="259" w:lineRule="auto"/>
            </w:pPr>
            <w:r>
              <w:rPr>
                <w:sz w:val="16"/>
              </w:rPr>
              <w:t>3条已记录通过</w:t>
            </w:r>
          </w:p>
        </w:tc>
      </w:tr>
      <w:tr w14:paraId="1CB82D7E">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04B818D6">
            <w:pPr>
              <w:spacing w:after="0" w:line="259" w:lineRule="auto"/>
              <w:jc w:val="center"/>
            </w:pPr>
            <w:r>
              <w:rPr>
                <w:sz w:val="16"/>
              </w:rPr>
              <w:t>NF 008至011</w:t>
            </w:r>
          </w:p>
        </w:tc>
        <w:tc>
          <w:tcPr>
            <w:tcW w:w="408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1E3DA4D1">
            <w:pPr>
              <w:spacing w:after="0" w:line="259" w:lineRule="auto"/>
            </w:pPr>
            <w:r>
              <w:rPr>
                <w:sz w:val="16"/>
              </w:rPr>
              <w:t>并发负载、阶梯压力、目录规模扩展、HTTP客户端兼容</w:t>
            </w:r>
          </w:p>
        </w:tc>
        <w:tc>
          <w:tcPr>
            <w:tcW w:w="317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21CA898A">
            <w:pPr>
              <w:spacing w:after="0" w:line="259" w:lineRule="auto"/>
            </w:pPr>
            <w:r>
              <w:rPr>
                <w:sz w:val="16"/>
              </w:rPr>
              <w:t>4条已记录通过</w:t>
            </w:r>
          </w:p>
        </w:tc>
      </w:tr>
      <w:tr w14:paraId="071EBF4A">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494A227A">
            <w:pPr>
              <w:spacing w:after="0" w:line="259" w:lineRule="auto"/>
              <w:jc w:val="center"/>
            </w:pPr>
            <w:r>
              <w:rPr>
                <w:sz w:val="16"/>
              </w:rPr>
              <w:t>NF 012</w:t>
            </w:r>
          </w:p>
        </w:tc>
        <w:tc>
          <w:tcPr>
            <w:tcW w:w="408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126A99BD">
            <w:pPr>
              <w:spacing w:after="0" w:line="259" w:lineRule="auto"/>
            </w:pPr>
            <w:r>
              <w:rPr>
                <w:sz w:val="16"/>
              </w:rPr>
              <w:t>120次请求、约两分钟短时稳定性</w:t>
            </w:r>
          </w:p>
        </w:tc>
        <w:tc>
          <w:tcPr>
            <w:tcW w:w="3175"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06486040">
            <w:pPr>
              <w:spacing w:after="0" w:line="259" w:lineRule="auto"/>
            </w:pPr>
            <w:r>
              <w:rPr>
                <w:sz w:val="16"/>
              </w:rPr>
              <w:t>脚本已定义；additional-results.json中没有该条最终记录</w:t>
            </w:r>
          </w:p>
        </w:tc>
      </w:tr>
    </w:tbl>
    <w:p w14:paraId="4E02F1A6">
      <w:pPr>
        <w:spacing w:after="20"/>
      </w:pPr>
    </w:p>
    <w:p w14:paraId="4806550F">
      <w:r>
        <w:rPr>
          <w:rFonts w:ascii="微软雅黑" w:hAnsi="微软雅黑" w:eastAsia="微软雅黑"/>
        </w:rPr>
        <w:t>因此，按当前修复文件夹内可核验的结果，可写“追加测试已有7条通过记录”；不能仅依据脚本定义写成8条全部通过。若提交前重新完整运行约两分钟的追加脚本，并生成包含 NF M01 012 的结果文件，才可更新为8条通过。</w:t>
      </w:r>
    </w:p>
    <w:p w14:paraId="1BAD69E0">
      <w:pPr>
        <w:pStyle w:val="3"/>
      </w:pPr>
      <w:r>
        <w:rPr>
          <w:rFonts w:ascii="微软雅黑" w:hAnsi="微软雅黑" w:eastAsia="微软雅黑"/>
        </w:rPr>
        <w:t>四 新增证据与运行产物</w:t>
      </w:r>
    </w:p>
    <w:tbl>
      <w:tblPr>
        <w:tblStyle w:val="32"/>
        <w:tblW w:w="0" w:type="auto"/>
        <w:tblInd w:w="0" w:type="dxa"/>
        <w:tblLayout w:type="fixed"/>
        <w:tblCellMar>
          <w:top w:w="0" w:type="dxa"/>
          <w:left w:w="108" w:type="dxa"/>
          <w:bottom w:w="0" w:type="dxa"/>
          <w:right w:w="108" w:type="dxa"/>
        </w:tblCellMar>
      </w:tblPr>
      <w:tblGrid>
        <w:gridCol w:w="3229"/>
        <w:gridCol w:w="3229"/>
        <w:gridCol w:w="3229"/>
      </w:tblGrid>
      <w:tr w14:paraId="5549618F">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8"/>
            <w:tcMar>
              <w:top w:w="75" w:type="dxa"/>
              <w:left w:w="100" w:type="dxa"/>
              <w:bottom w:w="75" w:type="dxa"/>
              <w:right w:w="100" w:type="dxa"/>
            </w:tcMar>
            <w:vAlign w:val="center"/>
          </w:tcPr>
          <w:p w14:paraId="06125DFD">
            <w:pPr>
              <w:jc w:val="center"/>
            </w:pPr>
            <w:r>
              <w:rPr>
                <w:b/>
                <w:color w:val="FFFFFF"/>
                <w:sz w:val="18"/>
              </w:rPr>
              <w:t>类别</w:t>
            </w:r>
          </w:p>
        </w:tc>
        <w:tc>
          <w:tcPr>
            <w:tcW w:w="340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8"/>
            <w:tcMar>
              <w:top w:w="75" w:type="dxa"/>
              <w:left w:w="100" w:type="dxa"/>
              <w:bottom w:w="75" w:type="dxa"/>
              <w:right w:w="100" w:type="dxa"/>
            </w:tcMar>
            <w:vAlign w:val="center"/>
          </w:tcPr>
          <w:p w14:paraId="0CF12343">
            <w:pPr>
              <w:jc w:val="center"/>
            </w:pPr>
            <w:r>
              <w:rPr>
                <w:b/>
                <w:color w:val="FFFFFF"/>
                <w:sz w:val="18"/>
              </w:rPr>
              <w:t>文件</w:t>
            </w:r>
          </w:p>
        </w:tc>
        <w:tc>
          <w:tcPr>
            <w:tcW w:w="385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1F4E78"/>
            <w:tcMar>
              <w:top w:w="75" w:type="dxa"/>
              <w:left w:w="100" w:type="dxa"/>
              <w:bottom w:w="75" w:type="dxa"/>
              <w:right w:w="100" w:type="dxa"/>
            </w:tcMar>
            <w:vAlign w:val="center"/>
          </w:tcPr>
          <w:p w14:paraId="4A4F0BEC">
            <w:pPr>
              <w:jc w:val="center"/>
            </w:pPr>
            <w:r>
              <w:rPr>
                <w:b/>
                <w:color w:val="FFFFFF"/>
                <w:sz w:val="18"/>
              </w:rPr>
              <w:t>用途与说明</w:t>
            </w:r>
          </w:p>
        </w:tc>
      </w:tr>
      <w:tr w14:paraId="6B1166D8">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3647D6AA">
            <w:pPr>
              <w:spacing w:after="0" w:line="259" w:lineRule="auto"/>
              <w:jc w:val="center"/>
            </w:pPr>
            <w:r>
              <w:rPr>
                <w:sz w:val="16"/>
              </w:rPr>
              <w:t>测试代码</w:t>
            </w:r>
          </w:p>
        </w:tc>
        <w:tc>
          <w:tcPr>
            <w:tcW w:w="340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181A693E">
            <w:pPr>
              <w:spacing w:after="0" w:line="259" w:lineRule="auto"/>
            </w:pPr>
            <w:r>
              <w:rPr>
                <w:sz w:val="16"/>
              </w:rPr>
              <w:t>backend/member1-tests.ts</w:t>
            </w:r>
            <w:r>
              <w:rPr>
                <w:sz w:val="16"/>
              </w:rPr>
              <w:br w:type="textWrapping"/>
            </w:r>
            <w:r>
              <w:rPr>
                <w:sz w:val="16"/>
              </w:rPr>
              <w:t>backend/member1-additional.ts</w:t>
            </w:r>
          </w:p>
        </w:tc>
        <w:tc>
          <w:tcPr>
            <w:tcW w:w="3855"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4E089771">
            <w:pPr>
              <w:spacing w:after="0" w:line="259" w:lineRule="auto"/>
            </w:pPr>
            <w:r>
              <w:rPr>
                <w:sz w:val="16"/>
              </w:rPr>
              <w:t>成员1专项测试入口</w:t>
            </w:r>
          </w:p>
        </w:tc>
      </w:tr>
      <w:tr w14:paraId="1A74E78C">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0530D32B">
            <w:pPr>
              <w:spacing w:after="0" w:line="259" w:lineRule="auto"/>
              <w:jc w:val="center"/>
            </w:pPr>
            <w:r>
              <w:rPr>
                <w:sz w:val="16"/>
              </w:rPr>
              <w:t>结构化结果</w:t>
            </w:r>
          </w:p>
        </w:tc>
        <w:tc>
          <w:tcPr>
            <w:tcW w:w="340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10DA5EA8">
            <w:pPr>
              <w:spacing w:after="0" w:line="259" w:lineRule="auto"/>
            </w:pPr>
            <w:r>
              <w:rPr>
                <w:sz w:val="16"/>
              </w:rPr>
              <w:t>case-results.json</w:t>
            </w:r>
            <w:r>
              <w:rPr>
                <w:sz w:val="16"/>
              </w:rPr>
              <w:br w:type="textWrapping"/>
            </w:r>
            <w:r>
              <w:rPr>
                <w:sz w:val="16"/>
              </w:rPr>
              <w:t>additional-results.json</w:t>
            </w:r>
          </w:p>
        </w:tc>
        <w:tc>
          <w:tcPr>
            <w:tcW w:w="385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67D5B774">
            <w:pPr>
              <w:spacing w:after="0" w:line="259" w:lineRule="auto"/>
            </w:pPr>
            <w:r>
              <w:rPr>
                <w:sz w:val="16"/>
              </w:rPr>
              <w:t>保存预期、实际、状态与时间</w:t>
            </w:r>
          </w:p>
        </w:tc>
      </w:tr>
      <w:tr w14:paraId="4E9B7931">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1D64F453">
            <w:pPr>
              <w:spacing w:after="0" w:line="259" w:lineRule="auto"/>
              <w:jc w:val="center"/>
            </w:pPr>
            <w:r>
              <w:rPr>
                <w:sz w:val="16"/>
              </w:rPr>
              <w:t>接口轨迹</w:t>
            </w:r>
          </w:p>
        </w:tc>
        <w:tc>
          <w:tcPr>
            <w:tcW w:w="3402"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1950A15F">
            <w:pPr>
              <w:spacing w:after="0" w:line="259" w:lineRule="auto"/>
            </w:pPr>
            <w:r>
              <w:rPr>
                <w:sz w:val="16"/>
              </w:rPr>
              <w:t>http-trace.json</w:t>
            </w:r>
          </w:p>
        </w:tc>
        <w:tc>
          <w:tcPr>
            <w:tcW w:w="3855" w:type="dxa"/>
            <w:tcBorders>
              <w:top w:val="single" w:color="D9D9D9" w:sz="4" w:space="0"/>
              <w:left w:val="single" w:color="D9D9D9" w:sz="4" w:space="0"/>
              <w:bottom w:val="single" w:color="D9D9D9" w:sz="4" w:space="0"/>
              <w:right w:val="single" w:color="D9D9D9" w:sz="4" w:space="0"/>
              <w:insideH w:val="single" w:sz="4" w:space="0"/>
              <w:insideV w:val="single" w:sz="4" w:space="0"/>
            </w:tcBorders>
            <w:tcMar>
              <w:top w:w="75" w:type="dxa"/>
              <w:left w:w="100" w:type="dxa"/>
              <w:bottom w:w="75" w:type="dxa"/>
              <w:right w:w="100" w:type="dxa"/>
            </w:tcMar>
            <w:vAlign w:val="center"/>
          </w:tcPr>
          <w:p w14:paraId="7602819C">
            <w:pPr>
              <w:spacing w:after="0" w:line="259" w:lineRule="auto"/>
            </w:pPr>
            <w:r>
              <w:rPr>
                <w:sz w:val="16"/>
              </w:rPr>
              <w:t>保存真实HTTP请求和响应证据</w:t>
            </w:r>
          </w:p>
        </w:tc>
      </w:tr>
      <w:tr w14:paraId="14D49A29">
        <w:tblPrEx>
          <w:tblCellMar>
            <w:top w:w="0" w:type="dxa"/>
            <w:left w:w="108" w:type="dxa"/>
            <w:bottom w:w="0" w:type="dxa"/>
            <w:right w:w="108" w:type="dxa"/>
          </w:tblCellMar>
        </w:tblPrEx>
        <w:tc>
          <w:tcPr>
            <w:tcW w:w="1701"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3B252C00">
            <w:pPr>
              <w:spacing w:after="0" w:line="259" w:lineRule="auto"/>
              <w:jc w:val="center"/>
            </w:pPr>
            <w:r>
              <w:rPr>
                <w:sz w:val="16"/>
              </w:rPr>
              <w:t>测试数据库</w:t>
            </w:r>
          </w:p>
        </w:tc>
        <w:tc>
          <w:tcPr>
            <w:tcW w:w="3402"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0626928F">
            <w:pPr>
              <w:spacing w:after="0" w:line="259" w:lineRule="auto"/>
            </w:pPr>
            <w:r>
              <w:rPr>
                <w:sz w:val="16"/>
              </w:rPr>
              <w:t>member1-runtime.sqlite</w:t>
            </w:r>
            <w:r>
              <w:rPr>
                <w:sz w:val="16"/>
              </w:rPr>
              <w:br w:type="textWrapping"/>
            </w:r>
            <w:r>
              <w:rPr>
                <w:sz w:val="16"/>
              </w:rPr>
              <w:t>member1-additional-runtime.sqlite及WAL文件</w:t>
            </w:r>
          </w:p>
        </w:tc>
        <w:tc>
          <w:tcPr>
            <w:tcW w:w="3855" w:type="dxa"/>
            <w:tcBorders>
              <w:top w:val="single" w:color="D9D9D9" w:sz="4" w:space="0"/>
              <w:left w:val="single" w:color="D9D9D9" w:sz="4" w:space="0"/>
              <w:bottom w:val="single" w:color="D9D9D9" w:sz="4" w:space="0"/>
              <w:right w:val="single" w:color="D9D9D9" w:sz="4" w:space="0"/>
              <w:insideH w:val="single" w:sz="4" w:space="0"/>
              <w:insideV w:val="single" w:sz="4" w:space="0"/>
            </w:tcBorders>
            <w:shd w:val="clear" w:color="auto" w:fill="F2F6FA"/>
            <w:tcMar>
              <w:top w:w="75" w:type="dxa"/>
              <w:left w:w="100" w:type="dxa"/>
              <w:bottom w:w="75" w:type="dxa"/>
              <w:right w:w="100" w:type="dxa"/>
            </w:tcMar>
            <w:vAlign w:val="center"/>
          </w:tcPr>
          <w:p w14:paraId="595BBF46">
            <w:pPr>
              <w:spacing w:after="0" w:line="259" w:lineRule="auto"/>
            </w:pPr>
            <w:r>
              <w:rPr>
                <w:sz w:val="16"/>
              </w:rPr>
              <w:t>合成测试数据和运行状态；属于测试产物，不是产品业务库</w:t>
            </w:r>
          </w:p>
        </w:tc>
      </w:tr>
    </w:tbl>
    <w:p w14:paraId="3E9C86DF">
      <w:pPr>
        <w:spacing w:after="20"/>
      </w:pPr>
    </w:p>
    <w:p w14:paraId="6DDDEAB9">
      <w:pPr>
        <w:pStyle w:val="3"/>
      </w:pPr>
      <w:r>
        <w:rPr>
          <w:rFonts w:ascii="微软雅黑" w:hAnsi="微软雅黑" w:eastAsia="微软雅黑"/>
        </w:rPr>
        <w:t>五 不应计入成员1功能改动的差异</w:t>
      </w:r>
    </w:p>
    <w:p w14:paraId="0D4EE29B">
      <w:pPr>
        <w:pStyle w:val="16"/>
      </w:pPr>
      <w:r>
        <w:rPr>
          <w:rFonts w:ascii="微软雅黑" w:hAnsi="微软雅黑" w:eastAsia="微软雅黑"/>
        </w:rPr>
        <w:t>58个路径仅修复了压缩包中文文件名乱码，文件内容SHA 256完全一致。</w:t>
      </w:r>
    </w:p>
    <w:p w14:paraId="2E231685">
      <w:pPr>
        <w:pStyle w:val="16"/>
      </w:pPr>
      <w:r>
        <w:rPr>
          <w:rFonts w:ascii="微软雅黑" w:hAnsi="微软雅黑" w:eastAsia="微软雅黑"/>
        </w:rPr>
        <w:t>基线独有的94个未配对文件均为运行产物：backend/.test-tmp 23个、backend/data 69个、服务器日志2个。修复目录未保留这些文件属于清理，不是删除业务代码。</w:t>
      </w:r>
    </w:p>
    <w:p w14:paraId="6994AE68">
      <w:pPr>
        <w:pStyle w:val="16"/>
      </w:pPr>
      <w:r>
        <w:rPr>
          <w:rFonts w:ascii="微软雅黑" w:hAnsi="微软雅黑" w:eastAsia="微软雅黑"/>
        </w:rPr>
        <w:t>其他成员开发文档和图件虽然在路径列表中显示变化，但内容哈希相同，不能写成成员1新增或修改。</w:t>
      </w:r>
    </w:p>
    <w:p w14:paraId="502A25C0">
      <w:pPr>
        <w:pStyle w:val="16"/>
      </w:pPr>
      <w:r>
        <w:rPr>
          <w:rFonts w:ascii="微软雅黑" w:hAnsi="微软雅黑" w:eastAsia="微软雅黑"/>
        </w:rPr>
        <w:t>除 content/catalog.ts 和 content/routes.ts 外，没有发现其他同路径业务源码发生内容修改。</w:t>
      </w:r>
    </w:p>
    <w:p w14:paraId="7CA39360">
      <w:pPr>
        <w:pStyle w:val="3"/>
      </w:pPr>
      <w:r>
        <w:rPr>
          <w:rFonts w:ascii="微软雅黑" w:hAnsi="微软雅黑" w:eastAsia="微软雅黑"/>
        </w:rPr>
        <w:t>六 可用于提交的成员1更新说明</w:t>
      </w:r>
    </w:p>
    <w:p w14:paraId="3DCFA584">
      <w:r>
        <w:rPr>
          <w:rFonts w:ascii="微软雅黑" w:hAnsi="微软雅黑" w:eastAsia="微软雅黑"/>
        </w:rPr>
        <w:t>成员1完善了“眠境探索与内容中心”的内容可播放判定和试听参数校验。后端现在会拒绝 adult、child 之外的年龄模式，避免非法值被静默按默认模式处理；同时将音频路径纳入可播放条件，未绑定音频的故事或内容不会再返回“可播放但URL为空”的矛盾结果。在此基础上，成员1新增28条基础专项测试和8条追加测试定义，覆盖白盒、黑盒、单元、接口、数据库集成、增量与非增量集成、负载、压力、规模扩展、客户端兼容和短时稳定性。当前目录中的结构化证据显示基础28条全部通过，追加测试已有7条通过记录；两分钟稳定性用例已在脚本中定义，但当前结果文件缺少最终记录，应完整复跑后再更新结论。</w:t>
      </w:r>
    </w:p>
    <w:p w14:paraId="6B02D5E9">
      <w:pPr>
        <w:pStyle w:val="3"/>
      </w:pPr>
      <w:r>
        <w:rPr>
          <w:rFonts w:ascii="微软雅黑" w:hAnsi="微软雅黑" w:eastAsia="微软雅黑"/>
        </w:rPr>
        <w:t>七 结论</w:t>
      </w:r>
    </w:p>
    <w:p w14:paraId="786F8C70">
      <w:r>
        <w:rPr>
          <w:rFonts w:ascii="微软雅黑" w:hAnsi="微软雅黑" w:eastAsia="微软雅黑"/>
        </w:rPr>
        <w:t>成员1的可确认成果包括两处业务缺陷修复、两份专项测试脚本和对应的结构化测试证据。这两处业务修改直接解决了无效年龄参数和空音频路径的播放状态问题。文件名编码恢复、测试临时目录清理和其他成员资料不应计入成员1功能工作量。</w:t>
      </w:r>
    </w:p>
    <w:sectPr>
      <w:pgSz w:w="12240" w:h="15840"/>
      <w:pgMar w:top="1247" w:right="1276" w:bottom="1134" w:left="127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2148C"/>
    <w:rsid w:val="7561469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00"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280" w:after="140"/>
      <w:outlineLvl w:val="0"/>
    </w:pPr>
    <w:rPr>
      <w:rFonts w:asciiTheme="majorHAnsi" w:hAnsiTheme="majorHAnsi" w:eastAsiaTheme="majorEastAsia" w:cstheme="majorBidi"/>
      <w:b/>
      <w:bCs/>
      <w:color w:val="000000"/>
      <w:sz w:val="30"/>
      <w:szCs w:val="28"/>
    </w:rPr>
  </w:style>
  <w:style w:type="paragraph" w:styleId="4">
    <w:name w:val="heading 2"/>
    <w:basedOn w:val="1"/>
    <w:next w:val="1"/>
    <w:link w:val="139"/>
    <w:unhideWhenUsed/>
    <w:qFormat/>
    <w:uiPriority w:val="9"/>
    <w:pPr>
      <w:keepNext/>
      <w:keepLines/>
      <w:spacing w:before="200" w:after="10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000000"/>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1657</Words>
  <Characters>2401</Characters>
  <Lines>0</Lines>
  <Paragraphs>0</Paragraphs>
  <TotalTime>0</TotalTime>
  <ScaleCrop>false</ScaleCrop>
  <LinksUpToDate>false</LinksUpToDate>
  <CharactersWithSpaces>2458</CharactersWithSpaces>
  <Application>WPS Office_12.1.0.26885_F1E327BC-269C-435d-A152-05C5408002CA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眠屿项目组</dc:creator>
  <dc:description>generated by python-docx</dc:description>
  <cp:lastModifiedBy>陈霞</cp:lastModifiedBy>
  <dcterms:modified xsi:type="dcterms:W3CDTF">2026-10-19T03:19:38Z</dcterms:modified>
  <dc:subject>眠境探索与内容中心项目差异与成员1更新</dc:subject>
  <dc:title>成员1项目更新说明</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eyJoZGlkIjoiYzhhM2E5MTliYzJiNzJhYTA1ZDAzNDVmMWE5YjY2OGQiLCJ1c2VySWQiOiIxNzcyODA3NDU0In0=</vt:lpwstr>
  </property>
  <property fmtid="{D5CDD505-2E9C-101B-9397-08002B2CF9AE}" pid="3" name="KSOProductBuildVer">
    <vt:lpwstr>2052-12.1.0.26885</vt:lpwstr>
  </property>
  <property fmtid="{D5CDD505-2E9C-101B-9397-08002B2CF9AE}" pid="4" name="ICV">
    <vt:lpwstr>7F42D9D2AA124410A23D0238BAA45553_12</vt:lpwstr>
  </property>
</Properties>
</file>