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8BD060">
      <w:pPr>
        <w:jc w:val="center"/>
      </w:pPr>
      <w:r>
        <w:rPr>
          <w:rFonts w:hint="eastAsia"/>
          <w:b/>
          <w:sz w:val="40"/>
          <w:lang w:val="en-US" w:eastAsia="zh-CN"/>
        </w:rPr>
        <w:t>成员一</w:t>
      </w:r>
      <w:r>
        <w:rPr>
          <w:rFonts w:ascii="微软雅黑" w:hAnsi="微软雅黑" w:eastAsia="微软雅黑"/>
          <w:b/>
          <w:sz w:val="40"/>
        </w:rPr>
        <w:t>：眠境探索与内容中心设计说明</w:t>
      </w:r>
    </w:p>
    <w:p w14:paraId="2AE55AED">
      <w:pPr>
        <w:jc w:val="center"/>
      </w:pPr>
      <w:r>
        <w:rPr>
          <w:rFonts w:ascii="微软雅黑" w:hAnsi="微软雅黑" w:eastAsia="微软雅黑"/>
          <w:sz w:val="20"/>
        </w:rPr>
        <w:t>依据已确定的用例图、类图与3张时序图整理</w:t>
      </w:r>
    </w:p>
    <w:p w14:paraId="703887F1">
      <w:pPr>
        <w:pStyle w:val="3"/>
      </w:pPr>
      <w:r>
        <w:rPr>
          <w:rFonts w:ascii="微软雅黑" w:hAnsi="微软雅黑" w:eastAsia="微软雅黑"/>
        </w:rPr>
        <w:t>1. 模块定位</w:t>
      </w:r>
    </w:p>
    <w:p w14:paraId="7A35689F">
      <w:r>
        <w:rPr>
          <w:rFonts w:ascii="微软雅黑" w:hAnsi="微软雅黑" w:eastAsia="微软雅黑"/>
        </w:rPr>
        <w:t>本模块负责用户进入“眠境”后的内容发现、选择、收藏、管理与分享。核心入口为岛屿首页，主要处理声音素材、预设场景、睡前故事、呼吸训练等已有内容，最终输出用户选中的声音、故事、训练或场景入口。</w:t>
      </w:r>
    </w:p>
    <w:p w14:paraId="7050D1CF">
      <w:r>
        <w:rPr>
          <w:rFonts w:ascii="微软雅黑" w:hAnsi="微软雅黑" w:eastAsia="微软雅黑"/>
        </w:rPr>
        <w:t>模块边界：不负责场景内部编辑，不分析用户睡前状态，不执行正式助眠播放，也不计算睡眠质量。</w:t>
      </w:r>
      <w:bookmarkStart w:id="0" w:name="_GoBack"/>
      <w:bookmarkEnd w:id="0"/>
    </w:p>
    <w:p w14:paraId="2ACCFB60">
      <w:pPr>
        <w:pStyle w:val="3"/>
      </w:pPr>
      <w:r>
        <w:rPr>
          <w:rFonts w:ascii="微软雅黑" w:hAnsi="微软雅黑" w:eastAsia="微软雅黑"/>
        </w:rPr>
        <w:t>2. 用例设计</w:t>
      </w:r>
    </w:p>
    <w:p w14:paraId="4B006A68">
      <w:pPr>
        <w:jc w:val="center"/>
      </w:pPr>
      <w:r>
        <w:rPr>
          <w:rFonts w:ascii="微软雅黑" w:hAnsi="微软雅黑" w:eastAsia="微软雅黑"/>
        </w:rPr>
        <w:drawing>
          <wp:inline distT="0" distB="0" distL="114300" distR="114300">
            <wp:extent cx="6126480" cy="51181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11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D82D0">
      <w:pPr>
        <w:jc w:val="center"/>
      </w:pPr>
      <w:r>
        <w:rPr>
          <w:rFonts w:ascii="微软雅黑" w:hAnsi="微软雅黑" w:eastAsia="微软雅黑"/>
          <w:b/>
          <w:sz w:val="19"/>
        </w:rPr>
        <w:t>图1  眠境探索与内容中心用例图</w:t>
      </w:r>
    </w:p>
    <w:p w14:paraId="0CCC5FCF">
      <w:r>
        <w:rPr>
          <w:rFonts w:ascii="微软雅黑" w:hAnsi="微软雅黑" w:eastAsia="微软雅黑"/>
        </w:rPr>
        <w:t>用例按四部分组织：岛屿首页、内容浏览、收藏与场景管理、场景分享。用户可从首页进入室内/室外空间；浏览声音、预设场景、故事和呼吸训练；管理收藏、最近使用和已保存场景；并通过分享码完成场景分享与导入。</w:t>
      </w:r>
    </w:p>
    <w:p w14:paraId="3313F767">
      <w:pPr>
        <w:pStyle w:val="3"/>
      </w:pPr>
      <w:r>
        <w:rPr>
          <w:rFonts w:ascii="微软雅黑" w:hAnsi="微软雅黑" w:eastAsia="微软雅黑"/>
        </w:rPr>
        <w:t>3. 类图设计</w:t>
      </w:r>
    </w:p>
    <w:p w14:paraId="732A7869">
      <w:pPr>
        <w:jc w:val="center"/>
      </w:pPr>
      <w:r>
        <w:rPr>
          <w:rFonts w:ascii="微软雅黑" w:hAnsi="微软雅黑" w:eastAsia="微软雅黑"/>
        </w:rPr>
        <w:drawing>
          <wp:inline distT="0" distB="0" distL="114300" distR="114300">
            <wp:extent cx="4495165" cy="6456680"/>
            <wp:effectExtent l="0" t="0" r="63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5165" cy="645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50E2B">
      <w:pPr>
        <w:jc w:val="center"/>
      </w:pPr>
      <w:r>
        <w:rPr>
          <w:rFonts w:ascii="微软雅黑" w:hAnsi="微软雅黑" w:eastAsia="微软雅黑"/>
          <w:b/>
          <w:sz w:val="19"/>
        </w:rPr>
        <w:t>图2  眠境探索与内容中心类图</w:t>
      </w:r>
    </w:p>
    <w:p w14:paraId="6F38F00E">
      <w:r>
        <w:rPr>
          <w:rFonts w:ascii="微软雅黑" w:hAnsi="微软雅黑" w:eastAsia="微软雅黑"/>
        </w:rPr>
        <w:t>类图采用“界面—控制—服务/数据—实体”的组织方式。岛屿首页界面接收用户操作，内容中心控制器统一协调内容查询、收藏管理、分享导入和本地场景管理。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5173A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EDEDED"/>
          </w:tcPr>
          <w:p w14:paraId="20A0E8D8">
            <w:pPr>
              <w:spacing w:after="0" w:line="240" w:lineRule="auto"/>
            </w:pPr>
            <w:r>
              <w:rPr>
                <w:b/>
              </w:rPr>
              <w:t>类</w:t>
            </w:r>
          </w:p>
        </w:tc>
        <w:tc>
          <w:tcPr>
            <w:tcW w:w="5040" w:type="dxa"/>
            <w:shd w:val="clear" w:color="auto" w:fill="EDEDED"/>
          </w:tcPr>
          <w:p w14:paraId="5D54466A">
            <w:pPr>
              <w:spacing w:after="0" w:line="240" w:lineRule="auto"/>
            </w:pPr>
            <w:r>
              <w:rPr>
                <w:b/>
              </w:rPr>
              <w:t>职责</w:t>
            </w:r>
          </w:p>
        </w:tc>
      </w:tr>
      <w:tr w14:paraId="273FC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207AB0A">
            <w:pPr>
              <w:spacing w:after="0" w:line="240" w:lineRule="auto"/>
            </w:pPr>
            <w:r>
              <w:t>岛屿首页界面</w:t>
            </w:r>
          </w:p>
        </w:tc>
        <w:tc>
          <w:tcPr>
            <w:tcW w:w="5040" w:type="dxa"/>
            <w:vAlign w:val="center"/>
          </w:tcPr>
          <w:p w14:paraId="7CF1AEE6">
            <w:pPr>
              <w:spacing w:after="0" w:line="240" w:lineRule="auto"/>
            </w:pPr>
            <w:r>
              <w:t>显示首页并提供室内、室外和内容中心入口。</w:t>
            </w:r>
          </w:p>
        </w:tc>
      </w:tr>
      <w:tr w14:paraId="226A5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CAC9E6A">
            <w:pPr>
              <w:spacing w:after="0" w:line="240" w:lineRule="auto"/>
            </w:pPr>
            <w:r>
              <w:t>内容中心控制器</w:t>
            </w:r>
          </w:p>
        </w:tc>
        <w:tc>
          <w:tcPr>
            <w:tcW w:w="5040" w:type="dxa"/>
            <w:vAlign w:val="center"/>
          </w:tcPr>
          <w:p w14:paraId="1607F5BA">
            <w:pPr>
              <w:spacing w:after="0" w:line="240" w:lineRule="auto"/>
            </w:pPr>
            <w:r>
              <w:t>模块核心控制类，协调浏览、试听、收藏、场景管理、分享与导入。</w:t>
            </w:r>
          </w:p>
        </w:tc>
      </w:tr>
      <w:tr w14:paraId="054D8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25DE3C8">
            <w:pPr>
              <w:spacing w:after="0" w:line="240" w:lineRule="auto"/>
            </w:pPr>
            <w:r>
              <w:t>内容服务</w:t>
            </w:r>
          </w:p>
        </w:tc>
        <w:tc>
          <w:tcPr>
            <w:tcW w:w="5040" w:type="dxa"/>
            <w:vAlign w:val="center"/>
          </w:tcPr>
          <w:p w14:paraId="65B7159F">
            <w:pPr>
              <w:spacing w:after="0" w:line="240" w:lineRule="auto"/>
            </w:pPr>
            <w:r>
              <w:t>统一获取声音素材、预设场景、故事模板、呼吸训练模板及内容详情。</w:t>
            </w:r>
          </w:p>
        </w:tc>
      </w:tr>
      <w:tr w14:paraId="77EE4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0B66BCF3">
            <w:pPr>
              <w:spacing w:after="0" w:line="240" w:lineRule="auto"/>
            </w:pPr>
            <w:r>
              <w:t>内容数据访问类</w:t>
            </w:r>
          </w:p>
        </w:tc>
        <w:tc>
          <w:tcPr>
            <w:tcW w:w="5040" w:type="dxa"/>
            <w:vAlign w:val="center"/>
          </w:tcPr>
          <w:p w14:paraId="1CC5EEB4">
            <w:pPr>
              <w:spacing w:after="0" w:line="240" w:lineRule="auto"/>
            </w:pPr>
            <w:r>
              <w:t>负责查询四类内容及场景详情。</w:t>
            </w:r>
          </w:p>
        </w:tc>
      </w:tr>
      <w:tr w14:paraId="6DEA6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52DD7CB5">
            <w:pPr>
              <w:spacing w:after="0" w:line="240" w:lineRule="auto"/>
            </w:pPr>
            <w:r>
              <w:t>声音素材</w:t>
            </w:r>
          </w:p>
        </w:tc>
        <w:tc>
          <w:tcPr>
            <w:tcW w:w="5040" w:type="dxa"/>
            <w:vAlign w:val="center"/>
          </w:tcPr>
          <w:p w14:paraId="4C0D2FD4">
            <w:pPr>
              <w:spacing w:after="0" w:line="240" w:lineRule="auto"/>
            </w:pPr>
            <w:r>
              <w:t>保存声音编号、名称、分类、资源地址和时长，支持试听。</w:t>
            </w:r>
          </w:p>
        </w:tc>
      </w:tr>
      <w:tr w14:paraId="3E7DB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B598546">
            <w:pPr>
              <w:spacing w:after="0" w:line="240" w:lineRule="auto"/>
            </w:pPr>
            <w:r>
              <w:t>故事模板</w:t>
            </w:r>
          </w:p>
        </w:tc>
        <w:tc>
          <w:tcPr>
            <w:tcW w:w="5040" w:type="dxa"/>
            <w:vAlign w:val="center"/>
          </w:tcPr>
          <w:p w14:paraId="16A42B0A">
            <w:pPr>
              <w:spacing w:after="0" w:line="240" w:lineRule="auto"/>
            </w:pPr>
            <w:r>
              <w:t>保存故事编号、名称、主题、时长和内容简介。</w:t>
            </w:r>
          </w:p>
        </w:tc>
      </w:tr>
      <w:tr w14:paraId="6F38B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05C471F3">
            <w:pPr>
              <w:spacing w:after="0" w:line="240" w:lineRule="auto"/>
            </w:pPr>
            <w:r>
              <w:t>呼吸训练模板</w:t>
            </w:r>
          </w:p>
        </w:tc>
        <w:tc>
          <w:tcPr>
            <w:tcW w:w="5040" w:type="dxa"/>
            <w:vAlign w:val="center"/>
          </w:tcPr>
          <w:p w14:paraId="6A1E36F4">
            <w:pPr>
              <w:spacing w:after="0" w:line="240" w:lineRule="auto"/>
            </w:pPr>
            <w:r>
              <w:t>保存训练编号、名称、类型、时长和训练说明。</w:t>
            </w:r>
          </w:p>
        </w:tc>
      </w:tr>
      <w:tr w14:paraId="20F69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1E66EB9">
            <w:pPr>
              <w:spacing w:after="0" w:line="240" w:lineRule="auto"/>
            </w:pPr>
            <w:r>
              <w:t>预设场景</w:t>
            </w:r>
          </w:p>
        </w:tc>
        <w:tc>
          <w:tcPr>
            <w:tcW w:w="5040" w:type="dxa"/>
            <w:vAlign w:val="center"/>
          </w:tcPr>
          <w:p w14:paraId="3C910516">
            <w:pPr>
              <w:spacing w:after="0" w:line="240" w:lineRule="auto"/>
            </w:pPr>
            <w:r>
              <w:t>保存场景编号、名称、简介、适用情况和配置数据，支持复制。</w:t>
            </w:r>
          </w:p>
        </w:tc>
      </w:tr>
      <w:tr w14:paraId="6D1FC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F28E83F">
            <w:pPr>
              <w:spacing w:after="0" w:line="240" w:lineRule="auto"/>
            </w:pPr>
            <w:r>
              <w:t>场景收藏</w:t>
            </w:r>
          </w:p>
        </w:tc>
        <w:tc>
          <w:tcPr>
            <w:tcW w:w="5040" w:type="dxa"/>
            <w:vAlign w:val="center"/>
          </w:tcPr>
          <w:p w14:paraId="38249759">
            <w:pPr>
              <w:spacing w:after="0" w:line="240" w:lineRule="auto"/>
            </w:pPr>
            <w:r>
              <w:t>记录收藏编号、场景编号、收藏时间，支持添加和取消收藏。</w:t>
            </w:r>
          </w:p>
        </w:tc>
      </w:tr>
      <w:tr w14:paraId="35134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E57B7FD">
            <w:pPr>
              <w:spacing w:after="0" w:line="240" w:lineRule="auto"/>
            </w:pPr>
            <w:r>
              <w:t>场景分享</w:t>
            </w:r>
          </w:p>
        </w:tc>
        <w:tc>
          <w:tcPr>
            <w:tcW w:w="5040" w:type="dxa"/>
            <w:vAlign w:val="center"/>
          </w:tcPr>
          <w:p w14:paraId="21216F87">
            <w:pPr>
              <w:spacing w:after="0" w:line="240" w:lineRule="auto"/>
            </w:pPr>
            <w:r>
              <w:t>记录分享编号、场景编号、分享码和生成时间，负责生成、解析分享码。</w:t>
            </w:r>
          </w:p>
        </w:tc>
      </w:tr>
      <w:tr w14:paraId="7921B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430F132">
            <w:pPr>
              <w:spacing w:after="0" w:line="240" w:lineRule="auto"/>
            </w:pPr>
            <w:r>
              <w:t>本地存储服务</w:t>
            </w:r>
          </w:p>
        </w:tc>
        <w:tc>
          <w:tcPr>
            <w:tcW w:w="5040" w:type="dxa"/>
            <w:vAlign w:val="center"/>
          </w:tcPr>
          <w:p w14:paraId="05FA4CE9">
            <w:pPr>
              <w:spacing w:after="0" w:line="240" w:lineRule="auto"/>
            </w:pPr>
            <w:r>
              <w:t>负责保存、读取、删除、复制场景，以及最近使用和配置导入导出。</w:t>
            </w:r>
          </w:p>
        </w:tc>
      </w:tr>
    </w:tbl>
    <w:p w14:paraId="7AF63CA8">
      <w:pPr>
        <w:pStyle w:val="4"/>
      </w:pPr>
      <w:r>
        <w:rPr>
          <w:rFonts w:ascii="微软雅黑" w:hAnsi="微软雅黑" w:eastAsia="微软雅黑"/>
        </w:rPr>
        <w:t>3.1 核心类关系</w:t>
      </w:r>
    </w:p>
    <w:p w14:paraId="67264815">
      <w:r>
        <w:rPr>
          <w:rFonts w:ascii="微软雅黑" w:hAnsi="微软雅黑" w:eastAsia="微软雅黑"/>
        </w:rPr>
        <w:t>岛屿首页界面 → 内容中心控制器：传递用户操作；内容中心控制器 → 内容服务 → 内容数据访问类：完成内容查询；内容数据访问类关联声音素材、故事模板、呼吸训练模板和预设场景；内容中心控制器分别调用场景收藏、场景分享和本地存储服务完成收藏、分享及本地场景管理；场景收藏、场景分享和本地存储服务最终都围绕预设场景数据工作。</w:t>
      </w:r>
    </w:p>
    <w:p w14:paraId="73D3CFB1">
      <w:pPr>
        <w:pStyle w:val="3"/>
      </w:pPr>
      <w:r>
        <w:rPr>
          <w:rFonts w:ascii="微软雅黑" w:hAnsi="微软雅黑" w:eastAsia="微软雅黑"/>
        </w:rPr>
        <w:t>4. 核心业务流程</w:t>
      </w:r>
    </w:p>
    <w:p w14:paraId="01759AD6">
      <w:pPr>
        <w:pStyle w:val="4"/>
      </w:pPr>
      <w:r>
        <w:rPr>
          <w:rFonts w:ascii="微软雅黑" w:hAnsi="微软雅黑" w:eastAsia="微软雅黑"/>
        </w:rPr>
        <w:t>4.1 浏览并选择预设场景</w:t>
      </w:r>
    </w:p>
    <w:p w14:paraId="05272525">
      <w:pPr>
        <w:jc w:val="center"/>
      </w:pPr>
      <w:r>
        <w:rPr>
          <w:rFonts w:ascii="微软雅黑" w:hAnsi="微软雅黑" w:eastAsia="微软雅黑"/>
        </w:rPr>
        <w:drawing>
          <wp:inline distT="0" distB="0" distL="114300" distR="114300">
            <wp:extent cx="5120640" cy="5960745"/>
            <wp:effectExtent l="0" t="0" r="1016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96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E3C50">
      <w:pPr>
        <w:jc w:val="center"/>
      </w:pPr>
      <w:r>
        <w:rPr>
          <w:rFonts w:ascii="微软雅黑" w:hAnsi="微软雅黑" w:eastAsia="微软雅黑"/>
          <w:b/>
          <w:sz w:val="19"/>
        </w:rPr>
        <w:t>图3  浏览并选择预设场景时序图</w:t>
      </w:r>
    </w:p>
    <w:p w14:paraId="05F2BF69">
      <w:r>
        <w:rPr>
          <w:rFonts w:ascii="微软雅黑" w:hAnsi="微软雅黑" w:eastAsia="微软雅黑"/>
        </w:rPr>
        <w:t>流程：用户进入岛屿首页并选择“预设场景” → 界面向内容中心控制器请求场景列表 → 控制器调用内容服务 → 内容服务通过内容数据访问类查询预设场景 → 返回列表。用户选择某一场景后，再按相同调用链查询场景详情；确认使用后，控制器返回选中的场景入口。</w:t>
      </w:r>
    </w:p>
    <w:p w14:paraId="51B11C2C">
      <w:pPr>
        <w:pStyle w:val="4"/>
      </w:pPr>
      <w:r>
        <w:rPr>
          <w:rFonts w:ascii="微软雅黑" w:hAnsi="微软雅黑" w:eastAsia="微软雅黑"/>
        </w:rPr>
        <w:t>4.2 收藏和管理已保存场景</w:t>
      </w:r>
    </w:p>
    <w:p w14:paraId="528DA860">
      <w:pPr>
        <w:jc w:val="center"/>
      </w:pPr>
      <w:r>
        <w:rPr>
          <w:rFonts w:ascii="微软雅黑" w:hAnsi="微软雅黑" w:eastAsia="微软雅黑"/>
        </w:rPr>
        <w:drawing>
          <wp:inline distT="0" distB="0" distL="114300" distR="114300">
            <wp:extent cx="5029200" cy="79298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93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2A05">
      <w:pPr>
        <w:jc w:val="center"/>
      </w:pPr>
      <w:r>
        <w:rPr>
          <w:rFonts w:ascii="微软雅黑" w:hAnsi="微软雅黑" w:eastAsia="微软雅黑"/>
          <w:b/>
          <w:sz w:val="19"/>
        </w:rPr>
        <w:t>图4  收藏和管理已保存场景时序图</w:t>
      </w:r>
    </w:p>
    <w:p w14:paraId="0FA33FE0">
      <w:r>
        <w:rPr>
          <w:rFonts w:ascii="微软雅黑" w:hAnsi="微软雅黑" w:eastAsia="微软雅黑"/>
        </w:rPr>
        <w:t>流程：用户在场景详情中点击收藏 → 内容中心控制器调用场景收藏添加收藏记录 → 界面更新为“已收藏”。进入“已保存场景”后，控制器通过本地存储服务读取场景列表；用户可进一步复制或删除场景，操作完成后刷新列表。</w:t>
      </w:r>
    </w:p>
    <w:p w14:paraId="711319BC">
      <w:pPr>
        <w:pStyle w:val="4"/>
      </w:pPr>
      <w:r>
        <w:rPr>
          <w:rFonts w:ascii="微软雅黑" w:hAnsi="微软雅黑" w:eastAsia="微软雅黑"/>
        </w:rPr>
        <w:t>4.3 通过分享码导入场景</w:t>
      </w:r>
    </w:p>
    <w:p w14:paraId="5D07041D">
      <w:pPr>
        <w:jc w:val="center"/>
      </w:pPr>
      <w:r>
        <w:rPr>
          <w:rFonts w:ascii="微软雅黑" w:hAnsi="微软雅黑" w:eastAsia="微软雅黑"/>
        </w:rPr>
        <w:drawing>
          <wp:inline distT="0" distB="0" distL="114300" distR="114300">
            <wp:extent cx="5029200" cy="52177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1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A0D8">
      <w:pPr>
        <w:jc w:val="center"/>
      </w:pPr>
      <w:r>
        <w:rPr>
          <w:rFonts w:ascii="微软雅黑" w:hAnsi="微软雅黑" w:eastAsia="微软雅黑"/>
          <w:b/>
          <w:sz w:val="19"/>
        </w:rPr>
        <w:t>图5  通过分享码导入场景时序图</w:t>
      </w:r>
    </w:p>
    <w:p w14:paraId="2FDAAD91">
      <w:r>
        <w:rPr>
          <w:rFonts w:ascii="微软雅黑" w:hAnsi="微软雅黑" w:eastAsia="微软雅黑"/>
        </w:rPr>
        <w:t>流程：用户进入导入页面并输入分享码 → 内容中心控制器调用场景分享解析分享码。若分享码有效，返回场景配置并由本地存储服务保存，随后显示导入后的场景详情；若分享码无效，则返回解析失败并提示用户。</w:t>
      </w:r>
    </w:p>
    <w:p w14:paraId="167B1273">
      <w:pPr>
        <w:pStyle w:val="3"/>
      </w:pPr>
      <w:r>
        <w:rPr>
          <w:rFonts w:ascii="微软雅黑" w:hAnsi="微软雅黑" w:eastAsia="微软雅黑"/>
        </w:rPr>
        <w:t>5. 模块数据流与输出</w:t>
      </w:r>
    </w:p>
    <w:p w14:paraId="148E524C">
      <w:r>
        <w:rPr>
          <w:rFonts w:ascii="微软雅黑" w:hAnsi="微软雅黑" w:eastAsia="微软雅黑"/>
        </w:rPr>
        <w:t>主要数据流为：用户操作 → 岛屿首页界面 → 内容中心控制器 → 内容服务/场景收藏/场景分享/本地存储服务 → 内容数据访问类或预设场景等实体。</w:t>
      </w:r>
    </w:p>
    <w:p w14:paraId="396A5EC9">
      <w:r>
        <w:rPr>
          <w:rFonts w:ascii="微软雅黑" w:hAnsi="微软雅黑" w:eastAsia="微软雅黑"/>
        </w:rPr>
        <w:t>模块最终输出：用户选中的声音、故事、训练或场景入口。该输出作为后续助眠方案、场景创作或睡眠流程的入口，本模块到此结束。</w:t>
      </w:r>
    </w:p>
    <w:p w14:paraId="4FF886A5">
      <w:pPr>
        <w:pStyle w:val="3"/>
      </w:pPr>
      <w:r>
        <w:rPr>
          <w:rFonts w:ascii="微软雅黑" w:hAnsi="微软雅黑" w:eastAsia="微软雅黑"/>
        </w:rPr>
        <w:t>6. 制作前的分析与解决方案</w:t>
      </w:r>
    </w:p>
    <w:p w14:paraId="72BC6A55">
      <w:r>
        <w:rPr>
          <w:rFonts w:ascii="微软雅黑" w:hAnsi="微软雅黑" w:eastAsia="微软雅黑"/>
        </w:rPr>
        <w:t>制作 UML 图之前，我先明确成员1只解决“用户如何找到、选择和管理已有内容”这一问题，因此没有把睡前状态分析、场景内部编辑、正式助眠播放和睡眠质量计算放入本模块。</w:t>
      </w:r>
    </w:p>
    <w:p w14:paraId="4F67271C">
      <w:r>
        <w:rPr>
          <w:rFonts w:ascii="微软雅黑" w:hAnsi="微软雅黑" w:eastAsia="微软雅黑"/>
        </w:rPr>
        <w:t>在功能组织上，我把较多的用例归纳为四组：岛屿首页负责入口；内容浏览负责声音、场景、故事和训练的查看；收藏与场景管理负责已保存内容；场景分享负责分享码生成与导入。这样可以避免功能重复。</w:t>
      </w:r>
    </w:p>
    <w:p w14:paraId="1191EF6F">
      <w:r>
        <w:rPr>
          <w:rFonts w:ascii="微软雅黑" w:hAnsi="微软雅黑" w:eastAsia="微软雅黑"/>
        </w:rPr>
        <w:t>在图形设计上，最初需要解决的主要问题是用例数量较多、用户连线容易交叉。因此最终采用“用户只连接主要用例 + include/extend 表示内部关系”的方案，使图更清晰。</w:t>
      </w:r>
    </w:p>
    <w:p w14:paraId="48B184E1">
      <w:r>
        <w:rPr>
          <w:rFonts w:ascii="微软雅黑" w:hAnsi="微软雅黑" w:eastAsia="微软雅黑"/>
        </w:rPr>
        <w:t>类图采用“界面—控制—服务/数据—实体”的思路：由内容中心控制器作为核心协调对象，内容服务负责查询，本地存储服务负责场景保存，场景收藏和场景分享分别处理对应业务，底层实体只保存自身数据。</w:t>
      </w:r>
    </w:p>
    <w:p w14:paraId="28874402">
      <w:r>
        <w:rPr>
          <w:rFonts w:ascii="微软雅黑" w:hAnsi="微软雅黑" w:eastAsia="微软雅黑"/>
        </w:rPr>
        <w:t>时序图不覆盖每一个小用例，而是选取“选择、管理、分享导入”三条代表性流程，既覆盖成员1的主要职责，也能直接验证类图中各类之间的调用关系。</w:t>
      </w:r>
    </w:p>
    <w:p w14:paraId="58FE4120">
      <w:pPr>
        <w:pStyle w:val="3"/>
      </w:pPr>
      <w:r>
        <w:rPr>
          <w:rFonts w:ascii="微软雅黑" w:hAnsi="微软雅黑" w:eastAsia="微软雅黑"/>
        </w:rPr>
        <w:t>7. UML图制作步骤</w:t>
      </w:r>
    </w:p>
    <w:p w14:paraId="2109AE1A">
      <w:r>
        <w:rPr>
          <w:rFonts w:ascii="微软雅黑" w:hAnsi="微软雅黑" w:eastAsia="微软雅黑"/>
        </w:rPr>
        <w:t>第一步，从成员1功能中提取参与者和核心用例。参与者统一为“用户”，用例按岛屿首页、内容浏览、收藏与场景管理、场景分享四组整理。</w:t>
      </w:r>
    </w:p>
    <w:p w14:paraId="100EBD6B">
      <w:r>
        <w:rPr>
          <w:rFonts w:ascii="微软雅黑" w:hAnsi="微软雅黑" w:eastAsia="微软雅黑"/>
        </w:rPr>
        <w:t>第二步，使用 PlantUML 绘制用例图。为避免用户与全部功能直接连线造成交叉，只连接主要用例，再用 &lt;&lt;include&gt;&gt; 和 &lt;&lt;extend&gt;&gt; 表示查看详情、试听、复制、删除等内部关系，并通过隐藏布局线调整四个功能区域的位置。</w:t>
      </w:r>
    </w:p>
    <w:p w14:paraId="24D34618">
      <w:r>
        <w:rPr>
          <w:rFonts w:ascii="微软雅黑" w:hAnsi="微软雅黑" w:eastAsia="微软雅黑"/>
        </w:rPr>
        <w:t>第三步，根据用例中实际需要承担职责的对象提取类，形成当前类图中的11个类。先确定“岛屿首页界面—内容中心控制器”主调用关系，再补充内容服务、内容数据访问类、场景收藏、场景分享、本地存储服务，以及声音素材、故事模板、呼吸训练模板、预设场景四类实体。</w:t>
      </w:r>
    </w:p>
    <w:p w14:paraId="75E96B8E">
      <w:r>
        <w:rPr>
          <w:rFonts w:ascii="微软雅黑" w:hAnsi="微软雅黑" w:eastAsia="微软雅黑"/>
        </w:rPr>
        <w:t>第四步，按照类图关系确定对象之间的调用顺序，选择最能代表成员1功能的三条流程绘制时序图：浏览并选择预设场景、收藏和管理已保存场景、通过分享码导入场景。</w:t>
      </w:r>
    </w:p>
    <w:p w14:paraId="493F018C">
      <w:r>
        <w:rPr>
          <w:rFonts w:ascii="微软雅黑" w:hAnsi="微软雅黑" w:eastAsia="微软雅黑"/>
        </w:rPr>
        <w:t>第五步，完成一致性检查：时序图中的对象必须来自类图；时序图中的操作应能在对应类的方法中找到；三张图涉及的功能必须能够在用例图中对应，确保用例图、类图和时序图描述的是同一套设计。</w:t>
      </w:r>
    </w:p>
    <w:p w14:paraId="0B1E37F6">
      <w:pPr>
        <w:pStyle w:val="3"/>
      </w:pPr>
      <w:r>
        <w:rPr>
          <w:rFonts w:ascii="微软雅黑" w:hAnsi="微软雅黑" w:eastAsia="微软雅黑"/>
        </w:rPr>
        <w:t>8. 设计总结</w:t>
      </w:r>
    </w:p>
    <w:p w14:paraId="097A020D">
      <w:r>
        <w:rPr>
          <w:rFonts w:ascii="微软雅黑" w:hAnsi="微软雅黑" w:eastAsia="微软雅黑"/>
        </w:rPr>
        <w:t>成员1的设计重点是“找到内容并管理内容”。类图中由内容中心控制器统一协调，内容服务和内容数据访问类负责内容查询，本地存储服务负责本地场景，场景收藏和场景分享分别处理收藏与分享。三张时序图覆盖了本模块最核心的“选择、管理、导入”三条业务路径，与用例图和类图保持一致。</w:t>
      </w:r>
    </w:p>
    <w:sectPr>
      <w:pgSz w:w="12240" w:h="15840"/>
      <w:pgMar w:top="1008" w:right="1080" w:bottom="1008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D54B76"/>
    <w:rsid w:val="4AB03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2398</Words>
  <Characters>2458</Characters>
  <Lines>0</Lines>
  <Paragraphs>0</Paragraphs>
  <TotalTime>4</TotalTime>
  <ScaleCrop>false</ScaleCrop>
  <LinksUpToDate>false</LinksUpToDate>
  <CharactersWithSpaces>2519</CharactersWithSpaces>
  <Application>WPS Office_12.1.0.26885_F1E327BC-269C-435d-A152-05C5408002CA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陈霞</cp:lastModifiedBy>
  <dcterms:modified xsi:type="dcterms:W3CDTF">2026-09-13T07:48:55Z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eyJoZGlkIjoiYzhhM2E5MTliYzJiNzJhYTA1ZDAzNDVmMWE5YjY2OGQiLCJ1c2VySWQiOiIxNzcyODA3NDU0In0=</vt:lpwstr>
  </property>
  <property fmtid="{D5CDD505-2E9C-101B-9397-08002B2CF9AE}" pid="3" name="KSOProductBuildVer">
    <vt:lpwstr>2052-12.1.0.26885</vt:lpwstr>
  </property>
  <property fmtid="{D5CDD505-2E9C-101B-9397-08002B2CF9AE}" pid="4" name="ICV">
    <vt:lpwstr>BD4E9D7D40D44771A1EF412ED34B9D7B_12</vt:lpwstr>
  </property>
</Properties>
</file>