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93.42</w:t>
            </w:r>
          </w:p>
        </w:tc>
        <w:tc>
          <w:tcPr>
            <w:tcW w:type="dxa" w:w="1728"/>
          </w:tcPr>
          <w:p>
            <w:r>
              <w:t>98.24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93.31</w:t>
            </w:r>
          </w:p>
        </w:tc>
        <w:tc>
          <w:tcPr>
            <w:tcW w:type="dxa" w:w="1728"/>
          </w:tcPr>
          <w:p>
            <w:r>
              <w:t>98.13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90.80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95.62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6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91.37</w:t>
            </w:r>
          </w:p>
        </w:tc>
        <w:tc>
          <w:tcPr>
            <w:tcW w:type="dxa" w:w="1728"/>
          </w:tcPr>
          <w:p>
            <w:r>
              <w:t>96.19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93.70</w:t>
            </w:r>
          </w:p>
        </w:tc>
        <w:tc>
          <w:tcPr>
            <w:tcW w:type="dxa" w:w="1728"/>
          </w:tcPr>
          <w:p>
            <w:r>
              <w:t>103.35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120.11</w:t>
            </w:r>
          </w:p>
        </w:tc>
        <w:tc>
          <w:tcPr>
            <w:tcW w:type="dxa" w:w="1728"/>
          </w:tcPr>
          <w:p>
            <w:r>
              <w:t>129.76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91.32</w:t>
            </w:r>
          </w:p>
        </w:tc>
        <w:tc>
          <w:tcPr>
            <w:tcW w:type="dxa" w:w="1728"/>
          </w:tcPr>
          <w:p>
            <w:r>
              <w:t>96.09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90.28</w:t>
            </w:r>
          </w:p>
        </w:tc>
        <w:tc>
          <w:tcPr>
            <w:tcW w:type="dxa" w:w="1728"/>
          </w:tcPr>
          <w:p>
            <w:r>
              <w:t>95.06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87.86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92.64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6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88.17</w:t>
            </w:r>
          </w:p>
        </w:tc>
        <w:tc>
          <w:tcPr>
            <w:tcW w:type="dxa" w:w="1728"/>
          </w:tcPr>
          <w:p>
            <w:r>
              <w:t>92.94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92.27</w:t>
            </w:r>
          </w:p>
        </w:tc>
        <w:tc>
          <w:tcPr>
            <w:tcW w:type="dxa" w:w="1728"/>
          </w:tcPr>
          <w:p>
            <w:r>
              <w:t>101.82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117.68</w:t>
            </w:r>
          </w:p>
        </w:tc>
        <w:tc>
          <w:tcPr>
            <w:tcW w:type="dxa" w:w="1728"/>
          </w:tcPr>
          <w:p>
            <w:r>
              <w:t>127.24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