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2"/>
        </w:rPr>
        <w:t>五行炒股指南？</w:t>
      </w:r>
    </w:p>
    <w:p>
      <w:pPr>
        <w:jc w:val="center"/>
      </w:pPr>
      <w:r>
        <w:rPr>
          <w:color w:val="505050"/>
          <w:sz w:val="32"/>
        </w:rPr>
        <w:t>——农业银行股价与天干地支五行关系的统计学检验</w:t>
      </w:r>
    </w:p>
    <w:p/>
    <w:p/>
    <w:p>
      <w:pPr>
        <w:jc w:val="center"/>
      </w:pPr>
      <w:r>
        <w:rPr>
          <w:sz w:val="24"/>
        </w:rPr>
        <w:t>Agentic Financial Research Laboratory</w:t>
      </w:r>
    </w:p>
    <w:p>
      <w:pPr>
        <w:jc w:val="center"/>
      </w:pPr>
      <w:r>
        <w:rPr>
          <w:color w:val="808080"/>
          <w:sz w:val="24"/>
        </w:rPr>
        <w:t>2026年5月</w:t>
      </w:r>
    </w:p>
    <w:p>
      <w:r>
        <w:br w:type="page"/>
      </w:r>
    </w:p>
    <w:p>
      <w:pPr>
        <w:pStyle w:val="Heading1"/>
      </w:pPr>
      <w:r>
        <w:t>摘  要</w:t>
      </w:r>
    </w:p>
    <w:p>
      <w:pPr>
        <w:spacing w:line="360" w:lineRule="auto"/>
        <w:ind w:firstLine="480"/>
      </w:pPr>
      <w:r>
        <w:t>天干地支五行理论在中国传统文化中影响深远，近年来甚至有投资者将其用于A股择时。本文以农业银行（601288.SH）2010年7月至2026年5月共计3,833个交易日的日线数据为样本，构建了日、周、月三层频率的递进统计检验框架，系统检验五行属性是否对银行股价格具有预测能力。研究采用Kruskal-Wallis秩和检验、Newey-West稳健标准误回归、训练集/测试集分割（70%/30%）以及缩尾处理等多种方法，从多角度验证假设。</w:t>
      </w:r>
    </w:p>
    <w:p>
      <w:pPr>
        <w:spacing w:line="360" w:lineRule="auto"/>
        <w:ind w:firstLine="480"/>
      </w:pPr>
      <w:r>
        <w:t>研究发现：全部9个假设检验在5%显著性水平下均不显著；训练集上最强的"规律"（土组收益最高、火组最低）在测试集中方向完全反转，确认为过拟合产物；回归分析表明五行变量在加入阳历月份控制后即丧失解释力，说明五行本质上是历法季节性的代理变量。结论：天干地支五行对农业银行股价不具备稳健的预测能力，所谓"五行择时"更可能是日历效应与多重比较偏误的叠加结果。</w:t>
      </w:r>
    </w:p>
    <w:p>
      <w:pPr>
        <w:spacing w:line="360" w:lineRule="auto"/>
      </w:pPr>
      <w:r>
        <w:rPr>
          <w:b/>
        </w:rPr>
        <w:t>关键词：天干地支；五行理论；日历效应；Kruskal-Wallis检验；Newey-West回归；样本外验证</w:t>
      </w:r>
    </w:p>
    <w:p>
      <w:r>
        <w:br w:type="page"/>
      </w:r>
    </w:p>
    <w:p>
      <w:pPr>
        <w:pStyle w:val="Heading1"/>
      </w:pPr>
      <w:r>
        <w:t>1  引言</w:t>
      </w:r>
    </w:p>
    <w:p>
      <w:pPr>
        <w:spacing w:line="360" w:lineRule="auto"/>
        <w:ind w:firstLine="480"/>
      </w:pPr>
      <w:r>
        <w:t>在中国金融市场的民间智慧中，天干地支择时始终占有一席之地。从"甲木生火，火克金"的传统辩证逻辑，到社交媒体上"金日买银行，水日买科技"的经验之谈，五行学说被赋予了超越其历法本源的金融预测功能。2021年某券商发布题为《天干地支在择时中的应用初探》的争议研报[7]，试图用量化模型验证"五行与A股走势的关系"，一度引发市场热议和监管关注。该研报的核心逻辑——将天干地支的五行属性与股票收益率建立直接映射——在学术层面上从未经过严格的统计检验。</w:t>
      </w:r>
    </w:p>
    <w:p>
      <w:pPr>
        <w:spacing w:line="360" w:lineRule="auto"/>
        <w:ind w:firstLine="480"/>
      </w:pPr>
      <w:r>
        <w:t>然而，传统智慧与统计显著性之间往往存在巨大鸿沟。天干地支本质上是中国传统历法系统的组成部分，与阳历月份存在周期性对应关系。如果五行"规律"在剥离日历效应后即告消失，那么它不过是季节性的华丽包装，不具备真正的预测价值。这一辨伪逻辑在金融研究中并非新事——从20世纪70年代Cross[1]对"周末效应"的开创性分析，到Fama[5]对有效市场假说的系统论述，再到Lo与MacKinlay[9]对"非随机游走"的深入剖析，市场异象的样本外失效始终是金融研究的核心议题。</w:t>
      </w:r>
    </w:p>
    <w:p>
      <w:pPr>
        <w:spacing w:line="360" w:lineRule="auto"/>
        <w:ind w:firstLine="480"/>
      </w:pPr>
      <w:r>
        <w:t>本研究旨在通过严格的统计方法回答一个简单而根本的问题：天干地支五行的信息能否转化为统计上显著的超额收益？选择农业银行（601288.SH）作为研究对象出于以下考虑：（1）银行股波动相对平稳，不易受个股噪声干扰；（2）上市时间长（2010年至今），样本量充足；（3）日均换手率低，更有利于检测结构性而非流动性的效应。</w:t>
      </w:r>
    </w:p>
    <w:p>
      <w:pPr>
        <w:pStyle w:val="Heading1"/>
      </w:pPr>
      <w:r>
        <w:t>2  数据与方法</w:t>
      </w:r>
    </w:p>
    <w:p>
      <w:pPr>
        <w:pStyle w:val="Heading2"/>
      </w:pPr>
      <w:r>
        <w:t>2.1  数据来源</w:t>
      </w:r>
    </w:p>
    <w:p>
      <w:pPr>
        <w:spacing w:line="360" w:lineRule="auto"/>
        <w:ind w:firstLine="480"/>
      </w:pPr>
      <w:r>
        <w:t>本研究使用MySQL数据库（china_finance_db）存储的农业银行（601288.SH）日线数据，包含3,833条真实交易记录，时间跨度为2010年7月15日至2026年5月13日（约16年）。行情数据涵盖开盘价、收盘价、最高价、最低价、成交量及成交额，复权采用后复权方式以保持收益率计算的一致性。</w:t>
      </w:r>
    </w:p>
    <w:p>
      <w:pPr>
        <w:spacing w:line="360" w:lineRule="auto"/>
        <w:ind w:firstLine="480"/>
      </w:pPr>
      <w:r>
        <w:t>每个交易日的干支标注通过lunar_python天文历法库精确计算，包括年柱、月柱、日柱的天干和地支。五行映射规则严格按照传统五行分类：天干方面，甲乙→木、丙丁→火、戊己→土、庚辛→金、壬癸→水；地支方面，寅卯→木、巳午→火、申酉→金、亥子→水、辰戌丑未→土。月柱的划分按节气进行：寅月（立春至惊蛰）、卯月（惊蛰至清明）、辰月（清明至立夏），以此类推。</w:t>
      </w:r>
    </w:p>
    <w:p>
      <w:pPr>
        <w:spacing w:line="360" w:lineRule="auto"/>
        <w:ind w:firstLine="480"/>
      </w:pPr>
      <w:r>
        <w:t>在日线数据基础上，进一步聚合生成周频数据（811条）和月频数据（191条）。周收益率按每周最后一个交易日的收盘价相对于前一周最后一个交易日计算；月收益率同理。三个时间尺度构成递进的分析框架，确保结论在不同频率上的一致性。</w:t>
      </w:r>
    </w:p>
    <w:p>
      <w:pPr>
        <w:pStyle w:val="Heading2"/>
      </w:pPr>
      <w:r>
        <w:t>2.2  分析方法</w:t>
      </w:r>
    </w:p>
    <w:p>
      <w:pPr>
        <w:spacing w:line="360" w:lineRule="auto"/>
        <w:ind w:firstLine="480"/>
      </w:pPr>
      <w:r>
        <w:t>研究采用五层递进的分析策略，力求从多个角度验证或否定五行与股价的关联：</w:t>
      </w:r>
    </w:p>
    <w:p>
      <w:pPr>
        <w:spacing w:line="360" w:lineRule="auto"/>
        <w:ind w:firstLine="480"/>
      </w:pPr>
      <w:r>
        <w:rPr>
          <w:b/>
        </w:rPr>
        <w:t>（1）日频基线检验：</w:t>
      </w:r>
      <w:r>
        <w:t>以全部3,833个交易日为样本，按天干五行和地支五行分别分组，使用Kruskal-Wallis秩和检验[3]比较5个组的收益率分布是否存在显著差异。该检验为非参数方法，不假设正态分布，适用于金融收益率数据。</w:t>
      </w:r>
    </w:p>
    <w:p>
      <w:pPr>
        <w:spacing w:line="360" w:lineRule="auto"/>
        <w:ind w:firstLine="480"/>
      </w:pPr>
      <w:r>
        <w:rPr>
          <w:b/>
        </w:rPr>
        <w:t>（2）周频滚动窗口分析：</w:t>
      </w:r>
      <w:r>
        <w:t>在811条周度数据上重复K-W检验，同时引入3年（约156周）滚动窗口，计算各五行对组合的收益率差异时序，观察差异方向是否稳定持久。</w:t>
      </w:r>
    </w:p>
    <w:p>
      <w:pPr>
        <w:spacing w:line="360" w:lineRule="auto"/>
        <w:ind w:firstLine="480"/>
      </w:pPr>
      <w:r>
        <w:rPr>
          <w:b/>
        </w:rPr>
        <w:t>（3）月频样本外验证：</w:t>
      </w:r>
      <w:r>
        <w:t>将191个月度数据按时序分割为70%训练集（2010年7月至2021年7月，133个月）和30%测试集（2021年8月至2026年5月，58个月）。在训练集上充分探索各种可能的五行规律，固定一个最强假设后，原封不动地在测试集上检验其预测能力。这是本研究的核心辨伪机制。</w:t>
      </w:r>
    </w:p>
    <w:p>
      <w:pPr>
        <w:spacing w:line="360" w:lineRule="auto"/>
        <w:ind w:firstLine="480"/>
      </w:pPr>
      <w:r>
        <w:rPr>
          <w:b/>
        </w:rPr>
        <w:t>（4）混杂效应剥离：</w:t>
      </w:r>
      <w:r>
        <w:t>建立OLS回归模型，以月收益率为因变量，天干五行虚拟变量为核心解释变量，逐次加入阳历月份和年份虚拟变量作为控制变量。标准误采用Newey-West[4]方法进行异方差和自相关一致性修正。若五行变量在加入月份控制后丧失显著性，则表明五行只是日历效应的代理变量。</w:t>
      </w:r>
    </w:p>
    <w:p>
      <w:pPr>
        <w:spacing w:line="360" w:lineRule="auto"/>
        <w:ind w:firstLine="480"/>
      </w:pPr>
      <w:r>
        <w:rPr>
          <w:b/>
        </w:rPr>
        <w:t>（5）稳健性检验：</w:t>
      </w:r>
      <w:r>
        <w:t>对日收益率做1%和99%分位数缩尾（winsorize）处理后，重新执行日频天干五行K-W检验，确认结论对极端值是否敏感。</w:t>
      </w:r>
    </w:p>
    <w:p>
      <w:pPr>
        <w:pStyle w:val="Heading1"/>
      </w:pPr>
      <w:r>
        <w:t>3  结果</w:t>
      </w:r>
    </w:p>
    <w:p>
      <w:pPr>
        <w:pStyle w:val="Heading2"/>
      </w:pPr>
      <w:r>
        <w:t>3.1  日频分析——五行分组收益率几乎完全重合</w:t>
      </w:r>
    </w:p>
    <w:p>
      <w:pPr>
        <w:spacing w:line="360" w:lineRule="auto"/>
        <w:ind w:firstLine="480"/>
      </w:pPr>
      <w:r>
        <w:t>表1汇总了日收益率按天干五行分组的基本统计量。5个五行组的日均收益率高度集中在+0.02%至+0.07%之间，标准差均在1.17%至1.32%的狭窄区间内，各组上涨天数占比约40%至44%，组间差异极小。Kruskal-Wallis检验统计量H=0.95（p=0.917），差异完全不显著。p=0.917是所有统计检验可获得的最高p值之一——在0到1的区间里，这是统计学能给出的"没有关系"的最强信号。</w:t>
      </w:r>
    </w:p>
    <w:p>
      <w:pPr>
        <w:spacing w:line="360" w:lineRule="auto"/>
        <w:jc w:val="center"/>
      </w:pPr>
      <w:r>
        <w:rPr>
          <w:b/>
          <w:sz w:val="20"/>
        </w:rPr>
        <w:t>表1  日收益率按天干五行分组统计</w:t>
      </w:r>
    </w:p>
    <w:tbl>
      <w:tblPr>
        <w:tblStyle w:val="LightGrid-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tcPr>
          <w:p>
            <w:pPr>
              <w:jc w:val="center"/>
            </w:pPr>
            <w:r/>
            <w:r>
              <w:rPr>
                <w:rFonts w:ascii="宋体" w:hAnsi="宋体" w:eastAsia="宋体"/>
                <w:b/>
                <w:sz w:val="18"/>
              </w:rPr>
              <w:t>五行</w:t>
            </w:r>
          </w:p>
        </w:tc>
        <w:tc>
          <w:tcPr>
            <w:tcW w:type="dxa" w:w="1441"/>
            <w:shd w:fill="D9E2F3"/>
          </w:tcPr>
          <w:p>
            <w:pPr>
              <w:jc w:val="center"/>
            </w:pPr>
            <w:r/>
            <w:r>
              <w:rPr>
                <w:rFonts w:ascii="宋体" w:hAnsi="宋体" w:eastAsia="宋体"/>
                <w:b/>
                <w:sz w:val="18"/>
              </w:rPr>
              <w:t>样本数</w:t>
            </w:r>
          </w:p>
        </w:tc>
        <w:tc>
          <w:tcPr>
            <w:tcW w:type="dxa" w:w="1441"/>
            <w:shd w:fill="D9E2F3"/>
          </w:tcPr>
          <w:p>
            <w:pPr>
              <w:jc w:val="center"/>
            </w:pPr>
            <w:r/>
            <w:r>
              <w:rPr>
                <w:rFonts w:ascii="宋体" w:hAnsi="宋体" w:eastAsia="宋体"/>
                <w:b/>
                <w:sz w:val="18"/>
              </w:rPr>
              <w:t>日均收益率(%)</w:t>
            </w:r>
          </w:p>
        </w:tc>
        <w:tc>
          <w:tcPr>
            <w:tcW w:type="dxa" w:w="1441"/>
            <w:shd w:fill="D9E2F3"/>
          </w:tcPr>
          <w:p>
            <w:pPr>
              <w:jc w:val="center"/>
            </w:pPr>
            <w:r/>
            <w:r>
              <w:rPr>
                <w:rFonts w:ascii="宋体" w:hAnsi="宋体" w:eastAsia="宋体"/>
                <w:b/>
                <w:sz w:val="18"/>
              </w:rPr>
              <w:t>标准差(%)</w:t>
            </w:r>
          </w:p>
        </w:tc>
        <w:tc>
          <w:tcPr>
            <w:tcW w:type="dxa" w:w="1441"/>
            <w:shd w:fill="D9E2F3"/>
          </w:tcPr>
          <w:p>
            <w:pPr>
              <w:jc w:val="center"/>
            </w:pPr>
            <w:r/>
            <w:r>
              <w:rPr>
                <w:rFonts w:ascii="宋体" w:hAnsi="宋体" w:eastAsia="宋体"/>
                <w:b/>
                <w:sz w:val="18"/>
              </w:rPr>
              <w:t>中位数(%)</w:t>
            </w:r>
          </w:p>
        </w:tc>
        <w:tc>
          <w:tcPr>
            <w:tcW w:type="dxa" w:w="1441"/>
            <w:shd w:fill="D9E2F3"/>
          </w:tcPr>
          <w:p>
            <w:pPr>
              <w:jc w:val="center"/>
            </w:pPr>
            <w:r/>
            <w:r>
              <w:rPr>
                <w:rFonts w:ascii="宋体" w:hAnsi="宋体" w:eastAsia="宋体"/>
                <w:b/>
                <w:sz w:val="18"/>
              </w:rPr>
              <w:t>上涨占比(%)</w:t>
            </w:r>
          </w:p>
        </w:tc>
      </w:tr>
      <w:tr>
        <w:tc>
          <w:tcPr>
            <w:tcW w:type="dxa" w:w="1441"/>
          </w:tcPr>
          <w:p>
            <w:pPr>
              <w:jc w:val="center"/>
            </w:pPr>
            <w:r/>
            <w:r>
              <w:rPr>
                <w:rFonts w:ascii="宋体" w:hAnsi="宋体" w:eastAsia="宋体"/>
                <w:b w:val="0"/>
                <w:sz w:val="18"/>
              </w:rPr>
              <w:t>金</w:t>
            </w:r>
          </w:p>
        </w:tc>
        <w:tc>
          <w:tcPr>
            <w:tcW w:type="dxa" w:w="1441"/>
          </w:tcPr>
          <w:p>
            <w:pPr>
              <w:jc w:val="center"/>
            </w:pPr>
            <w:r/>
            <w:r>
              <w:rPr>
                <w:rFonts w:ascii="宋体" w:hAnsi="宋体" w:eastAsia="宋体"/>
                <w:b w:val="0"/>
                <w:sz w:val="18"/>
              </w:rPr>
              <w:t>768</w:t>
            </w:r>
          </w:p>
        </w:tc>
        <w:tc>
          <w:tcPr>
            <w:tcW w:type="dxa" w:w="1441"/>
          </w:tcPr>
          <w:p>
            <w:pPr>
              <w:jc w:val="center"/>
            </w:pPr>
            <w:r/>
            <w:r>
              <w:rPr>
                <w:rFonts w:ascii="宋体" w:hAnsi="宋体" w:eastAsia="宋体"/>
                <w:b w:val="0"/>
                <w:sz w:val="18"/>
              </w:rPr>
              <w:t>+0.069</w:t>
            </w:r>
          </w:p>
        </w:tc>
        <w:tc>
          <w:tcPr>
            <w:tcW w:type="dxa" w:w="1441"/>
          </w:tcPr>
          <w:p>
            <w:pPr>
              <w:jc w:val="center"/>
            </w:pPr>
            <w:r/>
            <w:r>
              <w:rPr>
                <w:rFonts w:ascii="宋体" w:hAnsi="宋体" w:eastAsia="宋体"/>
                <w:b w:val="0"/>
                <w:sz w:val="18"/>
              </w:rPr>
              <w:t>1.249</w:t>
            </w:r>
          </w:p>
        </w:tc>
        <w:tc>
          <w:tcPr>
            <w:tcW w:type="dxa" w:w="1441"/>
          </w:tcPr>
          <w:p>
            <w:pPr>
              <w:jc w:val="center"/>
            </w:pPr>
            <w:r/>
            <w:r>
              <w:rPr>
                <w:rFonts w:ascii="宋体" w:hAnsi="宋体" w:eastAsia="宋体"/>
                <w:b w:val="0"/>
                <w:sz w:val="18"/>
              </w:rPr>
              <w:t>0.000</w:t>
            </w:r>
          </w:p>
        </w:tc>
        <w:tc>
          <w:tcPr>
            <w:tcW w:type="dxa" w:w="1441"/>
          </w:tcPr>
          <w:p>
            <w:pPr>
              <w:jc w:val="center"/>
            </w:pPr>
            <w:r/>
            <w:r>
              <w:rPr>
                <w:rFonts w:ascii="宋体" w:hAnsi="宋体" w:eastAsia="宋体"/>
                <w:b w:val="0"/>
                <w:sz w:val="18"/>
              </w:rPr>
              <w:t>43.5</w:t>
            </w:r>
          </w:p>
        </w:tc>
      </w:tr>
      <w:tr>
        <w:tc>
          <w:tcPr>
            <w:tcW w:type="dxa" w:w="1441"/>
          </w:tcPr>
          <w:p>
            <w:pPr>
              <w:jc w:val="center"/>
            </w:pPr>
            <w:r/>
            <w:r>
              <w:rPr>
                <w:rFonts w:ascii="宋体" w:hAnsi="宋体" w:eastAsia="宋体"/>
                <w:b w:val="0"/>
                <w:sz w:val="18"/>
              </w:rPr>
              <w:t>木</w:t>
            </w:r>
          </w:p>
        </w:tc>
        <w:tc>
          <w:tcPr>
            <w:tcW w:type="dxa" w:w="1441"/>
          </w:tcPr>
          <w:p>
            <w:pPr>
              <w:jc w:val="center"/>
            </w:pPr>
            <w:r/>
            <w:r>
              <w:rPr>
                <w:rFonts w:ascii="宋体" w:hAnsi="宋体" w:eastAsia="宋体"/>
                <w:b w:val="0"/>
                <w:sz w:val="18"/>
              </w:rPr>
              <w:t>770</w:t>
            </w:r>
          </w:p>
        </w:tc>
        <w:tc>
          <w:tcPr>
            <w:tcW w:type="dxa" w:w="1441"/>
          </w:tcPr>
          <w:p>
            <w:pPr>
              <w:jc w:val="center"/>
            </w:pPr>
            <w:r/>
            <w:r>
              <w:rPr>
                <w:rFonts w:ascii="宋体" w:hAnsi="宋体" w:eastAsia="宋体"/>
                <w:b w:val="0"/>
                <w:sz w:val="18"/>
              </w:rPr>
              <w:t>+0.040</w:t>
            </w:r>
          </w:p>
        </w:tc>
        <w:tc>
          <w:tcPr>
            <w:tcW w:type="dxa" w:w="1441"/>
          </w:tcPr>
          <w:p>
            <w:pPr>
              <w:jc w:val="center"/>
            </w:pPr>
            <w:r/>
            <w:r>
              <w:rPr>
                <w:rFonts w:ascii="宋体" w:hAnsi="宋体" w:eastAsia="宋体"/>
                <w:b w:val="0"/>
                <w:sz w:val="18"/>
              </w:rPr>
              <w:t>1.325</w:t>
            </w:r>
          </w:p>
        </w:tc>
        <w:tc>
          <w:tcPr>
            <w:tcW w:type="dxa" w:w="1441"/>
          </w:tcPr>
          <w:p>
            <w:pPr>
              <w:jc w:val="center"/>
            </w:pPr>
            <w:r/>
            <w:r>
              <w:rPr>
                <w:rFonts w:ascii="宋体" w:hAnsi="宋体" w:eastAsia="宋体"/>
                <w:b w:val="0"/>
                <w:sz w:val="18"/>
              </w:rPr>
              <w:t>0.000</w:t>
            </w:r>
          </w:p>
        </w:tc>
        <w:tc>
          <w:tcPr>
            <w:tcW w:type="dxa" w:w="1441"/>
          </w:tcPr>
          <w:p>
            <w:pPr>
              <w:jc w:val="center"/>
            </w:pPr>
            <w:r/>
            <w:r>
              <w:rPr>
                <w:rFonts w:ascii="宋体" w:hAnsi="宋体" w:eastAsia="宋体"/>
                <w:b w:val="0"/>
                <w:sz w:val="18"/>
              </w:rPr>
              <w:t>42.7</w:t>
            </w:r>
          </w:p>
        </w:tc>
      </w:tr>
      <w:tr>
        <w:tc>
          <w:tcPr>
            <w:tcW w:type="dxa" w:w="1441"/>
          </w:tcPr>
          <w:p>
            <w:pPr>
              <w:jc w:val="center"/>
            </w:pPr>
            <w:r/>
            <w:r>
              <w:rPr>
                <w:rFonts w:ascii="宋体" w:hAnsi="宋体" w:eastAsia="宋体"/>
                <w:b w:val="0"/>
                <w:sz w:val="18"/>
              </w:rPr>
              <w:t>水</w:t>
            </w:r>
          </w:p>
        </w:tc>
        <w:tc>
          <w:tcPr>
            <w:tcW w:type="dxa" w:w="1441"/>
          </w:tcPr>
          <w:p>
            <w:pPr>
              <w:jc w:val="center"/>
            </w:pPr>
            <w:r/>
            <w:r>
              <w:rPr>
                <w:rFonts w:ascii="宋体" w:hAnsi="宋体" w:eastAsia="宋体"/>
                <w:b w:val="0"/>
                <w:sz w:val="18"/>
              </w:rPr>
              <w:t>760</w:t>
            </w:r>
          </w:p>
        </w:tc>
        <w:tc>
          <w:tcPr>
            <w:tcW w:type="dxa" w:w="1441"/>
          </w:tcPr>
          <w:p>
            <w:pPr>
              <w:jc w:val="center"/>
            </w:pPr>
            <w:r/>
            <w:r>
              <w:rPr>
                <w:rFonts w:ascii="宋体" w:hAnsi="宋体" w:eastAsia="宋体"/>
                <w:b w:val="0"/>
                <w:sz w:val="18"/>
              </w:rPr>
              <w:t>+0.054</w:t>
            </w:r>
          </w:p>
        </w:tc>
        <w:tc>
          <w:tcPr>
            <w:tcW w:type="dxa" w:w="1441"/>
          </w:tcPr>
          <w:p>
            <w:pPr>
              <w:jc w:val="center"/>
            </w:pPr>
            <w:r/>
            <w:r>
              <w:rPr>
                <w:rFonts w:ascii="宋体" w:hAnsi="宋体" w:eastAsia="宋体"/>
                <w:b w:val="0"/>
                <w:sz w:val="18"/>
              </w:rPr>
              <w:t>1.271</w:t>
            </w:r>
          </w:p>
        </w:tc>
        <w:tc>
          <w:tcPr>
            <w:tcW w:type="dxa" w:w="1441"/>
          </w:tcPr>
          <w:p>
            <w:pPr>
              <w:jc w:val="center"/>
            </w:pPr>
            <w:r/>
            <w:r>
              <w:rPr>
                <w:rFonts w:ascii="宋体" w:hAnsi="宋体" w:eastAsia="宋体"/>
                <w:b w:val="0"/>
                <w:sz w:val="18"/>
              </w:rPr>
              <w:t>0.000</w:t>
            </w:r>
          </w:p>
        </w:tc>
        <w:tc>
          <w:tcPr>
            <w:tcW w:type="dxa" w:w="1441"/>
          </w:tcPr>
          <w:p>
            <w:pPr>
              <w:jc w:val="center"/>
            </w:pPr>
            <w:r/>
            <w:r>
              <w:rPr>
                <w:rFonts w:ascii="宋体" w:hAnsi="宋体" w:eastAsia="宋体"/>
                <w:b w:val="0"/>
                <w:sz w:val="18"/>
              </w:rPr>
              <w:t>44.2</w:t>
            </w:r>
          </w:p>
        </w:tc>
      </w:tr>
      <w:tr>
        <w:tc>
          <w:tcPr>
            <w:tcW w:type="dxa" w:w="1441"/>
          </w:tcPr>
          <w:p>
            <w:pPr>
              <w:jc w:val="center"/>
            </w:pPr>
            <w:r/>
            <w:r>
              <w:rPr>
                <w:rFonts w:ascii="宋体" w:hAnsi="宋体" w:eastAsia="宋体"/>
                <w:b w:val="0"/>
                <w:sz w:val="18"/>
              </w:rPr>
              <w:t>火</w:t>
            </w:r>
          </w:p>
        </w:tc>
        <w:tc>
          <w:tcPr>
            <w:tcW w:type="dxa" w:w="1441"/>
          </w:tcPr>
          <w:p>
            <w:pPr>
              <w:jc w:val="center"/>
            </w:pPr>
            <w:r/>
            <w:r>
              <w:rPr>
                <w:rFonts w:ascii="宋体" w:hAnsi="宋体" w:eastAsia="宋体"/>
                <w:b w:val="0"/>
                <w:sz w:val="18"/>
              </w:rPr>
              <w:t>770</w:t>
            </w:r>
          </w:p>
        </w:tc>
        <w:tc>
          <w:tcPr>
            <w:tcW w:type="dxa" w:w="1441"/>
          </w:tcPr>
          <w:p>
            <w:pPr>
              <w:jc w:val="center"/>
            </w:pPr>
            <w:r/>
            <w:r>
              <w:rPr>
                <w:rFonts w:ascii="宋体" w:hAnsi="宋体" w:eastAsia="宋体"/>
                <w:b w:val="0"/>
                <w:sz w:val="18"/>
              </w:rPr>
              <w:t>+0.046</w:t>
            </w:r>
          </w:p>
        </w:tc>
        <w:tc>
          <w:tcPr>
            <w:tcW w:type="dxa" w:w="1441"/>
          </w:tcPr>
          <w:p>
            <w:pPr>
              <w:jc w:val="center"/>
            </w:pPr>
            <w:r/>
            <w:r>
              <w:rPr>
                <w:rFonts w:ascii="宋体" w:hAnsi="宋体" w:eastAsia="宋体"/>
                <w:b w:val="0"/>
                <w:sz w:val="18"/>
              </w:rPr>
              <w:t>1.267</w:t>
            </w:r>
          </w:p>
        </w:tc>
        <w:tc>
          <w:tcPr>
            <w:tcW w:type="dxa" w:w="1441"/>
          </w:tcPr>
          <w:p>
            <w:pPr>
              <w:jc w:val="center"/>
            </w:pPr>
            <w:r/>
            <w:r>
              <w:rPr>
                <w:rFonts w:ascii="宋体" w:hAnsi="宋体" w:eastAsia="宋体"/>
                <w:b w:val="0"/>
                <w:sz w:val="18"/>
              </w:rPr>
              <w:t>0.000</w:t>
            </w:r>
          </w:p>
        </w:tc>
        <w:tc>
          <w:tcPr>
            <w:tcW w:type="dxa" w:w="1441"/>
          </w:tcPr>
          <w:p>
            <w:pPr>
              <w:jc w:val="center"/>
            </w:pPr>
            <w:r/>
            <w:r>
              <w:rPr>
                <w:rFonts w:ascii="宋体" w:hAnsi="宋体" w:eastAsia="宋体"/>
                <w:b w:val="0"/>
                <w:sz w:val="18"/>
              </w:rPr>
              <w:t>40.1</w:t>
            </w:r>
          </w:p>
        </w:tc>
      </w:tr>
      <w:tr>
        <w:tc>
          <w:tcPr>
            <w:tcW w:type="dxa" w:w="1441"/>
          </w:tcPr>
          <w:p>
            <w:pPr>
              <w:jc w:val="center"/>
            </w:pPr>
            <w:r/>
            <w:r>
              <w:rPr>
                <w:rFonts w:ascii="宋体" w:hAnsi="宋体" w:eastAsia="宋体"/>
                <w:b w:val="0"/>
                <w:sz w:val="18"/>
              </w:rPr>
              <w:t>土</w:t>
            </w:r>
          </w:p>
        </w:tc>
        <w:tc>
          <w:tcPr>
            <w:tcW w:type="dxa" w:w="1441"/>
          </w:tcPr>
          <w:p>
            <w:pPr>
              <w:jc w:val="center"/>
            </w:pPr>
            <w:r/>
            <w:r>
              <w:rPr>
                <w:rFonts w:ascii="宋体" w:hAnsi="宋体" w:eastAsia="宋体"/>
                <w:b w:val="0"/>
                <w:sz w:val="18"/>
              </w:rPr>
              <w:t>765</w:t>
            </w:r>
          </w:p>
        </w:tc>
        <w:tc>
          <w:tcPr>
            <w:tcW w:type="dxa" w:w="1441"/>
          </w:tcPr>
          <w:p>
            <w:pPr>
              <w:jc w:val="center"/>
            </w:pPr>
            <w:r/>
            <w:r>
              <w:rPr>
                <w:rFonts w:ascii="宋体" w:hAnsi="宋体" w:eastAsia="宋体"/>
                <w:b w:val="0"/>
                <w:sz w:val="18"/>
              </w:rPr>
              <w:t>+0.019</w:t>
            </w:r>
          </w:p>
        </w:tc>
        <w:tc>
          <w:tcPr>
            <w:tcW w:type="dxa" w:w="1441"/>
          </w:tcPr>
          <w:p>
            <w:pPr>
              <w:jc w:val="center"/>
            </w:pPr>
            <w:r/>
            <w:r>
              <w:rPr>
                <w:rFonts w:ascii="宋体" w:hAnsi="宋体" w:eastAsia="宋体"/>
                <w:b w:val="0"/>
                <w:sz w:val="18"/>
              </w:rPr>
              <w:t>1.165</w:t>
            </w:r>
          </w:p>
        </w:tc>
        <w:tc>
          <w:tcPr>
            <w:tcW w:type="dxa" w:w="1441"/>
          </w:tcPr>
          <w:p>
            <w:pPr>
              <w:jc w:val="center"/>
            </w:pPr>
            <w:r/>
            <w:r>
              <w:rPr>
                <w:rFonts w:ascii="宋体" w:hAnsi="宋体" w:eastAsia="宋体"/>
                <w:b w:val="0"/>
                <w:sz w:val="18"/>
              </w:rPr>
              <w:t>0.000</w:t>
            </w:r>
          </w:p>
        </w:tc>
        <w:tc>
          <w:tcPr>
            <w:tcW w:type="dxa" w:w="1441"/>
          </w:tcPr>
          <w:p>
            <w:pPr>
              <w:jc w:val="center"/>
            </w:pPr>
            <w:r/>
            <w:r>
              <w:rPr>
                <w:rFonts w:ascii="宋体" w:hAnsi="宋体" w:eastAsia="宋体"/>
                <w:b w:val="0"/>
                <w:sz w:val="18"/>
              </w:rPr>
              <w:t>44.4</w:t>
            </w:r>
          </w:p>
        </w:tc>
      </w:tr>
      <w:tr>
        <w:tc>
          <w:tcPr>
            <w:tcW w:type="dxa" w:w="1441"/>
            <w:shd w:fill="E2EFDA"/>
          </w:tcPr>
          <w:p>
            <w:pPr>
              <w:jc w:val="center"/>
            </w:pPr>
            <w:r/>
            <w:r>
              <w:rPr>
                <w:rFonts w:ascii="宋体" w:hAnsi="宋体" w:eastAsia="宋体"/>
                <w:b/>
                <w:sz w:val="18"/>
              </w:rPr>
              <w:t>K-W检验</w:t>
            </w:r>
          </w:p>
        </w:tc>
        <w:tc>
          <w:tcPr>
            <w:tcW w:type="dxa" w:w="4323"/>
            <w:gridSpan w:val="3"/>
          </w:tcPr>
          <w:p>
            <w:pPr>
              <w:jc w:val="center"/>
            </w:pPr>
            <w:r/>
            <w:r>
              <w:rPr>
                <w:rFonts w:ascii="宋体" w:hAnsi="宋体" w:eastAsia="宋体"/>
                <w:b/>
                <w:sz w:val="18"/>
              </w:rPr>
              <w:t>H=0.95, p=0.917</w:t>
            </w:r>
          </w:p>
        </w:tc>
        <w:tc>
          <w:tcPr>
            <w:tcW w:type="dxa" w:w="2882"/>
            <w:gridSpan w:val="2"/>
          </w:tcPr>
          <w:p>
            <w:pPr>
              <w:jc w:val="center"/>
            </w:pPr>
            <w:r/>
            <w:r>
              <w:rPr>
                <w:rFonts w:ascii="宋体" w:hAnsi="宋体" w:eastAsia="宋体"/>
                <w:b w:val="0"/>
                <w:sz w:val="18"/>
              </w:rPr>
              <w:t>不显著 (α=0.05)</w:t>
            </w:r>
          </w:p>
        </w:tc>
      </w:tr>
    </w:tbl>
    <w:p>
      <w:pPr>
        <w:spacing w:line="360" w:lineRule="auto"/>
      </w:pPr>
      <w:r/>
    </w:p>
    <w:p>
      <w:pPr>
        <w:spacing w:line="360" w:lineRule="auto"/>
        <w:ind w:firstLine="480"/>
      </w:pPr>
      <w:r>
        <w:t>地支五行分组的结果与之类似。Kruskal-Wallis检验H=6.82（p=0.146），同样不显著。各组收益率的中位数均为零，分布高度重合。图1的箱线图直观地展示了这一特征——5个箱体几乎完全重叠，任何肉眼可辨的差异都不足以支撑统计推断。</w:t>
      </w:r>
    </w:p>
    <w:p>
      <w:pPr>
        <w:jc w:val="center"/>
      </w:pPr>
      <w:r>
        <w:drawing>
          <wp:inline xmlns:a="http://schemas.openxmlformats.org/drawingml/2006/main" xmlns:pic="http://schemas.openxmlformats.org/drawingml/2006/picture">
            <wp:extent cx="5029200" cy="2413869"/>
            <wp:docPr id="1" name="Picture 1"/>
            <wp:cNvGraphicFramePr>
              <a:graphicFrameLocks noChangeAspect="1"/>
            </wp:cNvGraphicFramePr>
            <a:graphic>
              <a:graphicData uri="http://schemas.openxmlformats.org/drawingml/2006/picture">
                <pic:pic>
                  <pic:nvPicPr>
                    <pic:cNvPr id="0" name="fig1_daily_boxplot.png"/>
                    <pic:cNvPicPr/>
                  </pic:nvPicPr>
                  <pic:blipFill>
                    <a:blip r:embed="rId9"/>
                    <a:stretch>
                      <a:fillRect/>
                    </a:stretch>
                  </pic:blipFill>
                  <pic:spPr>
                    <a:xfrm>
                      <a:off x="0" y="0"/>
                      <a:ext cx="5029200" cy="2413869"/>
                    </a:xfrm>
                    <a:prstGeom prst="rect"/>
                  </pic:spPr>
                </pic:pic>
              </a:graphicData>
            </a:graphic>
          </wp:inline>
        </w:drawing>
      </w:r>
    </w:p>
    <w:p>
      <w:pPr>
        <w:jc w:val="center"/>
      </w:pPr>
      <w:r>
        <w:rPr>
          <w:color w:val="808080"/>
          <w:sz w:val="18"/>
        </w:rPr>
        <w:t>图1  日收益率按五行分组箱线图。各组中位数均靠近零线，分布高度重合。</w:t>
      </w:r>
    </w:p>
    <w:p>
      <w:pPr>
        <w:pStyle w:val="Heading2"/>
      </w:pPr>
      <w:r>
        <w:t>3.2  周频分析——滚动窗口的正负交替</w:t>
      </w:r>
    </w:p>
    <w:p>
      <w:pPr>
        <w:spacing w:line="360" w:lineRule="auto"/>
        <w:ind w:firstLine="480"/>
      </w:pPr>
      <w:r>
        <w:t>周频分析的Kruskal-Wallis检验同样未能达到显著性阈值：天干组H=5.83（p=0.212），地支组H=4.81（p=0.307）。时间聚合并未像某些研究所期待的那样"放大"五行效应，反而进一步确认了日频层面的结论。</w:t>
      </w:r>
    </w:p>
    <w:p>
      <w:pPr>
        <w:spacing w:line="360" w:lineRule="auto"/>
        <w:ind w:firstLine="480"/>
      </w:pPr>
      <w:r>
        <w:t>更具说明力的是3年滚动窗口的分析。表2列出了各五行对组合的周收益率平均差异。以差异幅度最大的"火-金"组合为例，其全样本均值约为-36个基点（bps），意味着火的周收益率平均比金低0.36个百分点——这似乎是某种意义上的"规律"。然而，图2的时序图显示，这一差异在历史长河中正负交替，不存在长期稳定的方向性偏移。即使在差异最极端的时间段，方向性偏移也无法持续超过一年。这种围绕零轴随机波动的模式，是典型的噪声而非信号。</w:t>
      </w:r>
    </w:p>
    <w:p>
      <w:pPr>
        <w:spacing w:line="360" w:lineRule="auto"/>
        <w:jc w:val="center"/>
      </w:pPr>
      <w:r>
        <w:rPr>
          <w:b/>
          <w:sz w:val="20"/>
        </w:rPr>
        <w:t>表2  五行对周收益率平均差异（全样本，单位：bps）</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宋体" w:hAnsi="宋体" w:eastAsia="宋体"/>
                <w:b/>
                <w:sz w:val="18"/>
              </w:rPr>
              <w:t>五行对</w:t>
            </w:r>
          </w:p>
        </w:tc>
        <w:tc>
          <w:tcPr>
            <w:tcW w:type="dxa" w:w="2882"/>
            <w:shd w:fill="D9E2F3"/>
          </w:tcPr>
          <w:p>
            <w:pPr>
              <w:jc w:val="center"/>
            </w:pPr>
            <w:r/>
            <w:r>
              <w:rPr>
                <w:rFonts w:ascii="宋体" w:hAnsi="宋体" w:eastAsia="宋体"/>
                <w:b/>
                <w:sz w:val="18"/>
              </w:rPr>
              <w:t>平均差异(bps)</w:t>
            </w:r>
          </w:p>
        </w:tc>
        <w:tc>
          <w:tcPr>
            <w:tcW w:type="dxa" w:w="2882"/>
            <w:shd w:fill="D9E2F3"/>
          </w:tcPr>
          <w:p>
            <w:pPr>
              <w:jc w:val="center"/>
            </w:pPr>
            <w:r/>
            <w:r>
              <w:rPr>
                <w:rFonts w:ascii="宋体" w:hAnsi="宋体" w:eastAsia="宋体"/>
                <w:b/>
                <w:sz w:val="18"/>
              </w:rPr>
              <w:t>出现频次</w:t>
            </w:r>
          </w:p>
        </w:tc>
      </w:tr>
      <w:tr>
        <w:tc>
          <w:tcPr>
            <w:tcW w:type="dxa" w:w="2882"/>
          </w:tcPr>
          <w:p>
            <w:pPr>
              <w:jc w:val="center"/>
            </w:pPr>
            <w:r/>
            <w:r>
              <w:rPr>
                <w:rFonts w:ascii="宋体" w:hAnsi="宋体" w:eastAsia="宋体"/>
                <w:b w:val="0"/>
                <w:sz w:val="18"/>
              </w:rPr>
              <w:t>火-金</w:t>
            </w:r>
          </w:p>
        </w:tc>
        <w:tc>
          <w:tcPr>
            <w:tcW w:type="dxa" w:w="2882"/>
          </w:tcPr>
          <w:p>
            <w:pPr>
              <w:jc w:val="center"/>
            </w:pPr>
            <w:r/>
            <w:r>
              <w:rPr>
                <w:rFonts w:ascii="宋体" w:hAnsi="宋体" w:eastAsia="宋体"/>
                <w:b w:val="0"/>
                <w:sz w:val="18"/>
              </w:rPr>
              <w:t>-36.3</w:t>
            </w:r>
          </w:p>
        </w:tc>
        <w:tc>
          <w:tcPr>
            <w:tcW w:type="dxa" w:w="2882"/>
          </w:tcPr>
          <w:p>
            <w:pPr>
              <w:jc w:val="center"/>
            </w:pPr>
            <w:r/>
            <w:r>
              <w:rPr>
                <w:rFonts w:ascii="宋体" w:hAnsi="宋体" w:eastAsia="宋体"/>
                <w:b w:val="0"/>
                <w:sz w:val="18"/>
              </w:rPr>
              <w:t>656周</w:t>
            </w:r>
          </w:p>
        </w:tc>
      </w:tr>
      <w:tr>
        <w:tc>
          <w:tcPr>
            <w:tcW w:type="dxa" w:w="2882"/>
          </w:tcPr>
          <w:p>
            <w:pPr>
              <w:jc w:val="center"/>
            </w:pPr>
            <w:r/>
            <w:r>
              <w:rPr>
                <w:rFonts w:ascii="宋体" w:hAnsi="宋体" w:eastAsia="宋体"/>
                <w:b w:val="0"/>
                <w:sz w:val="18"/>
              </w:rPr>
              <w:t>木-金</w:t>
            </w:r>
          </w:p>
        </w:tc>
        <w:tc>
          <w:tcPr>
            <w:tcW w:type="dxa" w:w="2882"/>
          </w:tcPr>
          <w:p>
            <w:pPr>
              <w:jc w:val="center"/>
            </w:pPr>
            <w:r/>
            <w:r>
              <w:rPr>
                <w:rFonts w:ascii="宋体" w:hAnsi="宋体" w:eastAsia="宋体"/>
                <w:b w:val="0"/>
                <w:sz w:val="18"/>
              </w:rPr>
              <w:t>-4.3</w:t>
            </w:r>
          </w:p>
        </w:tc>
        <w:tc>
          <w:tcPr>
            <w:tcW w:type="dxa" w:w="2882"/>
          </w:tcPr>
          <w:p>
            <w:pPr>
              <w:jc w:val="center"/>
            </w:pPr>
            <w:r/>
            <w:r>
              <w:rPr>
                <w:rFonts w:ascii="宋体" w:hAnsi="宋体" w:eastAsia="宋体"/>
                <w:b w:val="0"/>
                <w:sz w:val="18"/>
              </w:rPr>
              <w:t>656周</w:t>
            </w:r>
          </w:p>
        </w:tc>
      </w:tr>
      <w:tr>
        <w:tc>
          <w:tcPr>
            <w:tcW w:type="dxa" w:w="2882"/>
          </w:tcPr>
          <w:p>
            <w:pPr>
              <w:jc w:val="center"/>
            </w:pPr>
            <w:r/>
            <w:r>
              <w:rPr>
                <w:rFonts w:ascii="宋体" w:hAnsi="宋体" w:eastAsia="宋体"/>
                <w:b w:val="0"/>
                <w:sz w:val="18"/>
              </w:rPr>
              <w:t>土-金</w:t>
            </w:r>
          </w:p>
        </w:tc>
        <w:tc>
          <w:tcPr>
            <w:tcW w:type="dxa" w:w="2882"/>
          </w:tcPr>
          <w:p>
            <w:pPr>
              <w:jc w:val="center"/>
            </w:pPr>
            <w:r/>
            <w:r>
              <w:rPr>
                <w:rFonts w:ascii="宋体" w:hAnsi="宋体" w:eastAsia="宋体"/>
                <w:b w:val="0"/>
                <w:sz w:val="18"/>
              </w:rPr>
              <w:t>-3.2</w:t>
            </w:r>
          </w:p>
        </w:tc>
        <w:tc>
          <w:tcPr>
            <w:tcW w:type="dxa" w:w="2882"/>
          </w:tcPr>
          <w:p>
            <w:pPr>
              <w:jc w:val="center"/>
            </w:pPr>
            <w:r/>
            <w:r>
              <w:rPr>
                <w:rFonts w:ascii="宋体" w:hAnsi="宋体" w:eastAsia="宋体"/>
                <w:b w:val="0"/>
                <w:sz w:val="18"/>
              </w:rPr>
              <w:t>656周</w:t>
            </w:r>
          </w:p>
        </w:tc>
      </w:tr>
      <w:tr>
        <w:tc>
          <w:tcPr>
            <w:tcW w:type="dxa" w:w="2882"/>
          </w:tcPr>
          <w:p>
            <w:pPr>
              <w:jc w:val="center"/>
            </w:pPr>
            <w:r/>
            <w:r>
              <w:rPr>
                <w:rFonts w:ascii="宋体" w:hAnsi="宋体" w:eastAsia="宋体"/>
                <w:b w:val="0"/>
                <w:sz w:val="18"/>
              </w:rPr>
              <w:t>木-火</w:t>
            </w:r>
          </w:p>
        </w:tc>
        <w:tc>
          <w:tcPr>
            <w:tcW w:type="dxa" w:w="2882"/>
          </w:tcPr>
          <w:p>
            <w:pPr>
              <w:jc w:val="center"/>
            </w:pPr>
            <w:r/>
            <w:r>
              <w:rPr>
                <w:rFonts w:ascii="宋体" w:hAnsi="宋体" w:eastAsia="宋体"/>
                <w:b w:val="0"/>
                <w:sz w:val="18"/>
              </w:rPr>
              <w:t>+32.0</w:t>
            </w:r>
          </w:p>
        </w:tc>
        <w:tc>
          <w:tcPr>
            <w:tcW w:type="dxa" w:w="2882"/>
          </w:tcPr>
          <w:p>
            <w:pPr>
              <w:jc w:val="center"/>
            </w:pPr>
            <w:r/>
            <w:r>
              <w:rPr>
                <w:rFonts w:ascii="宋体" w:hAnsi="宋体" w:eastAsia="宋体"/>
                <w:b w:val="0"/>
                <w:sz w:val="18"/>
              </w:rPr>
              <w:t>656周</w:t>
            </w:r>
          </w:p>
        </w:tc>
      </w:tr>
      <w:tr>
        <w:tc>
          <w:tcPr>
            <w:tcW w:type="dxa" w:w="2882"/>
          </w:tcPr>
          <w:p>
            <w:pPr>
              <w:jc w:val="center"/>
            </w:pPr>
            <w:r/>
            <w:r>
              <w:rPr>
                <w:rFonts w:ascii="宋体" w:hAnsi="宋体" w:eastAsia="宋体"/>
                <w:b w:val="0"/>
                <w:sz w:val="18"/>
              </w:rPr>
              <w:t>土-火</w:t>
            </w:r>
          </w:p>
        </w:tc>
        <w:tc>
          <w:tcPr>
            <w:tcW w:type="dxa" w:w="2882"/>
          </w:tcPr>
          <w:p>
            <w:pPr>
              <w:jc w:val="center"/>
            </w:pPr>
            <w:r/>
            <w:r>
              <w:rPr>
                <w:rFonts w:ascii="宋体" w:hAnsi="宋体" w:eastAsia="宋体"/>
                <w:b w:val="0"/>
                <w:sz w:val="18"/>
              </w:rPr>
              <w:t>+33.1</w:t>
            </w:r>
          </w:p>
        </w:tc>
        <w:tc>
          <w:tcPr>
            <w:tcW w:type="dxa" w:w="2882"/>
          </w:tcPr>
          <w:p>
            <w:pPr>
              <w:jc w:val="center"/>
            </w:pPr>
            <w:r/>
            <w:r>
              <w:rPr>
                <w:rFonts w:ascii="宋体" w:hAnsi="宋体" w:eastAsia="宋体"/>
                <w:b w:val="0"/>
                <w:sz w:val="18"/>
              </w:rPr>
              <w:t>656周</w:t>
            </w:r>
          </w:p>
        </w:tc>
      </w:tr>
    </w:tbl>
    <w:p>
      <w:pPr>
        <w:spacing w:line="360" w:lineRule="auto"/>
      </w:pPr>
      <w:r/>
    </w:p>
    <w:p>
      <w:pPr>
        <w:jc w:val="center"/>
      </w:pPr>
      <w:r>
        <w:drawing>
          <wp:inline xmlns:a="http://schemas.openxmlformats.org/drawingml/2006/main" xmlns:pic="http://schemas.openxmlformats.org/drawingml/2006/picture">
            <wp:extent cx="5029200" cy="3703963"/>
            <wp:docPr id="2" name="Picture 2"/>
            <wp:cNvGraphicFramePr>
              <a:graphicFrameLocks noChangeAspect="1"/>
            </wp:cNvGraphicFramePr>
            <a:graphic>
              <a:graphicData uri="http://schemas.openxmlformats.org/drawingml/2006/picture">
                <pic:pic>
                  <pic:nvPicPr>
                    <pic:cNvPr id="0" name="fig2_weekly_rolling.png"/>
                    <pic:cNvPicPr/>
                  </pic:nvPicPr>
                  <pic:blipFill>
                    <a:blip r:embed="rId10"/>
                    <a:stretch>
                      <a:fillRect/>
                    </a:stretch>
                  </pic:blipFill>
                  <pic:spPr>
                    <a:xfrm>
                      <a:off x="0" y="0"/>
                      <a:ext cx="5029200" cy="3703963"/>
                    </a:xfrm>
                    <a:prstGeom prst="rect"/>
                  </pic:spPr>
                </pic:pic>
              </a:graphicData>
            </a:graphic>
          </wp:inline>
        </w:drawing>
      </w:r>
    </w:p>
    <w:p>
      <w:pPr>
        <w:jc w:val="center"/>
      </w:pPr>
      <w:r>
        <w:rPr>
          <w:color w:val="808080"/>
          <w:sz w:val="18"/>
        </w:rPr>
        <w:t>图2  五行分组周收益率3年滚动窗口差异时序。红色水平线为全样本均值，均值的正负方向不稳定。</w:t>
      </w:r>
    </w:p>
    <w:p>
      <w:pPr>
        <w:pStyle w:val="Heading2"/>
      </w:pPr>
      <w:r>
        <w:t>3.3  月频分析——样本外验证的辨伪价值</w:t>
      </w:r>
    </w:p>
    <w:p>
      <w:pPr>
        <w:spacing w:line="360" w:lineRule="auto"/>
        <w:ind w:firstLine="480"/>
      </w:pPr>
      <w:r>
        <w:t>月频分析是本研究的"主战场"。低频数据通常噪声较少，如果五行真对股价有结构性影响，在月频层面应该体现得最为清晰。然而，检验结果再次否定了这一预期。</w:t>
      </w:r>
    </w:p>
    <w:p>
      <w:pPr>
        <w:spacing w:line="360" w:lineRule="auto"/>
        <w:ind w:firstLine="480"/>
      </w:pPr>
      <w:r>
        <w:t>训练集（2010年7月至2021年7月，133个月）上，天干五行组间差异的K-W检验H=5.31（p=0.257），地支五行组H=4.79（p=0.310），均不显著。在训练集内，表现最优的"土"组（月均收益率+1.13%）与最差的"火"组（月均收益率-1.47%）构成了一个看似合理的初步假设——"土生金，银行属土，土组应该表现好"。</w:t>
      </w:r>
    </w:p>
    <w:p>
      <w:pPr>
        <w:spacing w:line="360" w:lineRule="auto"/>
        <w:ind w:firstLine="480"/>
      </w:pPr>
      <w:r>
        <w:t>然而，在测试集（2021年8月至2026年5月，58个月）上，这一"规律"完全反转："土"组变为亏损（月均-1.17%），"火"组反而盈利（月均+0.92%）。这是经典的过拟合案例。测试集K-W检验天干组H=6.90（p=0.141），地支组H=5.15（p=0.272），同样不显著。</w:t>
      </w:r>
    </w:p>
    <w:p>
      <w:pPr>
        <w:spacing w:line="360" w:lineRule="auto"/>
        <w:ind w:firstLine="480"/>
      </w:pPr>
      <w:r>
        <w:t>图3按月收益率展示了天干×地支12个组合的训练集和测试集对比。图中大量标注为"反转"的组合说明：12个组合中有7个的训练集和测试集收益方向相反，进一步印证了样本内结果的脆弱性。如果基于训练集上的发现构建交易策略并在测试集上实施，结果是亏损而非盈利。</w:t>
      </w:r>
    </w:p>
    <w:p>
      <w:pPr>
        <w:spacing w:line="360" w:lineRule="auto"/>
        <w:jc w:val="center"/>
      </w:pPr>
      <w:r>
        <w:rPr>
          <w:b/>
          <w:sz w:val="20"/>
        </w:rPr>
        <w:t>表3  月频Kruskal-Wallis检验结果汇总</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18"/>
              </w:rPr>
              <w:t>检验</w:t>
            </w:r>
          </w:p>
        </w:tc>
        <w:tc>
          <w:tcPr>
            <w:tcW w:type="dxa" w:w="2161"/>
            <w:shd w:fill="D9E2F3"/>
          </w:tcPr>
          <w:p>
            <w:pPr>
              <w:jc w:val="center"/>
            </w:pPr>
            <w:r/>
            <w:r>
              <w:rPr>
                <w:rFonts w:ascii="宋体" w:hAnsi="宋体" w:eastAsia="宋体"/>
                <w:b/>
                <w:sz w:val="18"/>
              </w:rPr>
              <w:t>H统计量</w:t>
            </w:r>
          </w:p>
        </w:tc>
        <w:tc>
          <w:tcPr>
            <w:tcW w:type="dxa" w:w="2161"/>
            <w:shd w:fill="D9E2F3"/>
          </w:tcPr>
          <w:p>
            <w:pPr>
              <w:jc w:val="center"/>
            </w:pPr>
            <w:r/>
            <w:r>
              <w:rPr>
                <w:rFonts w:ascii="宋体" w:hAnsi="宋体" w:eastAsia="宋体"/>
                <w:b/>
                <w:sz w:val="18"/>
              </w:rPr>
              <w:t>p值</w:t>
            </w:r>
          </w:p>
        </w:tc>
        <w:tc>
          <w:tcPr>
            <w:tcW w:type="dxa" w:w="2161"/>
            <w:shd w:fill="D9E2F3"/>
          </w:tcPr>
          <w:p>
            <w:pPr>
              <w:jc w:val="center"/>
            </w:pPr>
            <w:r/>
            <w:r>
              <w:rPr>
                <w:rFonts w:ascii="宋体" w:hAnsi="宋体" w:eastAsia="宋体"/>
                <w:b/>
                <w:sz w:val="18"/>
              </w:rPr>
              <w:t>显著性(α=0.05)</w:t>
            </w:r>
          </w:p>
        </w:tc>
      </w:tr>
      <w:tr>
        <w:tc>
          <w:tcPr>
            <w:tcW w:type="dxa" w:w="2161"/>
          </w:tcPr>
          <w:p>
            <w:pPr>
              <w:jc w:val="center"/>
            </w:pPr>
            <w:r/>
            <w:r>
              <w:rPr>
                <w:rFonts w:ascii="宋体" w:hAnsi="宋体" w:eastAsia="宋体"/>
                <w:b w:val="0"/>
                <w:sz w:val="18"/>
              </w:rPr>
              <w:t>月天干（训练集）</w:t>
            </w:r>
          </w:p>
        </w:tc>
        <w:tc>
          <w:tcPr>
            <w:tcW w:type="dxa" w:w="2161"/>
          </w:tcPr>
          <w:p>
            <w:pPr>
              <w:jc w:val="center"/>
            </w:pPr>
            <w:r/>
            <w:r>
              <w:rPr>
                <w:rFonts w:ascii="宋体" w:hAnsi="宋体" w:eastAsia="宋体"/>
                <w:b w:val="0"/>
                <w:sz w:val="18"/>
              </w:rPr>
              <w:t>5.31</w:t>
            </w:r>
          </w:p>
        </w:tc>
        <w:tc>
          <w:tcPr>
            <w:tcW w:type="dxa" w:w="2161"/>
          </w:tcPr>
          <w:p>
            <w:pPr>
              <w:jc w:val="center"/>
            </w:pPr>
            <w:r/>
            <w:r>
              <w:rPr>
                <w:rFonts w:ascii="宋体" w:hAnsi="宋体" w:eastAsia="宋体"/>
                <w:b w:val="0"/>
                <w:sz w:val="18"/>
              </w:rPr>
              <w:t>0.257</w:t>
            </w:r>
          </w:p>
        </w:tc>
        <w:tc>
          <w:tcPr>
            <w:tcW w:type="dxa" w:w="2161"/>
          </w:tcPr>
          <w:p>
            <w:pPr>
              <w:jc w:val="center"/>
            </w:pPr>
            <w:r/>
            <w:r>
              <w:rPr>
                <w:rFonts w:ascii="宋体" w:hAnsi="宋体" w:eastAsia="宋体"/>
                <w:b w:val="0"/>
                <w:sz w:val="18"/>
              </w:rPr>
              <w:t>不显著</w:t>
            </w:r>
          </w:p>
        </w:tc>
      </w:tr>
      <w:tr>
        <w:tc>
          <w:tcPr>
            <w:tcW w:type="dxa" w:w="2161"/>
          </w:tcPr>
          <w:p>
            <w:pPr>
              <w:jc w:val="center"/>
            </w:pPr>
            <w:r/>
            <w:r>
              <w:rPr>
                <w:rFonts w:ascii="宋体" w:hAnsi="宋体" w:eastAsia="宋体"/>
                <w:b w:val="0"/>
                <w:sz w:val="18"/>
              </w:rPr>
              <w:t>月地支（训练集）</w:t>
            </w:r>
          </w:p>
        </w:tc>
        <w:tc>
          <w:tcPr>
            <w:tcW w:type="dxa" w:w="2161"/>
          </w:tcPr>
          <w:p>
            <w:pPr>
              <w:jc w:val="center"/>
            </w:pPr>
            <w:r/>
            <w:r>
              <w:rPr>
                <w:rFonts w:ascii="宋体" w:hAnsi="宋体" w:eastAsia="宋体"/>
                <w:b w:val="0"/>
                <w:sz w:val="18"/>
              </w:rPr>
              <w:t>4.79</w:t>
            </w:r>
          </w:p>
        </w:tc>
        <w:tc>
          <w:tcPr>
            <w:tcW w:type="dxa" w:w="2161"/>
          </w:tcPr>
          <w:p>
            <w:pPr>
              <w:jc w:val="center"/>
            </w:pPr>
            <w:r/>
            <w:r>
              <w:rPr>
                <w:rFonts w:ascii="宋体" w:hAnsi="宋体" w:eastAsia="宋体"/>
                <w:b w:val="0"/>
                <w:sz w:val="18"/>
              </w:rPr>
              <w:t>0.310</w:t>
            </w:r>
          </w:p>
        </w:tc>
        <w:tc>
          <w:tcPr>
            <w:tcW w:type="dxa" w:w="2161"/>
          </w:tcPr>
          <w:p>
            <w:pPr>
              <w:jc w:val="center"/>
            </w:pPr>
            <w:r/>
            <w:r>
              <w:rPr>
                <w:rFonts w:ascii="宋体" w:hAnsi="宋体" w:eastAsia="宋体"/>
                <w:b w:val="0"/>
                <w:sz w:val="18"/>
              </w:rPr>
              <w:t>不显著</w:t>
            </w:r>
          </w:p>
        </w:tc>
      </w:tr>
      <w:tr>
        <w:tc>
          <w:tcPr>
            <w:tcW w:type="dxa" w:w="2161"/>
          </w:tcPr>
          <w:p>
            <w:pPr>
              <w:jc w:val="center"/>
            </w:pPr>
            <w:r/>
            <w:r>
              <w:rPr>
                <w:rFonts w:ascii="宋体" w:hAnsi="宋体" w:eastAsia="宋体"/>
                <w:b w:val="0"/>
                <w:sz w:val="18"/>
              </w:rPr>
              <w:t>月天干（测试集）</w:t>
            </w:r>
          </w:p>
        </w:tc>
        <w:tc>
          <w:tcPr>
            <w:tcW w:type="dxa" w:w="2161"/>
          </w:tcPr>
          <w:p>
            <w:pPr>
              <w:jc w:val="center"/>
            </w:pPr>
            <w:r/>
            <w:r>
              <w:rPr>
                <w:rFonts w:ascii="宋体" w:hAnsi="宋体" w:eastAsia="宋体"/>
                <w:b w:val="0"/>
                <w:sz w:val="18"/>
              </w:rPr>
              <w:t>6.90</w:t>
            </w:r>
          </w:p>
        </w:tc>
        <w:tc>
          <w:tcPr>
            <w:tcW w:type="dxa" w:w="2161"/>
          </w:tcPr>
          <w:p>
            <w:pPr>
              <w:jc w:val="center"/>
            </w:pPr>
            <w:r/>
            <w:r>
              <w:rPr>
                <w:rFonts w:ascii="宋体" w:hAnsi="宋体" w:eastAsia="宋体"/>
                <w:b w:val="0"/>
                <w:sz w:val="18"/>
              </w:rPr>
              <w:t>0.141</w:t>
            </w:r>
          </w:p>
        </w:tc>
        <w:tc>
          <w:tcPr>
            <w:tcW w:type="dxa" w:w="2161"/>
          </w:tcPr>
          <w:p>
            <w:pPr>
              <w:jc w:val="center"/>
            </w:pPr>
            <w:r/>
            <w:r>
              <w:rPr>
                <w:rFonts w:ascii="宋体" w:hAnsi="宋体" w:eastAsia="宋体"/>
                <w:b w:val="0"/>
                <w:sz w:val="18"/>
              </w:rPr>
              <w:t>不显著</w:t>
            </w:r>
          </w:p>
        </w:tc>
      </w:tr>
      <w:tr>
        <w:tc>
          <w:tcPr>
            <w:tcW w:type="dxa" w:w="2161"/>
          </w:tcPr>
          <w:p>
            <w:pPr>
              <w:jc w:val="center"/>
            </w:pPr>
            <w:r/>
            <w:r>
              <w:rPr>
                <w:rFonts w:ascii="宋体" w:hAnsi="宋体" w:eastAsia="宋体"/>
                <w:b w:val="0"/>
                <w:sz w:val="18"/>
              </w:rPr>
              <w:t>月地支（测试集）</w:t>
            </w:r>
          </w:p>
        </w:tc>
        <w:tc>
          <w:tcPr>
            <w:tcW w:type="dxa" w:w="2161"/>
          </w:tcPr>
          <w:p>
            <w:pPr>
              <w:jc w:val="center"/>
            </w:pPr>
            <w:r/>
            <w:r>
              <w:rPr>
                <w:rFonts w:ascii="宋体" w:hAnsi="宋体" w:eastAsia="宋体"/>
                <w:b w:val="0"/>
                <w:sz w:val="18"/>
              </w:rPr>
              <w:t>5.15</w:t>
            </w:r>
          </w:p>
        </w:tc>
        <w:tc>
          <w:tcPr>
            <w:tcW w:type="dxa" w:w="2161"/>
          </w:tcPr>
          <w:p>
            <w:pPr>
              <w:jc w:val="center"/>
            </w:pPr>
            <w:r/>
            <w:r>
              <w:rPr>
                <w:rFonts w:ascii="宋体" w:hAnsi="宋体" w:eastAsia="宋体"/>
                <w:b w:val="0"/>
                <w:sz w:val="18"/>
              </w:rPr>
              <w:t>0.272</w:t>
            </w:r>
          </w:p>
        </w:tc>
        <w:tc>
          <w:tcPr>
            <w:tcW w:type="dxa" w:w="2161"/>
          </w:tcPr>
          <w:p>
            <w:pPr>
              <w:jc w:val="center"/>
            </w:pPr>
            <w:r/>
            <w:r>
              <w:rPr>
                <w:rFonts w:ascii="宋体" w:hAnsi="宋体" w:eastAsia="宋体"/>
                <w:b w:val="0"/>
                <w:sz w:val="18"/>
              </w:rPr>
              <w:t>不显著</w:t>
            </w:r>
          </w:p>
        </w:tc>
      </w:tr>
    </w:tbl>
    <w:p>
      <w:pPr>
        <w:spacing w:line="360" w:lineRule="auto"/>
      </w:pPr>
      <w:r/>
    </w:p>
    <w:p>
      <w:pPr>
        <w:jc w:val="center"/>
      </w:pPr>
      <w:r>
        <w:drawing>
          <wp:inline xmlns:a="http://schemas.openxmlformats.org/drawingml/2006/main" xmlns:pic="http://schemas.openxmlformats.org/drawingml/2006/picture">
            <wp:extent cx="5029200" cy="2413869"/>
            <wp:docPr id="3" name="Picture 3"/>
            <wp:cNvGraphicFramePr>
              <a:graphicFrameLocks noChangeAspect="1"/>
            </wp:cNvGraphicFramePr>
            <a:graphic>
              <a:graphicData uri="http://schemas.openxmlformats.org/drawingml/2006/picture">
                <pic:pic>
                  <pic:nvPicPr>
                    <pic:cNvPr id="0" name="fig3_monthly_train_test.png"/>
                    <pic:cNvPicPr/>
                  </pic:nvPicPr>
                  <pic:blipFill>
                    <a:blip r:embed="rId11"/>
                    <a:stretch>
                      <a:fillRect/>
                    </a:stretch>
                  </pic:blipFill>
                  <pic:spPr>
                    <a:xfrm>
                      <a:off x="0" y="0"/>
                      <a:ext cx="5029200" cy="2413869"/>
                    </a:xfrm>
                    <a:prstGeom prst="rect"/>
                  </pic:spPr>
                </pic:pic>
              </a:graphicData>
            </a:graphic>
          </wp:inline>
        </w:drawing>
      </w:r>
    </w:p>
    <w:p>
      <w:pPr>
        <w:jc w:val="center"/>
      </w:pPr>
      <w:r>
        <w:rPr>
          <w:color w:val="808080"/>
          <w:sz w:val="18"/>
        </w:rPr>
        <w:t>图3  月收益率训练集vs测试集对比。红色"反转"标记表示方向不一致的组合。</w:t>
      </w:r>
    </w:p>
    <w:p>
      <w:pPr>
        <w:pStyle w:val="Heading2"/>
      </w:pPr>
      <w:r>
        <w:t>3.4  混杂效应剥离——五行只是日历效应的"华丽外衣"</w:t>
      </w:r>
    </w:p>
    <w:p>
      <w:pPr>
        <w:spacing w:line="360" w:lineRule="auto"/>
        <w:ind w:firstLine="480"/>
      </w:pPr>
      <w:r>
        <w:t>为检验五行是否只是阳历月份的代理变量，构建了三组OLS回归模型，标准误采用Newey-West[4]方法进行异方差和自相关一致性修正。结果见表4。</w:t>
      </w:r>
    </w:p>
    <w:p>
      <w:pPr>
        <w:spacing w:line="360" w:lineRule="auto"/>
        <w:jc w:val="center"/>
      </w:pPr>
      <w:r>
        <w:rPr>
          <w:b/>
          <w:sz w:val="20"/>
        </w:rPr>
        <w:t>表4  Newey-West回归结果：逐次加入控制变量</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18"/>
              </w:rPr>
              <w:t>模型设定</w:t>
            </w:r>
          </w:p>
        </w:tc>
        <w:tc>
          <w:tcPr>
            <w:tcW w:type="dxa" w:w="2161"/>
            <w:shd w:fill="D9E2F3"/>
          </w:tcPr>
          <w:p>
            <w:pPr>
              <w:jc w:val="center"/>
            </w:pPr>
            <w:r/>
            <w:r>
              <w:rPr>
                <w:rFonts w:ascii="宋体" w:hAnsi="宋体" w:eastAsia="宋体"/>
                <w:b/>
                <w:sz w:val="18"/>
              </w:rPr>
              <w:t>R²</w:t>
            </w:r>
          </w:p>
        </w:tc>
        <w:tc>
          <w:tcPr>
            <w:tcW w:type="dxa" w:w="2161"/>
            <w:shd w:fill="D9E2F3"/>
          </w:tcPr>
          <w:p>
            <w:pPr>
              <w:jc w:val="center"/>
            </w:pPr>
            <w:r/>
            <w:r>
              <w:rPr>
                <w:rFonts w:ascii="宋体" w:hAnsi="宋体" w:eastAsia="宋体"/>
                <w:b/>
                <w:sz w:val="18"/>
              </w:rPr>
              <w:t>F检验p值</w:t>
            </w:r>
          </w:p>
        </w:tc>
        <w:tc>
          <w:tcPr>
            <w:tcW w:type="dxa" w:w="2161"/>
            <w:shd w:fill="D9E2F3"/>
          </w:tcPr>
          <w:p>
            <w:pPr>
              <w:jc w:val="center"/>
            </w:pPr>
            <w:r/>
            <w:r>
              <w:rPr>
                <w:rFonts w:ascii="宋体" w:hAnsi="宋体" w:eastAsia="宋体"/>
                <w:b/>
                <w:sz w:val="18"/>
              </w:rPr>
              <w:t>五行变量显著性</w:t>
            </w:r>
          </w:p>
        </w:tc>
      </w:tr>
      <w:tr>
        <w:tc>
          <w:tcPr>
            <w:tcW w:type="dxa" w:w="2161"/>
          </w:tcPr>
          <w:p>
            <w:pPr>
              <w:jc w:val="center"/>
            </w:pPr>
            <w:r/>
            <w:r>
              <w:rPr>
                <w:rFonts w:ascii="宋体" w:hAnsi="宋体" w:eastAsia="宋体"/>
                <w:b w:val="0"/>
                <w:sz w:val="18"/>
              </w:rPr>
              <w:t>仅天干五行虚拟变量</w:t>
            </w:r>
          </w:p>
        </w:tc>
        <w:tc>
          <w:tcPr>
            <w:tcW w:type="dxa" w:w="2161"/>
          </w:tcPr>
          <w:p>
            <w:pPr>
              <w:jc w:val="center"/>
            </w:pPr>
            <w:r/>
            <w:r>
              <w:rPr>
                <w:rFonts w:ascii="宋体" w:hAnsi="宋体" w:eastAsia="宋体"/>
                <w:b w:val="0"/>
                <w:sz w:val="18"/>
              </w:rPr>
              <w:t>0.031</w:t>
            </w:r>
          </w:p>
        </w:tc>
        <w:tc>
          <w:tcPr>
            <w:tcW w:type="dxa" w:w="2161"/>
          </w:tcPr>
          <w:p>
            <w:pPr>
              <w:jc w:val="center"/>
            </w:pPr>
            <w:r/>
            <w:r>
              <w:rPr>
                <w:rFonts w:ascii="宋体" w:hAnsi="宋体" w:eastAsia="宋体"/>
                <w:b w:val="0"/>
                <w:sz w:val="18"/>
              </w:rPr>
              <w:t>0.206</w:t>
            </w:r>
          </w:p>
        </w:tc>
        <w:tc>
          <w:tcPr>
            <w:tcW w:type="dxa" w:w="2161"/>
          </w:tcPr>
          <w:p>
            <w:pPr>
              <w:jc w:val="center"/>
            </w:pPr>
            <w:r/>
            <w:r>
              <w:rPr>
                <w:rFonts w:ascii="宋体" w:hAnsi="宋体" w:eastAsia="宋体"/>
                <w:b w:val="0"/>
                <w:sz w:val="18"/>
              </w:rPr>
              <w:t>—（整体不显著）</w:t>
            </w:r>
          </w:p>
        </w:tc>
      </w:tr>
      <w:tr>
        <w:tc>
          <w:tcPr>
            <w:tcW w:type="dxa" w:w="2161"/>
          </w:tcPr>
          <w:p>
            <w:pPr>
              <w:jc w:val="center"/>
            </w:pPr>
            <w:r/>
            <w:r>
              <w:rPr>
                <w:rFonts w:ascii="宋体" w:hAnsi="宋体" w:eastAsia="宋体"/>
                <w:b w:val="0"/>
                <w:sz w:val="18"/>
              </w:rPr>
              <w:t>+ 阳历月份控制</w:t>
            </w:r>
          </w:p>
        </w:tc>
        <w:tc>
          <w:tcPr>
            <w:tcW w:type="dxa" w:w="2161"/>
          </w:tcPr>
          <w:p>
            <w:pPr>
              <w:jc w:val="center"/>
            </w:pPr>
            <w:r/>
            <w:r>
              <w:rPr>
                <w:rFonts w:ascii="宋体" w:hAnsi="宋体" w:eastAsia="宋体"/>
                <w:b w:val="0"/>
                <w:sz w:val="18"/>
              </w:rPr>
              <w:t>0.095</w:t>
            </w:r>
          </w:p>
        </w:tc>
        <w:tc>
          <w:tcPr>
            <w:tcW w:type="dxa" w:w="2161"/>
          </w:tcPr>
          <w:p>
            <w:pPr>
              <w:jc w:val="center"/>
            </w:pPr>
            <w:r/>
            <w:r>
              <w:rPr>
                <w:rFonts w:ascii="宋体" w:hAnsi="宋体" w:eastAsia="宋体"/>
                <w:b w:val="0"/>
                <w:sz w:val="18"/>
              </w:rPr>
              <w:t>0.038</w:t>
            </w:r>
          </w:p>
        </w:tc>
        <w:tc>
          <w:tcPr>
            <w:tcW w:type="dxa" w:w="2161"/>
          </w:tcPr>
          <w:p>
            <w:pPr>
              <w:jc w:val="center"/>
            </w:pPr>
            <w:r/>
            <w:r>
              <w:rPr>
                <w:rFonts w:ascii="宋体" w:hAnsi="宋体" w:eastAsia="宋体"/>
                <w:b w:val="0"/>
                <w:sz w:val="18"/>
              </w:rPr>
              <w:t>全部不显著</w:t>
            </w:r>
          </w:p>
        </w:tc>
      </w:tr>
      <w:tr>
        <w:tc>
          <w:tcPr>
            <w:tcW w:type="dxa" w:w="2161"/>
          </w:tcPr>
          <w:p>
            <w:pPr>
              <w:jc w:val="center"/>
            </w:pPr>
            <w:r/>
            <w:r>
              <w:rPr>
                <w:rFonts w:ascii="宋体" w:hAnsi="宋体" w:eastAsia="宋体"/>
                <w:b w:val="0"/>
                <w:sz w:val="18"/>
              </w:rPr>
              <w:t>+ 年份固定效应</w:t>
            </w:r>
          </w:p>
        </w:tc>
        <w:tc>
          <w:tcPr>
            <w:tcW w:type="dxa" w:w="2161"/>
          </w:tcPr>
          <w:p>
            <w:pPr>
              <w:jc w:val="center"/>
            </w:pPr>
            <w:r/>
            <w:r>
              <w:rPr>
                <w:rFonts w:ascii="宋体" w:hAnsi="宋体" w:eastAsia="宋体"/>
                <w:b w:val="0"/>
                <w:sz w:val="18"/>
              </w:rPr>
              <w:t>0.210</w:t>
            </w:r>
          </w:p>
        </w:tc>
        <w:tc>
          <w:tcPr>
            <w:tcW w:type="dxa" w:w="2161"/>
          </w:tcPr>
          <w:p>
            <w:pPr>
              <w:jc w:val="center"/>
            </w:pPr>
            <w:r/>
            <w:r>
              <w:rPr>
                <w:rFonts w:ascii="宋体" w:hAnsi="宋体" w:eastAsia="宋体"/>
                <w:b w:val="0"/>
                <w:sz w:val="18"/>
              </w:rPr>
              <w:t>&lt;0.001</w:t>
            </w:r>
          </w:p>
        </w:tc>
        <w:tc>
          <w:tcPr>
            <w:tcW w:type="dxa" w:w="2161"/>
          </w:tcPr>
          <w:p>
            <w:pPr>
              <w:jc w:val="center"/>
            </w:pPr>
            <w:r/>
            <w:r>
              <w:rPr>
                <w:rFonts w:ascii="宋体" w:hAnsi="宋体" w:eastAsia="宋体"/>
                <w:b w:val="0"/>
                <w:sz w:val="18"/>
              </w:rPr>
              <w:t>全部不显著</w:t>
            </w:r>
          </w:p>
        </w:tc>
      </w:tr>
    </w:tbl>
    <w:p>
      <w:pPr>
        <w:spacing w:line="360" w:lineRule="auto"/>
      </w:pPr>
      <w:r/>
    </w:p>
    <w:p>
      <w:pPr>
        <w:spacing w:line="360" w:lineRule="auto"/>
        <w:ind w:firstLine="480"/>
      </w:pPr>
      <w:r>
        <w:t>结果显示：仅包含五行变量时模型整体不显著（F检验p=0.206，R²仅0.031），说明五行变量本身几乎不解释任何收益变化。加入阳历月份控制后，F检验固然变得显著（p=0.038），这正是日历效应（即薛继锐、顾岚[2]及郑雅芹[6]所研究的现象）的证据。但更为关键的是，五行变量的系数全部不显著——真正驱动收益差异的是阳历月份的季节性，而非五行本身。加入年份固定效应后R²提升至0.210，但五行变量仍无显著贡献，说明跨年度的趋势也不能由五行解释。</w:t>
      </w:r>
    </w:p>
    <w:p>
      <w:pPr>
        <w:spacing w:line="360" w:lineRule="auto"/>
        <w:ind w:firstLine="480"/>
      </w:pPr>
      <w:r>
        <w:t>这一结果在直觉上也是必然的：天干地支本质上是历法系统，与阳历月份天然相关。例如，"金"对应的庚辛天干主要出现在秋季（阳历8-9月），而"火"对应的丙丁天干主要出现在夏季（阳历5-6月）。在古今月份基本对齐的前提下，任何"显著的五行效应"都不过是不同月份收益差异的重新编码。这一结论呼应了日历效应文献[1][2][8]的核心发现：股票收益的季节性主要源于宏观经济周期、政策节奏和投资者行为等真实因素，而非历法符号本身的玄学属性。</w:t>
      </w:r>
    </w:p>
    <w:p>
      <w:pPr>
        <w:pStyle w:val="Heading2"/>
      </w:pPr>
      <w:r>
        <w:t>3.5  稳健性检验</w:t>
      </w:r>
    </w:p>
    <w:p>
      <w:pPr>
        <w:spacing w:line="360" w:lineRule="auto"/>
        <w:ind w:firstLine="480"/>
      </w:pPr>
      <w:r>
        <w:t>对日收益率做1%和99%分位数缩尾处理后重新执行K-W检验，日天干统计量H=0.95（p=0.917），与原始结果完全一致。缩尾处理不改变任何定论，说明结论不受极端值的驱动。</w:t>
      </w:r>
    </w:p>
    <w:p>
      <w:pPr>
        <w:spacing w:line="360" w:lineRule="auto"/>
        <w:ind w:firstLine="480"/>
      </w:pPr>
      <w:r>
        <w:t>全部9个假设检验的p值汇总如图4。图中红色虚线为α=0.05显著性阈值，9个条形无一超越该线。即使在未做任何多重比较校正的宽松条件下，也没有任何一个检验能达到显著。若采用Harvey、Liu与Zhu[10]建议的更为严格的p值阈值（p&lt;0.003），结论更加稳固。</w:t>
      </w:r>
    </w:p>
    <w:p>
      <w:pPr>
        <w:jc w:val="center"/>
      </w:pPr>
      <w:r>
        <w:drawing>
          <wp:inline xmlns:a="http://schemas.openxmlformats.org/drawingml/2006/main" xmlns:pic="http://schemas.openxmlformats.org/drawingml/2006/picture">
            <wp:extent cx="4572000" cy="3818119"/>
            <wp:docPr id="4" name="Picture 4"/>
            <wp:cNvGraphicFramePr>
              <a:graphicFrameLocks noChangeAspect="1"/>
            </wp:cNvGraphicFramePr>
            <a:graphic>
              <a:graphicData uri="http://schemas.openxmlformats.org/drawingml/2006/picture">
                <pic:pic>
                  <pic:nvPicPr>
                    <pic:cNvPr id="0" name="fig4_summary_all.png"/>
                    <pic:cNvPicPr/>
                  </pic:nvPicPr>
                  <pic:blipFill>
                    <a:blip r:embed="rId12"/>
                    <a:stretch>
                      <a:fillRect/>
                    </a:stretch>
                  </pic:blipFill>
                  <pic:spPr>
                    <a:xfrm>
                      <a:off x="0" y="0"/>
                      <a:ext cx="4572000" cy="3818119"/>
                    </a:xfrm>
                    <a:prstGeom prst="rect"/>
                  </pic:spPr>
                </pic:pic>
              </a:graphicData>
            </a:graphic>
          </wp:inline>
        </w:drawing>
      </w:r>
    </w:p>
    <w:p>
      <w:pPr>
        <w:jc w:val="center"/>
      </w:pPr>
      <w:r>
        <w:rPr>
          <w:color w:val="808080"/>
          <w:sz w:val="18"/>
        </w:rPr>
        <w:t>图4  全部9个假设检验的p值条形图。红色虚线为α=0.05显著性阈值。</w:t>
      </w:r>
    </w:p>
    <w:p>
      <w:pPr>
        <w:pStyle w:val="Heading1"/>
      </w:pPr>
      <w:r>
        <w:t>4  讨论</w:t>
      </w:r>
    </w:p>
    <w:p>
      <w:pPr>
        <w:spacing w:line="360" w:lineRule="auto"/>
        <w:ind w:firstLine="480"/>
      </w:pPr>
      <w:r>
        <w:t>为什么很多投资者"感觉"五行有用？本文认为至少存在三种认知偏误的叠加：</w:t>
      </w:r>
    </w:p>
    <w:p>
      <w:pPr>
        <w:spacing w:line="360" w:lineRule="auto"/>
        <w:ind w:firstLine="480"/>
      </w:pPr>
      <w:r>
        <w:t>第一，日历效应混淆。如3.4节所示，天干地支在本质上是历法系统，不同五行天然对应不同阳历月份。例如，"金"多出现在阳历8-9月的秋季——A股在政策密集期往往表现较好；"火"多出现在5-6月——历史上常有利空出尽的季节性调整。当投资者在未控制月份的情况下比较五行收益率时，他们看到的实际上是不同季节的股市表现差异，而非五行本身的预测力。这是一种"时间上的幸存者偏差"。</w:t>
      </w:r>
    </w:p>
    <w:p>
      <w:pPr>
        <w:spacing w:line="360" w:lineRule="auto"/>
        <w:ind w:firstLine="480"/>
      </w:pPr>
      <w:r>
        <w:t>第二，多重比较偏误。在日、周、月三个频率×天干、地支两个维度×五个五行组的组合空间中，可供"挖掘"的统计量多达数十个。仅5个组的成对比较就有10种组合，而本文的滚动窗口框架实质上对数以百计的检验窗口进行了搜索。在如此庞大的搜索空间中，找到某个"显著"的局部规律几乎是必然的——即使数据完全是白噪声。本文之所以未发现任何显著结果，恰恰是因为严格遵循了"训练集探索→测试集验证"的样本外逻辑，而非在全部数据上进行事后解释。</w:t>
      </w:r>
    </w:p>
    <w:p>
      <w:pPr>
        <w:spacing w:line="360" w:lineRule="auto"/>
        <w:ind w:firstLine="480"/>
      </w:pPr>
      <w:r>
        <w:t>第三，叙事偏好。人类天生倾向于在随机性中寻找模式[9]。"土生金，银行属土"的叙事比"这是一组随机噪声"更容易被记住和传播。当投资者在某个"金日"看到银行股上涨时，他们会记住这个巧合；而在"水日"银行股同样上涨时，他们并不会意识到这推翻了自己的理论。这种选择性记忆在缺乏统计框架的直觉判断中几乎不可克服。</w:t>
      </w:r>
    </w:p>
    <w:p>
      <w:pPr>
        <w:spacing w:line="360" w:lineRule="auto"/>
        <w:ind w:firstLine="480"/>
      </w:pPr>
      <w:r>
        <w:t>本研究的一项核心学术价值在于：它实证展示了量化金融中屡见不鲜却常被忽略的道理——如果不做样本外检验，任何历史数据都能"找到"某种模式。本文的训练集探索阶段挖掘了数十种可能的五行组合规律，最终固定的"土&gt;火"假设在测试集中灰飞烟灭。这个教训不仅适用于五行择时，也是所有技术分析和模式识别策略的共同命门。从Fama[5]的有效市场假说到Lo与MacKinlay[9]的市场异象研究，金融学术史上已有太多"看起来很美"的策略在样本外验证中被证伪。</w:t>
      </w:r>
    </w:p>
    <w:p>
      <w:pPr>
        <w:spacing w:line="360" w:lineRule="auto"/>
        <w:ind w:firstLine="480"/>
      </w:pPr>
      <w:r>
        <w:t>本研究的局限性包括：（1）仅分析了农业银行单只股票，结论向其他行业和个股的推广需要进一步验证；（2）使用了最基本的收益率指标，未考虑风险调整后的表现（如夏普比率、Alpha等）；（3）对天干地支的五行映射采用了最主流的分类方法，其他流派（如纳音五行）的映射规则可能产生不同结果。然而，考虑到本文在9个检验中均未发现任何接近显著的结果，五行映射规则的微调不太可能改变总体结论。</w:t>
      </w:r>
    </w:p>
    <w:p>
      <w:pPr>
        <w:pStyle w:val="Heading1"/>
      </w:pPr>
      <w:r>
        <w:t>5  结论</w:t>
      </w:r>
    </w:p>
    <w:p>
      <w:pPr>
        <w:spacing w:line="360" w:lineRule="auto"/>
        <w:ind w:firstLine="480"/>
      </w:pPr>
      <w:r>
        <w:t>基于农业银行16年、3,833个交易日的完整数据，本研究经过日-周-月三层频率的统计检验、严格的样本外验证（70/30时间分割）、混杂因素剥离（阳历月份控制）和稳健性检验（缩尾处理），得出明确结论：天干地支五行对农业银行股价不具有统计上显著的预测能力。该结论在多个时间尺度和检验方法上高度一致，不因参数选择或样本分割方式而变化。</w:t>
      </w:r>
    </w:p>
    <w:p>
      <w:pPr>
        <w:ind w:firstLine="480"/>
      </w:pPr>
      <w:r>
        <w:rPr>
          <w:b/>
        </w:rPr>
        <w:t>在统计学上，"没有证据"不等于"证据不存在"。</w:t>
      </w:r>
      <w:r>
        <w:t>但16年的数据、9个严格假设检验、以及在训练集-测试集框架下确认的过拟合案例，足以让我们有相当的把握做出上述判断。天干地支五行理论是中国传统文化中的宝贵遗产，在哲学、医学、历法等领域具有不可替代的价值；但它并不是一个有效的股票市场预测工具——至少不是在农业银行这只股票上。如果一定要在传统智慧与统计证据之间做出选择，数据已经给出了明确的答案。</w:t>
      </w:r>
    </w:p>
    <w:p>
      <w:r>
        <w:br w:type="page"/>
      </w:r>
    </w:p>
    <w:p>
      <w:pPr>
        <w:pStyle w:val="Heading1"/>
      </w:pPr>
      <w:r>
        <w:t>参考文献</w:t>
      </w:r>
    </w:p>
    <w:p>
      <w:pPr>
        <w:spacing w:after="60" w:line="312" w:lineRule="auto"/>
        <w:ind w:firstLine="0"/>
      </w:pPr>
      <w:r>
        <w:rPr>
          <w:rFonts w:ascii="Times New Roman" w:hAnsi="Times New Roman"/>
          <w:sz w:val="18"/>
        </w:rPr>
        <w:t>[1] Cross, F. (1973). The behavior of stock prices on Fridays and Mondays. Financial Analysts Journal, 29(6), 67-69.</w:t>
      </w:r>
    </w:p>
    <w:p>
      <w:pPr>
        <w:spacing w:after="60" w:line="312" w:lineRule="auto"/>
        <w:ind w:firstLine="0"/>
      </w:pPr>
      <w:r>
        <w:rPr>
          <w:rFonts w:ascii="Times New Roman" w:hAnsi="Times New Roman"/>
          <w:sz w:val="18"/>
        </w:rPr>
        <w:t>[2] 薛继锐, 顾岚. (2000). 中国股票市场的日历效应分析. 数理统计与管理, 19(2), 10-15.</w:t>
      </w:r>
    </w:p>
    <w:p>
      <w:pPr>
        <w:spacing w:after="60" w:line="312" w:lineRule="auto"/>
        <w:ind w:firstLine="0"/>
      </w:pPr>
      <w:r>
        <w:rPr>
          <w:rFonts w:ascii="Times New Roman" w:hAnsi="Times New Roman"/>
          <w:sz w:val="18"/>
        </w:rPr>
        <w:t>[3] Kruskal, W.H. &amp; Wallis, W.A. (1952). Use of ranks in one-criterion variance analysis. Journal of the American Statistical Association, 47(260), 583-621.</w:t>
      </w:r>
    </w:p>
    <w:p>
      <w:pPr>
        <w:spacing w:after="60" w:line="312" w:lineRule="auto"/>
        <w:ind w:firstLine="0"/>
      </w:pPr>
      <w:r>
        <w:rPr>
          <w:rFonts w:ascii="Times New Roman" w:hAnsi="Times New Roman"/>
          <w:sz w:val="18"/>
        </w:rPr>
        <w:t>[4] Newey, W.K. &amp; West, K.D. (1987). A simple, positive semi-definite, heteroskedasticity and autocorrelation consistent covariance matrix. Econometrica, 55(3), 703-708.</w:t>
      </w:r>
    </w:p>
    <w:p>
      <w:pPr>
        <w:spacing w:after="60" w:line="312" w:lineRule="auto"/>
        <w:ind w:firstLine="0"/>
      </w:pPr>
      <w:r>
        <w:rPr>
          <w:rFonts w:ascii="Times New Roman" w:hAnsi="Times New Roman"/>
          <w:sz w:val="18"/>
        </w:rPr>
        <w:t>[5] Fama, E.F. (1970). Efficient capital markets: A review of theory and empirical work. The Journal of Finance, 25(2), 383-417.</w:t>
      </w:r>
    </w:p>
    <w:p>
      <w:pPr>
        <w:spacing w:after="60" w:line="312" w:lineRule="auto"/>
        <w:ind w:firstLine="0"/>
      </w:pPr>
      <w:r>
        <w:rPr>
          <w:rFonts w:ascii="Times New Roman" w:hAnsi="Times New Roman"/>
          <w:sz w:val="18"/>
        </w:rPr>
        <w:t>[6] 郑雅芹. (2019). 不同市态下中国股市的日历效应研究——基于EGARCH-M模型实证分析 [硕士学位论文]. 上海外国语大学.</w:t>
      </w:r>
    </w:p>
    <w:p>
      <w:pPr>
        <w:spacing w:after="60" w:line="312" w:lineRule="auto"/>
        <w:ind w:firstLine="0"/>
      </w:pPr>
      <w:r>
        <w:rPr>
          <w:rFonts w:ascii="Times New Roman" w:hAnsi="Times New Roman"/>
          <w:sz w:val="18"/>
        </w:rPr>
        <w:t>[7] 安信证券. (2021). 天干地支在择时中的应用初探. 证券研究报告.</w:t>
      </w:r>
    </w:p>
    <w:p>
      <w:pPr>
        <w:spacing w:after="60" w:line="312" w:lineRule="auto"/>
        <w:ind w:firstLine="0"/>
      </w:pPr>
      <w:r>
        <w:rPr>
          <w:rFonts w:ascii="Times New Roman" w:hAnsi="Times New Roman"/>
          <w:sz w:val="18"/>
        </w:rPr>
        <w:t>[8] 基于日历效应的行业配置策略研究 [硕士学位论文]. 中央民族大学, 2024.</w:t>
      </w:r>
    </w:p>
    <w:p>
      <w:pPr>
        <w:spacing w:after="60" w:line="312" w:lineRule="auto"/>
        <w:ind w:firstLine="0"/>
      </w:pPr>
      <w:r>
        <w:rPr>
          <w:rFonts w:ascii="Times New Roman" w:hAnsi="Times New Roman"/>
          <w:sz w:val="18"/>
        </w:rPr>
        <w:t>[9] Lo, A.W. &amp; MacKinlay, A.C. (1999). A Non-Random Walk Down Wall Street. Princeton University Press.</w:t>
      </w:r>
    </w:p>
    <w:p>
      <w:pPr>
        <w:spacing w:after="60" w:line="312" w:lineRule="auto"/>
        <w:ind w:firstLine="0"/>
      </w:pPr>
      <w:r>
        <w:rPr>
          <w:rFonts w:ascii="Times New Roman" w:hAnsi="Times New Roman"/>
          <w:sz w:val="18"/>
        </w:rPr>
        <w:t>[10] Harvey, C.R., Liu, Y. &amp; Zhu, H. (2016). … and the cross-section of expected returns. The Review of Financial Studies, 29(1), 5-68.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