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A0AF22">
      <w:pPr>
        <w:jc w:val="right"/>
        <w:rPr>
          <w:rFonts w:ascii="宋体" w:hAnsi="宋体"/>
        </w:rPr>
      </w:pPr>
      <w:bookmarkStart w:id="0" w:name="_Hlk80623799"/>
      <w:r>
        <w:rPr>
          <w:rFonts w:ascii="微软雅黑" w:hAnsi="微软雅黑"/>
          <w:b/>
          <w:kern w:val="11"/>
          <w:szCs w:val="18"/>
        </w:rPr>
        <w:drawing>
          <wp:inline distT="0" distB="0" distL="0" distR="0">
            <wp:extent cx="2628265" cy="273050"/>
            <wp:effectExtent l="0" t="0" r="13335" b="6350"/>
            <wp:docPr id="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519" cy="27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0B70A">
      <w:pPr>
        <w:rPr>
          <w:rFonts w:ascii="宋体" w:hAnsi="宋体"/>
        </w:rPr>
      </w:pPr>
    </w:p>
    <w:p w14:paraId="20372180">
      <w:pPr>
        <w:rPr>
          <w:rFonts w:ascii="宋体" w:hAnsi="宋体"/>
        </w:rPr>
      </w:pPr>
    </w:p>
    <w:p w14:paraId="715519F8">
      <w:pPr>
        <w:rPr>
          <w:rFonts w:ascii="宋体" w:hAnsi="宋体" w:cs="Arial"/>
          <w:lang w:eastAsia="en-US"/>
        </w:rPr>
      </w:pPr>
    </w:p>
    <w:p w14:paraId="6B37C7BD">
      <w:pPr>
        <w:rPr>
          <w:rFonts w:ascii="宋体" w:hAnsi="宋体" w:cs="Arial"/>
          <w:lang w:eastAsia="en-US"/>
        </w:rPr>
      </w:pPr>
    </w:p>
    <w:p w14:paraId="57DE5ECB">
      <w:pPr>
        <w:rPr>
          <w:rFonts w:ascii="宋体" w:hAnsi="宋体" w:cs="Arial"/>
          <w:sz w:val="15"/>
          <w:szCs w:val="15"/>
          <w:lang w:eastAsia="en-US"/>
        </w:rPr>
      </w:pPr>
    </w:p>
    <w:p w14:paraId="7D69379F">
      <w:pPr>
        <w:rPr>
          <w:rFonts w:ascii="宋体" w:hAnsi="宋体" w:cs="Arial"/>
          <w:lang w:eastAsia="en-US"/>
        </w:rPr>
      </w:pPr>
    </w:p>
    <w:p w14:paraId="1910A132">
      <w:pPr>
        <w:pStyle w:val="54"/>
        <w:widowControl w:val="0"/>
        <w:pBdr>
          <w:top w:val="single" w:color="auto" w:sz="18" w:space="1"/>
        </w:pBdr>
        <w:tabs>
          <w:tab w:val="right" w:pos="9747"/>
        </w:tabs>
        <w:jc w:val="right"/>
        <w:rPr>
          <w:rFonts w:ascii="宋体" w:hAnsi="宋体" w:cs="Arial"/>
        </w:rPr>
      </w:pPr>
      <w:r>
        <w:rPr>
          <w:rFonts w:hint="eastAsia" w:ascii="宋体" w:hAnsi="宋体" w:cs="Arial"/>
          <w:lang w:val="en-US"/>
        </w:rPr>
        <w:t>广汽集团零采一体化项目</w:t>
      </w:r>
      <w:bookmarkEnd w:id="0"/>
      <w:r>
        <w:rPr>
          <w:rFonts w:hint="eastAsia" w:ascii="宋体" w:hAnsi="宋体" w:cs="Arial"/>
          <w:lang w:val="en-US" w:eastAsia="zh-CN"/>
        </w:rPr>
        <w:t>市况联动——供应商报价 &amp; 联动定价</w:t>
      </w:r>
      <w:r>
        <w:rPr>
          <w:rFonts w:hint="eastAsia" w:ascii="宋体" w:hAnsi="宋体" w:cs="Arial"/>
          <w:lang w:val="en-US"/>
        </w:rPr>
        <w:t>功能模块</w:t>
      </w:r>
      <w:r>
        <w:rPr>
          <w:rFonts w:hint="eastAsia" w:ascii="宋体" w:hAnsi="宋体" w:cs="Arial"/>
          <w:lang w:val="en-US" w:eastAsia="zh-CN"/>
        </w:rPr>
        <w:t>优化</w:t>
      </w:r>
      <w:bookmarkStart w:id="25" w:name="_GoBack"/>
      <w:bookmarkEnd w:id="25"/>
      <w:r>
        <w:rPr>
          <w:rFonts w:hint="eastAsia" w:ascii="宋体" w:hAnsi="宋体" w:cs="Arial"/>
        </w:rPr>
        <w:t xml:space="preserve"> </w:t>
      </w:r>
      <w:r>
        <w:rPr>
          <w:rFonts w:ascii="宋体" w:hAnsi="宋体" w:cs="Arial"/>
        </w:rPr>
        <w:t xml:space="preserve">  </w:t>
      </w:r>
    </w:p>
    <w:p w14:paraId="48E73A86">
      <w:pPr>
        <w:pStyle w:val="54"/>
        <w:widowControl w:val="0"/>
        <w:tabs>
          <w:tab w:val="left" w:pos="3227"/>
        </w:tabs>
        <w:jc w:val="right"/>
        <w:rPr>
          <w:rFonts w:ascii="宋体" w:hAnsi="宋体" w:cs="Arial"/>
        </w:rPr>
      </w:pPr>
      <w:r>
        <w:rPr>
          <w:rFonts w:ascii="宋体" w:hAnsi="宋体" w:cs="Arial"/>
        </w:rPr>
        <w:tab/>
      </w:r>
    </w:p>
    <w:p w14:paraId="66F21F86">
      <w:pPr>
        <w:jc w:val="right"/>
        <w:rPr>
          <w:rFonts w:hint="default" w:ascii="宋体" w:hAnsi="宋体" w:eastAsia="宋体" w:cs="Arial"/>
          <w:b/>
          <w:sz w:val="36"/>
          <w:szCs w:val="36"/>
          <w:lang w:val="en-US" w:eastAsia="zh-CN"/>
        </w:rPr>
      </w:pPr>
      <w:r>
        <w:rPr>
          <w:rFonts w:hint="eastAsia" w:ascii="宋体" w:hAnsi="宋体" w:cs="Arial"/>
          <w:b/>
          <w:sz w:val="36"/>
          <w:szCs w:val="36"/>
        </w:rPr>
        <w:t>U</w:t>
      </w:r>
      <w:r>
        <w:rPr>
          <w:rFonts w:ascii="宋体" w:hAnsi="宋体" w:cs="Arial"/>
          <w:b/>
          <w:sz w:val="36"/>
          <w:szCs w:val="36"/>
        </w:rPr>
        <w:t>AT</w:t>
      </w:r>
      <w:r>
        <w:rPr>
          <w:rFonts w:hint="eastAsia" w:ascii="宋体" w:hAnsi="宋体" w:cs="Arial"/>
          <w:b/>
          <w:sz w:val="36"/>
          <w:szCs w:val="36"/>
        </w:rPr>
        <w:t>测试用例</w:t>
      </w:r>
      <w:r>
        <w:rPr>
          <w:rFonts w:hint="eastAsia" w:ascii="宋体" w:hAnsi="宋体" w:cs="Arial"/>
          <w:b/>
          <w:sz w:val="36"/>
          <w:szCs w:val="36"/>
          <w:lang w:val="en-US" w:eastAsia="zh-CN"/>
        </w:rPr>
        <w:t>&amp;测试报告</w:t>
      </w:r>
    </w:p>
    <w:p w14:paraId="326B904C">
      <w:pPr>
        <w:pStyle w:val="24"/>
        <w:keepNext w:val="0"/>
        <w:widowControl w:val="0"/>
        <w:pBdr>
          <w:bottom w:val="single" w:color="auto" w:sz="18" w:space="12"/>
        </w:pBdr>
        <w:spacing w:line="360" w:lineRule="auto"/>
        <w:ind w:left="0"/>
        <w:jc w:val="right"/>
        <w:rPr>
          <w:rFonts w:ascii="宋体" w:hAnsi="宋体" w:eastAsia="宋体" w:cs="Arial"/>
          <w:lang w:eastAsia="zh-CN"/>
        </w:rPr>
      </w:pPr>
    </w:p>
    <w:p w14:paraId="6249BBFD">
      <w:pPr>
        <w:pStyle w:val="47"/>
        <w:rPr>
          <w:rFonts w:ascii="宋体" w:hAnsi="宋体" w:cs="Arial"/>
          <w:b/>
          <w:bCs/>
          <w:sz w:val="24"/>
          <w:szCs w:val="24"/>
        </w:rPr>
      </w:pPr>
    </w:p>
    <w:p w14:paraId="5032BB56">
      <w:pPr>
        <w:jc w:val="center"/>
        <w:rPr>
          <w:rFonts w:ascii="宋体" w:hAnsi="宋体" w:cs="Arial"/>
          <w:b/>
        </w:rPr>
      </w:pPr>
    </w:p>
    <w:p w14:paraId="24007C25">
      <w:pPr>
        <w:jc w:val="center"/>
        <w:rPr>
          <w:rFonts w:ascii="宋体" w:hAnsi="宋体" w:cs="Arial"/>
          <w:b/>
        </w:rPr>
      </w:pPr>
    </w:p>
    <w:p w14:paraId="1A02C574">
      <w:pPr>
        <w:jc w:val="center"/>
        <w:rPr>
          <w:rFonts w:ascii="宋体" w:hAnsi="宋体" w:cs="Arial"/>
          <w:b/>
        </w:rPr>
      </w:pPr>
    </w:p>
    <w:p w14:paraId="0F64D542">
      <w:pPr>
        <w:jc w:val="center"/>
        <w:rPr>
          <w:rFonts w:ascii="宋体" w:hAnsi="宋体" w:cs="Arial"/>
          <w:b/>
        </w:rPr>
      </w:pPr>
    </w:p>
    <w:p w14:paraId="35754066">
      <w:pPr>
        <w:jc w:val="center"/>
        <w:rPr>
          <w:rFonts w:ascii="宋体" w:hAnsi="宋体" w:cs="Arial"/>
          <w:b/>
        </w:rPr>
      </w:pPr>
    </w:p>
    <w:p w14:paraId="37BC54D2">
      <w:pPr>
        <w:jc w:val="center"/>
        <w:rPr>
          <w:rFonts w:ascii="宋体" w:hAnsi="宋体" w:cs="Arial"/>
          <w:b/>
        </w:rPr>
      </w:pPr>
    </w:p>
    <w:p w14:paraId="23BF3F78">
      <w:pPr>
        <w:jc w:val="center"/>
        <w:rPr>
          <w:rFonts w:ascii="宋体" w:hAnsi="宋体" w:cs="Arial"/>
          <w:b/>
        </w:rPr>
      </w:pPr>
    </w:p>
    <w:tbl>
      <w:tblPr>
        <w:tblStyle w:val="7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38"/>
        <w:gridCol w:w="7899"/>
      </w:tblGrid>
      <w:tr w14:paraId="0CD31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10" w:hRule="atLeast"/>
        </w:trPr>
        <w:tc>
          <w:tcPr>
            <w:tcW w:w="1838" w:type="dxa"/>
          </w:tcPr>
          <w:p w14:paraId="019307B2">
            <w:pPr>
              <w:jc w:val="center"/>
              <w:rPr>
                <w:rFonts w:ascii="宋体" w:hAnsi="宋体" w:cs="Arial"/>
                <w:b/>
                <w:sz w:val="32"/>
              </w:rPr>
            </w:pPr>
          </w:p>
          <w:p w14:paraId="2406C339">
            <w:pPr>
              <w:jc w:val="center"/>
              <w:rPr>
                <w:rFonts w:ascii="宋体" w:hAnsi="宋体" w:cs="Arial"/>
                <w:b/>
                <w:sz w:val="32"/>
              </w:rPr>
            </w:pPr>
          </w:p>
          <w:p w14:paraId="6373417A">
            <w:pPr>
              <w:rPr>
                <w:rFonts w:hint="eastAsia" w:ascii="宋体" w:hAnsi="宋体" w:cs="Arial"/>
                <w:b/>
                <w:sz w:val="32"/>
              </w:rPr>
            </w:pPr>
          </w:p>
          <w:p w14:paraId="2F239056">
            <w:pPr>
              <w:jc w:val="center"/>
              <w:rPr>
                <w:rFonts w:ascii="宋体" w:hAnsi="宋体" w:cs="Arial"/>
                <w:b/>
                <w:sz w:val="32"/>
              </w:rPr>
            </w:pPr>
            <w:r>
              <w:rPr>
                <w:rFonts w:hint="eastAsia" w:ascii="宋体" w:hAnsi="宋体" w:cs="Arial"/>
                <w:b/>
                <w:sz w:val="32"/>
              </w:rPr>
              <w:t>测试人</w:t>
            </w:r>
          </w:p>
          <w:p w14:paraId="1E3F75A5">
            <w:pPr>
              <w:jc w:val="center"/>
              <w:rPr>
                <w:rFonts w:hint="eastAsia" w:ascii="宋体" w:hAnsi="宋体" w:cs="Arial"/>
                <w:b/>
                <w:sz w:val="32"/>
              </w:rPr>
            </w:pPr>
            <w:r>
              <w:rPr>
                <w:rFonts w:hint="eastAsia" w:ascii="宋体" w:hAnsi="宋体" w:cs="Arial"/>
                <w:b/>
                <w:sz w:val="32"/>
              </w:rPr>
              <w:t>确认</w:t>
            </w:r>
          </w:p>
        </w:tc>
        <w:tc>
          <w:tcPr>
            <w:tcW w:w="7899" w:type="dxa"/>
          </w:tcPr>
          <w:p w14:paraId="58DE5575">
            <w:pPr>
              <w:jc w:val="center"/>
              <w:rPr>
                <w:rFonts w:ascii="宋体" w:hAnsi="宋体" w:cs="Arial"/>
                <w:b/>
              </w:rPr>
            </w:pPr>
          </w:p>
        </w:tc>
      </w:tr>
    </w:tbl>
    <w:p w14:paraId="5373C5D8">
      <w:pPr>
        <w:jc w:val="both"/>
        <w:rPr>
          <w:rFonts w:ascii="宋体" w:hAnsi="宋体" w:cs="Arial"/>
          <w:b/>
        </w:rPr>
      </w:pPr>
    </w:p>
    <w:p w14:paraId="0CF68FA5">
      <w:pPr>
        <w:pStyle w:val="144"/>
        <w:rPr>
          <w:rFonts w:ascii="宋体" w:hAnsi="宋体" w:eastAsia="宋体" w:cs="Arial"/>
          <w:lang w:eastAsia="zh-CN"/>
        </w:rPr>
        <w:sectPr>
          <w:footerReference r:id="rId5" w:type="even"/>
          <w:type w:val="oddPage"/>
          <w:pgSz w:w="11907" w:h="16840"/>
          <w:pgMar w:top="1440" w:right="1080" w:bottom="1440" w:left="1080" w:header="720" w:footer="363" w:gutter="0"/>
          <w:cols w:space="720" w:num="1"/>
          <w:titlePg/>
          <w:docGrid w:type="lines" w:linePitch="272" w:charSpace="0"/>
        </w:sectPr>
      </w:pPr>
    </w:p>
    <w:p w14:paraId="31AB22E0">
      <w:pPr>
        <w:widowControl w:val="0"/>
        <w:pBdr>
          <w:bottom w:val="single" w:color="auto" w:sz="12" w:space="1"/>
        </w:pBdr>
        <w:ind w:right="-20"/>
        <w:jc w:val="center"/>
        <w:rPr>
          <w:rFonts w:ascii="宋体" w:hAnsi="宋体" w:cs="Arial"/>
          <w:b/>
          <w:bCs/>
          <w:sz w:val="32"/>
          <w:szCs w:val="32"/>
          <w:lang w:val="en-GB"/>
        </w:rPr>
      </w:pPr>
      <w:r>
        <w:rPr>
          <w:rFonts w:ascii="宋体" w:hAnsi="宋体" w:cs="Arial"/>
          <w:b/>
          <w:bCs/>
          <w:sz w:val="32"/>
          <w:szCs w:val="32"/>
          <w:lang w:val="en-GB"/>
        </w:rPr>
        <w:t>目录</w:t>
      </w:r>
    </w:p>
    <w:p w14:paraId="455AC9B7">
      <w:pPr>
        <w:pStyle w:val="48"/>
        <w:tabs>
          <w:tab w:val="right" w:leader="dot" w:pos="9747"/>
          <w:tab w:val="clear" w:pos="420"/>
          <w:tab w:val="clear" w:pos="9737"/>
        </w:tabs>
      </w:pPr>
      <w:r>
        <w:rPr>
          <w:rFonts w:ascii="宋体" w:hAnsi="宋体" w:cs="Arial"/>
        </w:rPr>
        <w:fldChar w:fldCharType="begin"/>
        <w:instrText xml:space="preserve"> TOC \o "1-3" \h \z </w:instrText>
        <w:fldChar w:fldCharType="separate"/>
        <w:fldChar w:fldCharType="begin"/>
        <w:instrText xml:space="preserve"> HYPERLINK \l _Toc1620 </w:instrText>
        <w:fldChar w:fldCharType="separate"/>
      </w:r>
      <w:r>
        <w:rPr>
          <w:rFonts w:hint="default" w:ascii="宋体" w:hAnsi="宋体" w:eastAsia="宋体"/>
          <w:szCs w:val="28"/>
        </w:rPr>
        <w:t xml:space="preserve">1. </w:t>
      </w:r>
      <w:r>
        <w:rPr>
          <w:rFonts w:hint="eastAsia" w:ascii="宋体" w:hAnsi="宋体"/>
          <w:szCs w:val="28"/>
        </w:rPr>
        <w:t>前言</w:t>
      </w:r>
      <w:r>
        <w:tab/>
        <w:fldChar w:fldCharType="begin"/>
        <w:instrText xml:space="preserve"> PAGEREF _Toc1620 \h </w:instrText>
        <w:fldChar w:fldCharType="separate"/>
        <w:t>1</w:t>
        <w:fldChar w:fldCharType="end"/>
      </w:r>
      <w:r>
        <w:rPr>
          <w:rFonts w:ascii="宋体" w:hAnsi="宋体" w:cs="Arial"/>
        </w:rPr>
        <w:fldChar w:fldCharType="end"/>
      </w:r>
    </w:p>
    <w:p w14:paraId="50CD9B1E">
      <w:pPr>
        <w:pStyle w:val="61"/>
        <w:tabs>
          <w:tab w:val="right" w:leader="dot" w:pos="9747"/>
          <w:tab w:val="clear" w:pos="1050"/>
          <w:tab w:val="clear" w:pos="9737"/>
        </w:tabs>
      </w:pPr>
      <w:r>
        <w:rPr>
          <w:rFonts w:ascii="宋体" w:hAnsi="宋体" w:cs="Arial"/>
        </w:rPr>
        <w:fldChar w:fldCharType="begin"/>
        <w:instrText xml:space="preserve"> HYPERLINK \l _Toc16441 </w:instrText>
        <w:fldChar w:fldCharType="separate"/>
      </w:r>
      <w:r>
        <w:rPr>
          <w:rFonts w:hint="default" w:ascii="宋体" w:hAnsi="宋体" w:eastAsia="宋体"/>
        </w:rPr>
        <w:t xml:space="preserve">1.1 </w:t>
      </w:r>
      <w:r>
        <w:rPr>
          <w:rFonts w:hint="eastAsia" w:ascii="宋体" w:hAnsi="宋体"/>
        </w:rPr>
        <w:t>编写</w:t>
      </w:r>
      <w:r>
        <w:rPr>
          <w:rFonts w:ascii="宋体" w:hAnsi="宋体"/>
        </w:rPr>
        <w:t>目的</w:t>
      </w:r>
      <w:r>
        <w:tab/>
        <w:fldChar w:fldCharType="begin"/>
        <w:instrText xml:space="preserve"> PAGEREF _Toc16441 \h </w:instrText>
        <w:fldChar w:fldCharType="separate"/>
        <w:t>1</w:t>
        <w:fldChar w:fldCharType="end"/>
      </w:r>
      <w:r>
        <w:rPr>
          <w:rFonts w:ascii="宋体" w:hAnsi="宋体" w:cs="Arial"/>
        </w:rPr>
        <w:fldChar w:fldCharType="end"/>
      </w:r>
    </w:p>
    <w:p w14:paraId="5F144668">
      <w:pPr>
        <w:pStyle w:val="61"/>
        <w:tabs>
          <w:tab w:val="right" w:leader="dot" w:pos="9747"/>
          <w:tab w:val="clear" w:pos="1050"/>
          <w:tab w:val="clear" w:pos="9737"/>
        </w:tabs>
      </w:pPr>
      <w:r>
        <w:rPr>
          <w:rFonts w:ascii="宋体" w:hAnsi="宋体" w:cs="Arial"/>
        </w:rPr>
        <w:fldChar w:fldCharType="begin"/>
        <w:instrText xml:space="preserve"> HYPERLINK \l _Toc4760 </w:instrText>
        <w:fldChar w:fldCharType="separate"/>
      </w:r>
      <w:r>
        <w:rPr>
          <w:rFonts w:hint="default" w:ascii="宋体" w:hAnsi="宋体" w:eastAsia="宋体"/>
        </w:rPr>
        <w:t xml:space="preserve">1.2 </w:t>
      </w:r>
      <w:r>
        <w:rPr>
          <w:rFonts w:hint="eastAsia" w:ascii="宋体" w:hAnsi="宋体"/>
        </w:rPr>
        <w:t>测试方法</w:t>
      </w:r>
      <w:r>
        <w:tab/>
        <w:fldChar w:fldCharType="begin"/>
        <w:instrText xml:space="preserve"> PAGEREF _Toc4760 \h </w:instrText>
        <w:fldChar w:fldCharType="separate"/>
        <w:t>1</w:t>
        <w:fldChar w:fldCharType="end"/>
      </w:r>
      <w:r>
        <w:rPr>
          <w:rFonts w:ascii="宋体" w:hAnsi="宋体" w:cs="Arial"/>
        </w:rPr>
        <w:fldChar w:fldCharType="end"/>
      </w:r>
    </w:p>
    <w:p w14:paraId="23DBA22F">
      <w:pPr>
        <w:pStyle w:val="61"/>
        <w:tabs>
          <w:tab w:val="right" w:leader="dot" w:pos="9747"/>
          <w:tab w:val="clear" w:pos="1050"/>
          <w:tab w:val="clear" w:pos="9737"/>
        </w:tabs>
      </w:pPr>
      <w:r>
        <w:rPr>
          <w:rFonts w:ascii="宋体" w:hAnsi="宋体" w:cs="Arial"/>
        </w:rPr>
        <w:fldChar w:fldCharType="begin"/>
        <w:instrText xml:space="preserve"> HYPERLINK \l _Toc19974 </w:instrText>
        <w:fldChar w:fldCharType="separate"/>
      </w:r>
      <w:r>
        <w:rPr>
          <w:rFonts w:hint="default" w:ascii="宋体" w:hAnsi="宋体" w:eastAsia="宋体"/>
        </w:rPr>
        <w:t xml:space="preserve">1.3 </w:t>
      </w:r>
      <w:r>
        <w:rPr>
          <w:rFonts w:hint="eastAsia"/>
        </w:rPr>
        <w:t>数据准备</w:t>
      </w:r>
      <w:r>
        <w:tab/>
        <w:fldChar w:fldCharType="begin"/>
        <w:instrText xml:space="preserve"> PAGEREF _Toc19974 \h </w:instrText>
        <w:fldChar w:fldCharType="separate"/>
        <w:t>1</w:t>
        <w:fldChar w:fldCharType="end"/>
      </w:r>
      <w:r>
        <w:rPr>
          <w:rFonts w:ascii="宋体" w:hAnsi="宋体" w:cs="Arial"/>
        </w:rPr>
        <w:fldChar w:fldCharType="end"/>
      </w:r>
    </w:p>
    <w:p w14:paraId="657FACCF">
      <w:pPr>
        <w:pStyle w:val="48"/>
        <w:tabs>
          <w:tab w:val="right" w:leader="dot" w:pos="9747"/>
          <w:tab w:val="clear" w:pos="420"/>
          <w:tab w:val="clear" w:pos="9737"/>
        </w:tabs>
      </w:pPr>
      <w:r>
        <w:rPr>
          <w:rFonts w:ascii="宋体" w:hAnsi="宋体" w:cs="Arial"/>
        </w:rPr>
        <w:fldChar w:fldCharType="begin"/>
        <w:instrText xml:space="preserve"> HYPERLINK \l _Toc11279 </w:instrText>
        <w:fldChar w:fldCharType="separate"/>
      </w:r>
      <w:r>
        <w:rPr>
          <w:rFonts w:hint="default" w:ascii="宋体" w:hAnsi="宋体" w:eastAsia="宋体"/>
          <w:szCs w:val="28"/>
        </w:rPr>
        <w:t xml:space="preserve">2. </w:t>
      </w:r>
      <w:r>
        <w:rPr>
          <w:rFonts w:hint="eastAsia"/>
          <w:szCs w:val="28"/>
        </w:rPr>
        <w:t>测试用例</w:t>
      </w:r>
      <w:r>
        <w:tab/>
        <w:fldChar w:fldCharType="begin"/>
        <w:instrText xml:space="preserve"> PAGEREF _Toc11279 \h </w:instrText>
        <w:fldChar w:fldCharType="separate"/>
        <w:t>2</w:t>
        <w:fldChar w:fldCharType="end"/>
      </w:r>
      <w:r>
        <w:rPr>
          <w:rFonts w:ascii="宋体" w:hAnsi="宋体" w:cs="Arial"/>
        </w:rPr>
        <w:fldChar w:fldCharType="end"/>
      </w:r>
    </w:p>
    <w:p w14:paraId="1B7CD889">
      <w:pPr>
        <w:pStyle w:val="61"/>
        <w:tabs>
          <w:tab w:val="right" w:leader="dot" w:pos="9747"/>
          <w:tab w:val="clear" w:pos="1050"/>
          <w:tab w:val="clear" w:pos="9737"/>
        </w:tabs>
      </w:pPr>
      <w:r>
        <w:rPr>
          <w:rFonts w:ascii="宋体" w:hAnsi="宋体" w:cs="Arial"/>
        </w:rPr>
        <w:fldChar w:fldCharType="begin"/>
        <w:instrText xml:space="preserve"> HYPERLINK \l _Toc10536 </w:instrText>
        <w:fldChar w:fldCharType="separate"/>
      </w:r>
      <w:r>
        <w:rPr>
          <w:rFonts w:hint="default" w:ascii="宋体" w:hAnsi="宋体" w:eastAsia="宋体"/>
        </w:rPr>
        <w:t xml:space="preserve">2.1 </w:t>
      </w:r>
      <w:r>
        <w:rPr>
          <w:rFonts w:hint="eastAsia"/>
          <w:lang w:val="en-US" w:eastAsia="zh-CN"/>
        </w:rPr>
        <w:t>零件价格联动维护</w:t>
      </w:r>
      <w:r>
        <w:tab/>
        <w:fldChar w:fldCharType="begin"/>
        <w:instrText xml:space="preserve"> PAGEREF _Toc10536 \h </w:instrText>
        <w:fldChar w:fldCharType="separate"/>
        <w:t>2</w:t>
        <w:fldChar w:fldCharType="end"/>
      </w:r>
      <w:r>
        <w:rPr>
          <w:rFonts w:ascii="宋体" w:hAnsi="宋体" w:cs="Arial"/>
        </w:rPr>
        <w:fldChar w:fldCharType="end"/>
      </w:r>
    </w:p>
    <w:p w14:paraId="6C33BC48">
      <w:pPr>
        <w:pStyle w:val="35"/>
        <w:tabs>
          <w:tab w:val="right" w:leader="dot" w:pos="9747"/>
        </w:tabs>
      </w:pPr>
      <w:r>
        <w:rPr>
          <w:rFonts w:ascii="宋体" w:hAnsi="宋体" w:cs="Arial"/>
        </w:rPr>
        <w:fldChar w:fldCharType="begin"/>
        <w:instrText xml:space="preserve"> HYPERLINK \l _Toc21427 </w:instrText>
        <w:fldChar w:fldCharType="separate"/>
      </w:r>
      <w:r>
        <w:rPr>
          <w:rFonts w:hint="default" w:ascii="宋体" w:hAnsi="宋体" w:eastAsia="宋体"/>
        </w:rPr>
        <w:t xml:space="preserve">2.1.1 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Cs w:val="16"/>
          <w:shd w:val="clear" w:fill="FFFFFF"/>
        </w:rPr>
        <w:t>PP/钢板/铝板手工新增联动关系</w:t>
      </w:r>
      <w:r>
        <w:tab/>
        <w:fldChar w:fldCharType="begin"/>
        <w:instrText xml:space="preserve"> PAGEREF _Toc21427 \h </w:instrText>
        <w:fldChar w:fldCharType="separate"/>
        <w:t>2</w:t>
        <w:fldChar w:fldCharType="end"/>
      </w:r>
      <w:r>
        <w:rPr>
          <w:rFonts w:ascii="宋体" w:hAnsi="宋体" w:cs="Arial"/>
        </w:rPr>
        <w:fldChar w:fldCharType="end"/>
      </w:r>
    </w:p>
    <w:p w14:paraId="25FAE3F7">
      <w:pPr>
        <w:pStyle w:val="61"/>
        <w:tabs>
          <w:tab w:val="right" w:leader="dot" w:pos="9747"/>
          <w:tab w:val="clear" w:pos="1050"/>
          <w:tab w:val="clear" w:pos="9737"/>
        </w:tabs>
      </w:pPr>
      <w:r>
        <w:rPr>
          <w:rFonts w:ascii="宋体" w:hAnsi="宋体" w:cs="Arial"/>
        </w:rPr>
        <w:fldChar w:fldCharType="begin"/>
        <w:instrText xml:space="preserve"> HYPERLINK \l _Toc30782 </w:instrText>
        <w:fldChar w:fldCharType="separate"/>
      </w:r>
      <w:r>
        <w:rPr>
          <w:rFonts w:hint="default" w:ascii="宋体" w:hAnsi="宋体" w:eastAsia="宋体"/>
        </w:rPr>
        <w:t xml:space="preserve">2.2 </w:t>
      </w:r>
      <w:r>
        <w:rPr>
          <w:rFonts w:hint="eastAsia"/>
          <w:lang w:val="en-US" w:eastAsia="zh-CN"/>
        </w:rPr>
        <w:t>询价单配置（采购员发起）</w:t>
      </w:r>
      <w:r>
        <w:tab/>
        <w:fldChar w:fldCharType="begin"/>
        <w:instrText xml:space="preserve"> PAGEREF _Toc30782 \h </w:instrText>
        <w:fldChar w:fldCharType="separate"/>
        <w:t>3</w:t>
        <w:fldChar w:fldCharType="end"/>
      </w:r>
      <w:r>
        <w:rPr>
          <w:rFonts w:ascii="宋体" w:hAnsi="宋体" w:cs="Arial"/>
        </w:rPr>
        <w:fldChar w:fldCharType="end"/>
      </w:r>
    </w:p>
    <w:p w14:paraId="0C5F808B">
      <w:pPr>
        <w:pStyle w:val="35"/>
        <w:tabs>
          <w:tab w:val="right" w:leader="dot" w:pos="9747"/>
        </w:tabs>
      </w:pPr>
      <w:r>
        <w:rPr>
          <w:rFonts w:ascii="宋体" w:hAnsi="宋体" w:cs="Arial"/>
        </w:rPr>
        <w:fldChar w:fldCharType="begin"/>
        <w:instrText xml:space="preserve"> HYPERLINK \l _Toc16647 </w:instrText>
        <w:fldChar w:fldCharType="separate"/>
      </w:r>
      <w:r>
        <w:rPr>
          <w:rFonts w:hint="default" w:ascii="宋体" w:hAnsi="宋体" w:eastAsia="宋体"/>
        </w:rPr>
        <w:t xml:space="preserve">2.2.1 </w:t>
      </w:r>
      <w:r>
        <w:rPr>
          <w:rFonts w:hint="eastAsia"/>
          <w:lang w:val="en-US" w:eastAsia="zh-CN"/>
        </w:rPr>
        <w:t>询价单价格属性选择"联动定价"</w:t>
      </w:r>
      <w:r>
        <w:tab/>
        <w:fldChar w:fldCharType="begin"/>
        <w:instrText xml:space="preserve"> PAGEREF _Toc16647 \h </w:instrText>
        <w:fldChar w:fldCharType="separate"/>
        <w:t>3</w:t>
        <w:fldChar w:fldCharType="end"/>
      </w:r>
      <w:r>
        <w:rPr>
          <w:rFonts w:ascii="宋体" w:hAnsi="宋体" w:cs="Arial"/>
        </w:rPr>
        <w:fldChar w:fldCharType="end"/>
      </w:r>
    </w:p>
    <w:p w14:paraId="7FDFB6FD">
      <w:pPr>
        <w:pStyle w:val="61"/>
        <w:tabs>
          <w:tab w:val="right" w:leader="dot" w:pos="9747"/>
          <w:tab w:val="clear" w:pos="1050"/>
          <w:tab w:val="clear" w:pos="9737"/>
        </w:tabs>
      </w:pPr>
      <w:r>
        <w:rPr>
          <w:rFonts w:ascii="宋体" w:hAnsi="宋体" w:cs="Arial"/>
        </w:rPr>
        <w:fldChar w:fldCharType="begin"/>
        <w:instrText xml:space="preserve"> HYPERLINK \l _Toc6808 </w:instrText>
        <w:fldChar w:fldCharType="separate"/>
      </w:r>
      <w:r>
        <w:rPr>
          <w:rFonts w:hint="default" w:ascii="宋体" w:hAnsi="宋体" w:eastAsia="宋体"/>
        </w:rPr>
        <w:t xml:space="preserve">2.3 </w:t>
      </w:r>
      <w:r>
        <w:rPr>
          <w:rFonts w:hint="eastAsia"/>
          <w:lang w:val="en-US" w:eastAsia="zh-CN"/>
        </w:rPr>
        <w:t>供应商填写报价单</w:t>
      </w:r>
      <w:r>
        <w:tab/>
        <w:fldChar w:fldCharType="begin"/>
        <w:instrText xml:space="preserve"> PAGEREF _Toc6808 \h </w:instrText>
        <w:fldChar w:fldCharType="separate"/>
        <w:t>3</w:t>
        <w:fldChar w:fldCharType="end"/>
      </w:r>
      <w:r>
        <w:rPr>
          <w:rFonts w:ascii="宋体" w:hAnsi="宋体" w:cs="Arial"/>
        </w:rPr>
        <w:fldChar w:fldCharType="end"/>
      </w:r>
    </w:p>
    <w:p w14:paraId="44FAFC3E">
      <w:pPr>
        <w:pStyle w:val="35"/>
        <w:tabs>
          <w:tab w:val="right" w:leader="dot" w:pos="9747"/>
        </w:tabs>
      </w:pPr>
      <w:r>
        <w:rPr>
          <w:rFonts w:ascii="宋体" w:hAnsi="宋体" w:cs="Arial"/>
        </w:rPr>
        <w:fldChar w:fldCharType="begin"/>
        <w:instrText xml:space="preserve"> HYPERLINK \l _Toc11410 </w:instrText>
        <w:fldChar w:fldCharType="separate"/>
      </w:r>
      <w:r>
        <w:rPr>
          <w:rFonts w:hint="default" w:ascii="宋体" w:hAnsi="宋体" w:eastAsia="宋体"/>
        </w:rPr>
        <w:t xml:space="preserve">2.3.1 </w:t>
      </w:r>
      <w:r>
        <w:rPr>
          <w:rFonts w:hint="eastAsia"/>
          <w:lang w:val="en-US" w:eastAsia="zh-CN"/>
        </w:rPr>
        <w:t>供应商查看待报价单据</w:t>
      </w:r>
      <w:r>
        <w:tab/>
        <w:fldChar w:fldCharType="begin"/>
        <w:instrText xml:space="preserve"> PAGEREF _Toc11410 \h </w:instrText>
        <w:fldChar w:fldCharType="separate"/>
        <w:t>4</w:t>
        <w:fldChar w:fldCharType="end"/>
      </w:r>
      <w:r>
        <w:rPr>
          <w:rFonts w:ascii="宋体" w:hAnsi="宋体" w:cs="Arial"/>
        </w:rPr>
        <w:fldChar w:fldCharType="end"/>
      </w:r>
    </w:p>
    <w:p w14:paraId="378012E8">
      <w:pPr>
        <w:pStyle w:val="61"/>
        <w:tabs>
          <w:tab w:val="right" w:leader="dot" w:pos="9747"/>
          <w:tab w:val="clear" w:pos="1050"/>
          <w:tab w:val="clear" w:pos="9737"/>
        </w:tabs>
      </w:pPr>
      <w:r>
        <w:rPr>
          <w:rFonts w:ascii="宋体" w:hAnsi="宋体" w:cs="Arial"/>
        </w:rPr>
        <w:fldChar w:fldCharType="begin"/>
        <w:instrText xml:space="preserve"> HYPERLINK \l _Toc11089 </w:instrText>
        <w:fldChar w:fldCharType="separate"/>
      </w:r>
      <w:r>
        <w:rPr>
          <w:rFonts w:hint="default" w:ascii="宋体" w:hAnsi="宋体" w:eastAsia="宋体"/>
        </w:rPr>
        <w:t xml:space="preserve">2.4 </w:t>
      </w:r>
      <w:r>
        <w:rPr>
          <w:rFonts w:hint="eastAsia"/>
          <w:lang w:val="en-US" w:eastAsia="zh-CN"/>
        </w:rPr>
        <w:t>市况联动定价单</w:t>
      </w:r>
      <w:r>
        <w:tab/>
        <w:fldChar w:fldCharType="begin"/>
        <w:instrText xml:space="preserve"> PAGEREF _Toc11089 \h </w:instrText>
        <w:fldChar w:fldCharType="separate"/>
        <w:t>5</w:t>
        <w:fldChar w:fldCharType="end"/>
      </w:r>
      <w:r>
        <w:rPr>
          <w:rFonts w:ascii="宋体" w:hAnsi="宋体" w:cs="Arial"/>
        </w:rPr>
        <w:fldChar w:fldCharType="end"/>
      </w:r>
    </w:p>
    <w:p w14:paraId="5457535E">
      <w:pPr>
        <w:pStyle w:val="35"/>
        <w:tabs>
          <w:tab w:val="right" w:leader="dot" w:pos="9747"/>
        </w:tabs>
      </w:pPr>
      <w:r>
        <w:rPr>
          <w:rFonts w:ascii="宋体" w:hAnsi="宋体" w:cs="Arial"/>
        </w:rPr>
        <w:fldChar w:fldCharType="begin"/>
        <w:instrText xml:space="preserve"> HYPERLINK \l _Toc7940 </w:instrText>
        <w:fldChar w:fldCharType="separate"/>
      </w:r>
      <w:r>
        <w:rPr>
          <w:rFonts w:hint="default" w:ascii="宋体" w:hAnsi="宋体" w:eastAsia="宋体"/>
        </w:rPr>
        <w:t xml:space="preserve">2.4.1 </w:t>
      </w:r>
      <w:r>
        <w:rPr>
          <w:rFonts w:hint="eastAsia"/>
          <w:lang w:val="en-US" w:eastAsia="zh-CN"/>
        </w:rPr>
        <w:t>新增市况联动定价单</w:t>
      </w:r>
      <w:r>
        <w:tab/>
        <w:fldChar w:fldCharType="begin"/>
        <w:instrText xml:space="preserve"> PAGEREF _Toc7940 \h </w:instrText>
        <w:fldChar w:fldCharType="separate"/>
        <w:t>5</w:t>
        <w:fldChar w:fldCharType="end"/>
      </w:r>
      <w:r>
        <w:rPr>
          <w:rFonts w:ascii="宋体" w:hAnsi="宋体" w:cs="Arial"/>
        </w:rPr>
        <w:fldChar w:fldCharType="end"/>
      </w:r>
    </w:p>
    <w:p w14:paraId="4FBF0166">
      <w:pPr>
        <w:pStyle w:val="61"/>
        <w:tabs>
          <w:tab w:val="right" w:leader="dot" w:pos="9747"/>
          <w:tab w:val="clear" w:pos="1050"/>
          <w:tab w:val="clear" w:pos="9737"/>
        </w:tabs>
      </w:pPr>
      <w:r>
        <w:rPr>
          <w:rFonts w:ascii="宋体" w:hAnsi="宋体" w:cs="Arial"/>
        </w:rPr>
        <w:fldChar w:fldCharType="begin"/>
        <w:instrText xml:space="preserve"> HYPERLINK \l _Toc2634 </w:instrText>
        <w:fldChar w:fldCharType="separate"/>
      </w:r>
      <w:r>
        <w:rPr>
          <w:rFonts w:hint="default" w:ascii="宋体" w:hAnsi="宋体" w:eastAsia="宋体"/>
        </w:rPr>
        <w:t xml:space="preserve">2.5 </w:t>
      </w:r>
      <w:r>
        <w:rPr>
          <w:rFonts w:hint="eastAsia"/>
          <w:lang w:val="en-US" w:eastAsia="zh-CN"/>
        </w:rPr>
        <w:t>价格审批与联动结果</w:t>
      </w:r>
      <w:r>
        <w:tab/>
        <w:fldChar w:fldCharType="begin"/>
        <w:instrText xml:space="preserve"> PAGEREF _Toc2634 \h </w:instrText>
        <w:fldChar w:fldCharType="separate"/>
        <w:t>6</w:t>
        <w:fldChar w:fldCharType="end"/>
      </w:r>
      <w:r>
        <w:rPr>
          <w:rFonts w:ascii="宋体" w:hAnsi="宋体" w:cs="Arial"/>
        </w:rPr>
        <w:fldChar w:fldCharType="end"/>
      </w:r>
    </w:p>
    <w:p w14:paraId="31C0FDC4">
      <w:pPr>
        <w:pStyle w:val="35"/>
        <w:tabs>
          <w:tab w:val="right" w:leader="dot" w:pos="9747"/>
        </w:tabs>
      </w:pPr>
      <w:r>
        <w:rPr>
          <w:rFonts w:ascii="宋体" w:hAnsi="宋体" w:cs="Arial"/>
        </w:rPr>
        <w:fldChar w:fldCharType="begin"/>
        <w:instrText xml:space="preserve"> HYPERLINK \l _Toc29382 </w:instrText>
        <w:fldChar w:fldCharType="separate"/>
      </w:r>
      <w:r>
        <w:rPr>
          <w:rFonts w:hint="default" w:ascii="宋体" w:hAnsi="宋体" w:eastAsia="宋体"/>
        </w:rPr>
        <w:t xml:space="preserve">2.5.1 </w:t>
      </w:r>
      <w:r>
        <w:t>审批通过后写入价格库</w:t>
        <w:tab/>
        <w:fldChar w:fldCharType="begin"/>
        <w:instrText xml:space="preserve"> PAGEREF _Toc29382 \h </w:instrText>
        <w:fldChar w:fldCharType="separate"/>
        <w:t>6</w:t>
        <w:fldChar w:fldCharType="end"/>
      </w:r>
      <w:r>
        <w:rPr>
          <w:rFonts w:ascii="宋体" w:hAnsi="宋体" w:cs="Arial"/>
        </w:rPr>
        <w:fldChar w:fldCharType="end"/>
      </w:r>
    </w:p>
    <w:p w14:paraId="35E0B1C5">
      <w:pPr>
        <w:pStyle w:val="61"/>
        <w:tabs>
          <w:tab w:val="right" w:leader="dot" w:pos="9747"/>
          <w:tab w:val="clear" w:pos="1050"/>
          <w:tab w:val="clear" w:pos="9737"/>
        </w:tabs>
      </w:pPr>
      <w:r>
        <w:rPr>
          <w:rFonts w:ascii="宋体" w:hAnsi="宋体" w:cs="Arial"/>
        </w:rPr>
        <w:fldChar w:fldCharType="begin"/>
        <w:instrText xml:space="preserve"> HYPERLINK \l _Toc535 </w:instrText>
        <w:fldChar w:fldCharType="separate"/>
      </w:r>
      <w:r>
        <w:rPr>
          <w:rFonts w:hint="default" w:ascii="宋体" w:hAnsi="宋体" w:eastAsia="宋体"/>
        </w:rPr>
        <w:t xml:space="preserve">2.6 </w:t>
      </w:r>
      <w:r>
        <w:rPr>
          <w:rFonts w:hint="eastAsia"/>
          <w:lang w:val="en-US" w:eastAsia="zh-CN"/>
        </w:rPr>
        <w:t>零件价格联动维护</w:t>
      </w:r>
      <w:r>
        <w:tab/>
        <w:fldChar w:fldCharType="begin"/>
        <w:instrText xml:space="preserve"> PAGEREF _Toc535 \h </w:instrText>
        <w:fldChar w:fldCharType="separate"/>
        <w:t>7</w:t>
        <w:fldChar w:fldCharType="end"/>
      </w:r>
      <w:r>
        <w:rPr>
          <w:rFonts w:ascii="宋体" w:hAnsi="宋体" w:cs="Arial"/>
        </w:rPr>
        <w:fldChar w:fldCharType="end"/>
      </w:r>
    </w:p>
    <w:p w14:paraId="48635EA3">
      <w:pPr>
        <w:pStyle w:val="35"/>
        <w:tabs>
          <w:tab w:val="right" w:leader="dot" w:pos="9747"/>
        </w:tabs>
      </w:pPr>
      <w:r>
        <w:rPr>
          <w:rFonts w:ascii="宋体" w:hAnsi="宋体" w:cs="Arial"/>
        </w:rPr>
        <w:fldChar w:fldCharType="begin"/>
        <w:instrText xml:space="preserve"> HYPERLINK \l _Toc25283 </w:instrText>
        <w:fldChar w:fldCharType="separate"/>
      </w:r>
      <w:r>
        <w:rPr>
          <w:rFonts w:hint="default" w:ascii="宋体" w:hAnsi="宋体" w:eastAsia="宋体"/>
        </w:rPr>
        <w:t xml:space="preserve">2.6.1 </w:t>
      </w:r>
      <w:r>
        <w:rPr>
          <w:rFonts w:hint="eastAsia"/>
          <w:lang w:val="en-US" w:eastAsia="zh-CN"/>
        </w:rPr>
        <w:t>零件价格联动维护优化</w:t>
      </w:r>
      <w:r>
        <w:tab/>
        <w:fldChar w:fldCharType="begin"/>
        <w:instrText xml:space="preserve"> PAGEREF _Toc25283 \h </w:instrText>
        <w:fldChar w:fldCharType="separate"/>
        <w:t>7</w:t>
        <w:fldChar w:fldCharType="end"/>
      </w:r>
      <w:r>
        <w:rPr>
          <w:rFonts w:ascii="宋体" w:hAnsi="宋体" w:cs="Arial"/>
        </w:rPr>
        <w:fldChar w:fldCharType="end"/>
      </w:r>
    </w:p>
    <w:p w14:paraId="577F8981">
      <w:pPr>
        <w:pStyle w:val="61"/>
        <w:tabs>
          <w:tab w:val="right" w:leader="dot" w:pos="9747"/>
          <w:tab w:val="clear" w:pos="1050"/>
          <w:tab w:val="clear" w:pos="9737"/>
        </w:tabs>
      </w:pPr>
      <w:r>
        <w:rPr>
          <w:rFonts w:ascii="宋体" w:hAnsi="宋体" w:cs="Arial"/>
        </w:rPr>
        <w:fldChar w:fldCharType="begin"/>
        <w:instrText xml:space="preserve"> HYPERLINK \l _Toc6673 </w:instrText>
        <w:fldChar w:fldCharType="separate"/>
      </w:r>
      <w:r>
        <w:rPr>
          <w:rFonts w:hint="default" w:ascii="宋体" w:hAnsi="宋体" w:eastAsia="宋体"/>
        </w:rPr>
        <w:t xml:space="preserve">2.7 </w:t>
      </w:r>
      <w:r>
        <w:rPr>
          <w:rFonts w:ascii="宋体" w:hAnsi="宋体" w:eastAsia="宋体" w:cs="宋体"/>
          <w:kern w:val="0"/>
          <w:szCs w:val="20"/>
          <w:lang w:val="en-US" w:eastAsia="zh-CN" w:bidi="ar"/>
        </w:rPr>
        <w:t>市况类型与材料关系维护</w:t>
      </w:r>
      <w:r>
        <w:tab/>
        <w:fldChar w:fldCharType="begin"/>
        <w:instrText xml:space="preserve"> PAGEREF _Toc6673 \h </w:instrText>
        <w:fldChar w:fldCharType="separate"/>
        <w:t>8</w:t>
        <w:fldChar w:fldCharType="end"/>
      </w:r>
      <w:r>
        <w:rPr>
          <w:rFonts w:ascii="宋体" w:hAnsi="宋体" w:cs="Arial"/>
        </w:rPr>
        <w:fldChar w:fldCharType="end"/>
      </w:r>
    </w:p>
    <w:p w14:paraId="18BB28CF">
      <w:pPr>
        <w:pStyle w:val="35"/>
        <w:tabs>
          <w:tab w:val="right" w:leader="dot" w:pos="9747"/>
        </w:tabs>
      </w:pPr>
      <w:r>
        <w:rPr>
          <w:rFonts w:ascii="宋体" w:hAnsi="宋体" w:cs="Arial"/>
        </w:rPr>
        <w:fldChar w:fldCharType="begin"/>
        <w:instrText xml:space="preserve"> HYPERLINK \l _Toc6309 </w:instrText>
        <w:fldChar w:fldCharType="separate"/>
      </w:r>
      <w:r>
        <w:rPr>
          <w:rFonts w:hint="default" w:ascii="宋体" w:hAnsi="宋体" w:eastAsia="宋体"/>
        </w:rPr>
        <w:t xml:space="preserve">2.7.1 </w:t>
      </w:r>
      <w:r>
        <w:rPr>
          <w:rFonts w:ascii="宋体" w:hAnsi="宋体" w:eastAsia="宋体" w:cs="宋体"/>
          <w:kern w:val="0"/>
          <w:szCs w:val="20"/>
          <w:lang w:val="en-US" w:eastAsia="zh-CN" w:bidi="ar"/>
        </w:rPr>
        <w:t>市况类型与材料关系维护</w:t>
      </w:r>
      <w:r>
        <w:tab/>
        <w:fldChar w:fldCharType="begin"/>
        <w:instrText xml:space="preserve"> PAGEREF _Toc6309 \h </w:instrText>
        <w:fldChar w:fldCharType="separate"/>
        <w:t>8</w:t>
        <w:fldChar w:fldCharType="end"/>
      </w:r>
      <w:r>
        <w:rPr>
          <w:rFonts w:ascii="宋体" w:hAnsi="宋体" w:cs="Arial"/>
        </w:rPr>
        <w:fldChar w:fldCharType="end"/>
      </w:r>
    </w:p>
    <w:p w14:paraId="37190977">
      <w:pPr>
        <w:pStyle w:val="61"/>
        <w:tabs>
          <w:tab w:val="right" w:leader="dot" w:pos="9747"/>
          <w:tab w:val="clear" w:pos="1050"/>
          <w:tab w:val="clear" w:pos="9737"/>
        </w:tabs>
      </w:pPr>
      <w:r>
        <w:rPr>
          <w:rFonts w:ascii="宋体" w:hAnsi="宋体" w:cs="Arial"/>
        </w:rPr>
        <w:fldChar w:fldCharType="begin"/>
        <w:instrText xml:space="preserve"> HYPERLINK \l _Toc24100 </w:instrText>
        <w:fldChar w:fldCharType="separate"/>
      </w:r>
      <w:r>
        <w:rPr>
          <w:rFonts w:hint="default" w:ascii="宋体" w:hAnsi="宋体" w:eastAsia="宋体"/>
        </w:rPr>
        <w:t xml:space="preserve">2.8 </w:t>
      </w:r>
      <w:r>
        <w:rPr>
          <w:rFonts w:hint="eastAsia"/>
          <w:lang w:val="en-US" w:eastAsia="zh-CN"/>
        </w:rPr>
        <w:t>零件原材料投料重量维护</w:t>
      </w:r>
      <w:r>
        <w:tab/>
        <w:fldChar w:fldCharType="begin"/>
        <w:instrText xml:space="preserve"> PAGEREF _Toc24100 \h </w:instrText>
        <w:fldChar w:fldCharType="separate"/>
        <w:t>9</w:t>
        <w:fldChar w:fldCharType="end"/>
      </w:r>
      <w:r>
        <w:rPr>
          <w:rFonts w:ascii="宋体" w:hAnsi="宋体" w:cs="Arial"/>
        </w:rPr>
        <w:fldChar w:fldCharType="end"/>
      </w:r>
    </w:p>
    <w:p w14:paraId="612CD6F3">
      <w:pPr>
        <w:pStyle w:val="35"/>
        <w:tabs>
          <w:tab w:val="right" w:leader="dot" w:pos="9747"/>
        </w:tabs>
      </w:pPr>
      <w:r>
        <w:rPr>
          <w:rFonts w:ascii="宋体" w:hAnsi="宋体" w:cs="Arial"/>
        </w:rPr>
        <w:fldChar w:fldCharType="begin"/>
        <w:instrText xml:space="preserve"> HYPERLINK \l _Toc32225 </w:instrText>
        <w:fldChar w:fldCharType="separate"/>
      </w:r>
      <w:r>
        <w:rPr>
          <w:rFonts w:hint="default" w:ascii="宋体" w:hAnsi="宋体" w:eastAsia="宋体"/>
        </w:rPr>
        <w:t xml:space="preserve">2.8.1 </w:t>
      </w:r>
      <w:r>
        <w:rPr>
          <w:rFonts w:hint="eastAsia" w:ascii="宋体" w:hAnsi="宋体" w:cs="宋体"/>
          <w:kern w:val="0"/>
          <w:szCs w:val="20"/>
          <w:lang w:val="en-US" w:eastAsia="zh-CN" w:bidi="ar"/>
        </w:rPr>
        <w:t>数据信息通过价格审批单审批通过后自动同步</w:t>
      </w:r>
      <w:r>
        <w:tab/>
        <w:fldChar w:fldCharType="begin"/>
        <w:instrText xml:space="preserve"> PAGEREF _Toc32225 \h </w:instrText>
        <w:fldChar w:fldCharType="separate"/>
        <w:t>9</w:t>
        <w:fldChar w:fldCharType="end"/>
      </w:r>
      <w:r>
        <w:rPr>
          <w:rFonts w:ascii="宋体" w:hAnsi="宋体" w:cs="Arial"/>
        </w:rPr>
        <w:fldChar w:fldCharType="end"/>
      </w:r>
    </w:p>
    <w:p w14:paraId="22BBD5EE">
      <w:pPr>
        <w:pStyle w:val="61"/>
        <w:tabs>
          <w:tab w:val="right" w:leader="dot" w:pos="9747"/>
          <w:tab w:val="clear" w:pos="1050"/>
          <w:tab w:val="clear" w:pos="9737"/>
        </w:tabs>
      </w:pPr>
      <w:r>
        <w:rPr>
          <w:rFonts w:ascii="宋体" w:hAnsi="宋体" w:cs="Arial"/>
        </w:rPr>
        <w:fldChar w:fldCharType="begin"/>
        <w:instrText xml:space="preserve"> HYPERLINK \l _Toc29224 </w:instrText>
        <w:fldChar w:fldCharType="separate"/>
      </w:r>
      <w:r>
        <w:rPr>
          <w:rFonts w:hint="default" w:ascii="宋体" w:hAnsi="宋体" w:eastAsia="宋体"/>
        </w:rPr>
        <w:t xml:space="preserve">2.9 </w:t>
      </w:r>
      <w:r>
        <w:rPr>
          <w:rFonts w:hint="eastAsia"/>
          <w:lang w:val="en-US" w:eastAsia="zh-CN"/>
        </w:rPr>
        <w:t>单台原材料投料重量维护</w:t>
      </w:r>
      <w:r>
        <w:tab/>
        <w:fldChar w:fldCharType="begin"/>
        <w:instrText xml:space="preserve"> PAGEREF _Toc29224 \h </w:instrText>
        <w:fldChar w:fldCharType="separate"/>
        <w:t>10</w:t>
        <w:fldChar w:fldCharType="end"/>
      </w:r>
      <w:r>
        <w:rPr>
          <w:rFonts w:ascii="宋体" w:hAnsi="宋体" w:cs="Arial"/>
        </w:rPr>
        <w:fldChar w:fldCharType="end"/>
      </w:r>
    </w:p>
    <w:p w14:paraId="0FA571FC">
      <w:pPr>
        <w:pStyle w:val="35"/>
        <w:tabs>
          <w:tab w:val="right" w:leader="dot" w:pos="9747"/>
        </w:tabs>
      </w:pPr>
      <w:r>
        <w:rPr>
          <w:rFonts w:ascii="宋体" w:hAnsi="宋体" w:cs="Arial"/>
        </w:rPr>
        <w:fldChar w:fldCharType="begin"/>
        <w:instrText xml:space="preserve"> HYPERLINK \l _Toc28234 </w:instrText>
        <w:fldChar w:fldCharType="separate"/>
      </w:r>
      <w:r>
        <w:rPr>
          <w:rFonts w:hint="default" w:ascii="宋体" w:hAnsi="宋体" w:eastAsia="宋体"/>
        </w:rPr>
        <w:t xml:space="preserve">2.9.1 </w:t>
      </w:r>
      <w:r>
        <w:rPr>
          <w:rFonts w:hint="eastAsia" w:ascii="宋体" w:hAnsi="宋体" w:cs="宋体"/>
          <w:kern w:val="0"/>
          <w:szCs w:val="20"/>
          <w:lang w:val="en-US" w:eastAsia="zh-CN" w:bidi="ar"/>
        </w:rPr>
        <w:t>数据信息通过外购成本月度报表月度锁定自动汇总生成</w:t>
      </w:r>
      <w:r>
        <w:tab/>
        <w:fldChar w:fldCharType="begin"/>
        <w:instrText xml:space="preserve"> PAGEREF _Toc28234 \h </w:instrText>
        <w:fldChar w:fldCharType="separate"/>
        <w:t>10</w:t>
        <w:fldChar w:fldCharType="end"/>
      </w:r>
      <w:r>
        <w:rPr>
          <w:rFonts w:ascii="宋体" w:hAnsi="宋体" w:cs="Arial"/>
        </w:rPr>
        <w:fldChar w:fldCharType="end"/>
      </w:r>
    </w:p>
    <w:p w14:paraId="6684D82E">
      <w:pPr>
        <w:widowControl w:val="0"/>
        <w:pBdr>
          <w:bottom w:val="single" w:color="auto" w:sz="12" w:space="1"/>
        </w:pBdr>
        <w:ind w:right="-20"/>
        <w:rPr>
          <w:rFonts w:ascii="宋体" w:hAnsi="宋体" w:cs="Arial"/>
        </w:rPr>
        <w:sectPr>
          <w:footerReference r:id="rId6" w:type="first"/>
          <w:pgSz w:w="11907" w:h="16840"/>
          <w:pgMar w:top="1440" w:right="1080" w:bottom="1440" w:left="1080" w:header="720" w:footer="363" w:gutter="0"/>
          <w:cols w:space="720" w:num="1"/>
          <w:titlePg/>
          <w:docGrid w:type="lines" w:linePitch="272" w:charSpace="0"/>
        </w:sectPr>
      </w:pPr>
      <w:r>
        <w:rPr>
          <w:rFonts w:ascii="宋体" w:hAnsi="宋体" w:cs="Arial"/>
        </w:rPr>
        <w:fldChar w:fldCharType="end"/>
      </w:r>
    </w:p>
    <w:p w14:paraId="3734BCA2">
      <w:pPr>
        <w:pStyle w:val="2"/>
        <w:rPr>
          <w:rFonts w:ascii="宋体" w:hAnsi="宋体"/>
          <w:sz w:val="28"/>
          <w:szCs w:val="28"/>
        </w:rPr>
      </w:pPr>
      <w:bookmarkStart w:id="1" w:name="_Toc1620"/>
      <w:r>
        <w:rPr>
          <w:rFonts w:hint="eastAsia" w:ascii="宋体" w:hAnsi="宋体"/>
          <w:sz w:val="28"/>
          <w:szCs w:val="28"/>
        </w:rPr>
        <w:t>前言</w:t>
      </w:r>
      <w:bookmarkEnd w:id="1"/>
    </w:p>
    <w:p w14:paraId="3DB6769D">
      <w:pPr>
        <w:pStyle w:val="3"/>
        <w:rPr>
          <w:rFonts w:ascii="宋体" w:hAnsi="宋体"/>
        </w:rPr>
      </w:pPr>
      <w:bookmarkStart w:id="2" w:name="_Toc16441"/>
      <w:r>
        <w:rPr>
          <w:rFonts w:hint="eastAsia" w:ascii="宋体" w:hAnsi="宋体"/>
        </w:rPr>
        <w:t>编写</w:t>
      </w:r>
      <w:r>
        <w:rPr>
          <w:rFonts w:ascii="宋体" w:hAnsi="宋体"/>
        </w:rPr>
        <w:t>目的</w:t>
      </w:r>
      <w:bookmarkEnd w:id="2"/>
    </w:p>
    <w:p w14:paraId="7D0D67FE">
      <w:pPr>
        <w:ind w:firstLine="420"/>
      </w:pPr>
      <w:r>
        <w:rPr>
          <w:rFonts w:hint="eastAsia" w:ascii="宋体" w:hAnsi="宋体" w:cs="宋体"/>
          <w:sz w:val="24"/>
          <w:szCs w:val="24"/>
          <w:lang w:bidi="ar"/>
        </w:rPr>
        <w:t>验证市况联动板块优化 v4.1 中供应商报价流程和市况联动定价功能的正确性和完整性，确保各角色操作闭环通过。</w:t>
      </w:r>
    </w:p>
    <w:p w14:paraId="329FF975">
      <w:pPr>
        <w:pStyle w:val="3"/>
        <w:rPr>
          <w:rFonts w:ascii="宋体" w:hAnsi="宋体"/>
        </w:rPr>
      </w:pPr>
      <w:bookmarkStart w:id="3" w:name="_Toc4760"/>
      <w:r>
        <w:rPr>
          <w:rFonts w:hint="eastAsia" w:ascii="宋体" w:hAnsi="宋体"/>
        </w:rPr>
        <w:t>测试方法</w:t>
      </w:r>
      <w:bookmarkEnd w:id="3"/>
    </w:p>
    <w:p w14:paraId="53E102D8">
      <w:pPr>
        <w:ind w:firstLine="420"/>
      </w:pPr>
      <w:r>
        <w:rPr>
          <w:rFonts w:hint="eastAsia" w:ascii="宋体" w:hAnsi="宋体" w:cs="宋体"/>
          <w:sz w:val="24"/>
          <w:szCs w:val="24"/>
          <w:lang w:bidi="ar"/>
        </w:rPr>
        <w:t>在测试过程中系统每个模块可以先调用通用测试用例（新增、查询、编辑、删除、导入、导出、分页）执行测试过程，然后根据功能测试用例执行业务流程测试</w:t>
      </w:r>
      <w:r>
        <w:rPr>
          <w:rFonts w:ascii="宋体" w:hAnsi="宋体" w:cs="宋体"/>
          <w:sz w:val="24"/>
          <w:szCs w:val="24"/>
          <w:lang w:bidi="ar"/>
        </w:rPr>
        <w:t>。</w:t>
      </w:r>
    </w:p>
    <w:p w14:paraId="0E3404D6">
      <w:pPr>
        <w:pStyle w:val="3"/>
      </w:pPr>
      <w:bookmarkStart w:id="4" w:name="_Toc274011393"/>
      <w:bookmarkEnd w:id="4"/>
      <w:bookmarkStart w:id="5" w:name="_Toc19974"/>
      <w:r>
        <w:rPr>
          <w:rFonts w:hint="eastAsia"/>
        </w:rPr>
        <w:t>数据准备</w:t>
      </w:r>
      <w:bookmarkEnd w:id="5"/>
    </w:p>
    <w:tbl>
      <w:tblPr>
        <w:tblStyle w:val="69"/>
        <w:tblW w:w="5000" w:type="pct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6"/>
        <w:gridCol w:w="7635"/>
        <w:gridCol w:w="5515"/>
      </w:tblGrid>
      <w:tr w14:paraId="06F4E6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</w:trPr>
        <w:tc>
          <w:tcPr>
            <w:tcW w:w="1026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top"/>
          </w:tcPr>
          <w:p w14:paraId="53BB78E7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序号</w:t>
            </w:r>
          </w:p>
        </w:tc>
        <w:tc>
          <w:tcPr>
            <w:tcW w:w="7635" w:type="dxa"/>
            <w:tcBorders>
              <w:top w:val="single" w:color="000000" w:sz="4" w:space="0"/>
              <w:left w:val="single" w:color="000000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top"/>
          </w:tcPr>
          <w:p w14:paraId="244F23E0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提前准备事项</w:t>
            </w:r>
          </w:p>
        </w:tc>
        <w:tc>
          <w:tcPr>
            <w:tcW w:w="5515" w:type="dxa"/>
            <w:tcBorders>
              <w:top w:val="single" w:color="000000" w:sz="4" w:space="0"/>
              <w:left w:val="single" w:color="auto" w:sz="4" w:space="0"/>
              <w:bottom w:val="single" w:color="auto" w:sz="4" w:space="0"/>
              <w:right w:val="single" w:color="000000" w:sz="4" w:space="0"/>
            </w:tcBorders>
            <w:shd w:val="clear" w:color="auto" w:fill="BEBEBE" w:themeFill="background1" w:themeFillShade="BF"/>
            <w:vAlign w:val="top"/>
          </w:tcPr>
          <w:p w14:paraId="3A8DDF9F">
            <w:pPr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hint="eastAsia" w:ascii="宋体" w:hAnsi="宋体"/>
                <w:b/>
                <w:szCs w:val="21"/>
              </w:rPr>
              <w:t>用途说明</w:t>
            </w:r>
          </w:p>
        </w:tc>
      </w:tr>
      <w:tr w14:paraId="7ACD19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</w:trPr>
        <w:tc>
          <w:tcPr>
            <w:tcW w:w="1026" w:type="dxa"/>
            <w:tcBorders>
              <w:bottom w:val="single" w:color="auto" w:sz="4" w:space="0"/>
              <w:right w:val="single" w:color="auto" w:sz="4" w:space="0"/>
            </w:tcBorders>
            <w:vAlign w:val="top"/>
          </w:tcPr>
          <w:p w14:paraId="71E56BE0">
            <w:pPr>
              <w:jc w:val="center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7635" w:type="dxa"/>
            <w:tcBorders>
              <w:bottom w:val="single" w:color="auto" w:sz="4" w:space="0"/>
              <w:right w:val="single" w:color="auto" w:sz="4" w:space="0"/>
            </w:tcBorders>
            <w:vAlign w:val="top"/>
          </w:tcPr>
          <w:p w14:paraId="5CAE7E50">
            <w:pPr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谷歌浏览器及用户账号</w:t>
            </w:r>
          </w:p>
        </w:tc>
        <w:tc>
          <w:tcPr>
            <w:tcW w:w="5515" w:type="dxa"/>
            <w:tcBorders>
              <w:left w:val="single" w:color="auto" w:sz="4" w:space="0"/>
              <w:bottom w:val="single" w:color="auto" w:sz="4" w:space="0"/>
            </w:tcBorders>
            <w:vAlign w:val="top"/>
          </w:tcPr>
          <w:p w14:paraId="13F59EA7">
            <w:pPr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登录 GPM 系统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/>
            </w:r>
            <w:r>
              <w:rPr>
                <w:rFonts w:hint="eastAsia" w:ascii="宋体" w:hAnsi="宋体"/>
                <w:szCs w:val="21"/>
              </w:rPr>
              <w:t/>
            </w:r>
          </w:p>
        </w:tc>
      </w:tr>
      <w:tr w14:paraId="7ACD19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</w:trPr>
        <w:tc>
          <w:tcPr>
            <w:tcW w:w="1026" w:type="dxa"/>
            <w:tcBorders>
              <w:bottom w:val="single" w:color="auto" w:sz="4" w:space="0"/>
              <w:right w:val="single" w:color="auto" w:sz="4" w:space="0"/>
            </w:tcBorders>
            <w:vAlign w:val="top"/>
          </w:tcPr>
          <w:p w14:paraId="71E56BE0">
            <w:pPr>
              <w:jc w:val="center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</w:t>
            </w:r>
          </w:p>
        </w:tc>
        <w:tc>
          <w:tcPr>
            <w:tcW w:w="7635" w:type="dxa"/>
            <w:tcBorders>
              <w:bottom w:val="single" w:color="auto" w:sz="4" w:space="0"/>
              <w:right w:val="single" w:color="auto" w:sz="4" w:space="0"/>
            </w:tcBorders>
            <w:vAlign w:val="top"/>
          </w:tcPr>
          <w:p w14:paraId="5CAE7E50">
            <w:pPr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市况材料主数据（铜、铝、PP等）</w:t>
            </w:r>
          </w:p>
        </w:tc>
        <w:tc>
          <w:tcPr>
            <w:tcW w:w="5515" w:type="dxa"/>
            <w:tcBorders>
              <w:left w:val="single" w:color="auto" w:sz="4" w:space="0"/>
              <w:bottom w:val="single" w:color="auto" w:sz="4" w:space="0"/>
            </w:tcBorders>
            <w:vAlign w:val="top"/>
          </w:tcPr>
          <w:p w14:paraId="13F59EA7">
            <w:pPr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已配置市况材料主数据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/>
            </w:r>
            <w:r>
              <w:rPr>
                <w:rFonts w:hint="eastAsia" w:ascii="宋体" w:hAnsi="宋体"/>
                <w:szCs w:val="21"/>
              </w:rPr>
              <w:t/>
            </w:r>
          </w:p>
        </w:tc>
      </w:tr>
      <w:tr w14:paraId="7ACD19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</w:trPr>
        <w:tc>
          <w:tcPr>
            <w:tcW w:w="1026" w:type="dxa"/>
            <w:tcBorders>
              <w:bottom w:val="single" w:color="auto" w:sz="4" w:space="0"/>
              <w:right w:val="single" w:color="auto" w:sz="4" w:space="0"/>
            </w:tcBorders>
            <w:vAlign w:val="top"/>
          </w:tcPr>
          <w:p w14:paraId="71E56BE0">
            <w:pPr>
              <w:jc w:val="center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3</w:t>
            </w:r>
          </w:p>
        </w:tc>
        <w:tc>
          <w:tcPr>
            <w:tcW w:w="7635" w:type="dxa"/>
            <w:tcBorders>
              <w:bottom w:val="single" w:color="auto" w:sz="4" w:space="0"/>
              <w:right w:val="single" w:color="auto" w:sz="4" w:space="0"/>
            </w:tcBorders>
            <w:vAlign w:val="top"/>
          </w:tcPr>
          <w:p w14:paraId="5CAE7E50">
            <w:pPr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原材料行情数据</w:t>
            </w:r>
          </w:p>
        </w:tc>
        <w:tc>
          <w:tcPr>
            <w:tcW w:w="5515" w:type="dxa"/>
            <w:tcBorders>
              <w:left w:val="single" w:color="auto" w:sz="4" w:space="0"/>
              <w:bottom w:val="single" w:color="auto" w:sz="4" w:space="0"/>
            </w:tcBorders>
            <w:vAlign w:val="top"/>
          </w:tcPr>
          <w:p w14:paraId="13F59EA7">
            <w:pPr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已导入百川资讯/供应商来源行情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/>
            </w:r>
            <w:r>
              <w:rPr>
                <w:rFonts w:hint="eastAsia" w:ascii="宋体" w:hAnsi="宋体"/>
                <w:szCs w:val="21"/>
              </w:rPr>
              <w:t/>
            </w:r>
          </w:p>
        </w:tc>
      </w:tr>
      <w:tr w14:paraId="7ACD19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</w:trPr>
        <w:tc>
          <w:tcPr>
            <w:tcW w:w="1026" w:type="dxa"/>
            <w:tcBorders>
              <w:bottom w:val="single" w:color="auto" w:sz="4" w:space="0"/>
              <w:right w:val="single" w:color="auto" w:sz="4" w:space="0"/>
            </w:tcBorders>
            <w:vAlign w:val="top"/>
          </w:tcPr>
          <w:p w14:paraId="71E56BE0">
            <w:pPr>
              <w:jc w:val="center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4</w:t>
            </w:r>
          </w:p>
        </w:tc>
        <w:tc>
          <w:tcPr>
            <w:tcW w:w="7635" w:type="dxa"/>
            <w:tcBorders>
              <w:bottom w:val="single" w:color="auto" w:sz="4" w:space="0"/>
              <w:right w:val="single" w:color="auto" w:sz="4" w:space="0"/>
            </w:tcBorders>
            <w:vAlign w:val="top"/>
          </w:tcPr>
          <w:p w14:paraId="5CAE7E50">
            <w:pPr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市况类型与材料关系</w:t>
            </w:r>
          </w:p>
        </w:tc>
        <w:tc>
          <w:tcPr>
            <w:tcW w:w="5515" w:type="dxa"/>
            <w:tcBorders>
              <w:left w:val="single" w:color="auto" w:sz="4" w:space="0"/>
              <w:bottom w:val="single" w:color="auto" w:sz="4" w:space="0"/>
            </w:tcBorders>
            <w:vAlign w:val="top"/>
          </w:tcPr>
          <w:p w14:paraId="13F59EA7">
            <w:pPr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已维护并生效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/>
            </w:r>
            <w:r>
              <w:rPr>
                <w:rFonts w:hint="eastAsia" w:ascii="宋体" w:hAnsi="宋体"/>
                <w:szCs w:val="21"/>
              </w:rPr>
              <w:t/>
            </w:r>
          </w:p>
        </w:tc>
      </w:tr>
      <w:tr w14:paraId="7ACD19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</w:trPr>
        <w:tc>
          <w:tcPr>
            <w:tcW w:w="1026" w:type="dxa"/>
            <w:tcBorders>
              <w:bottom w:val="single" w:color="auto" w:sz="4" w:space="0"/>
              <w:right w:val="single" w:color="auto" w:sz="4" w:space="0"/>
            </w:tcBorders>
            <w:vAlign w:val="top"/>
          </w:tcPr>
          <w:p w14:paraId="71E56BE0">
            <w:pPr>
              <w:jc w:val="center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5</w:t>
            </w:r>
          </w:p>
        </w:tc>
        <w:tc>
          <w:tcPr>
            <w:tcW w:w="7635" w:type="dxa"/>
            <w:tcBorders>
              <w:bottom w:val="single" w:color="auto" w:sz="4" w:space="0"/>
              <w:right w:val="single" w:color="auto" w:sz="4" w:space="0"/>
            </w:tcBorders>
            <w:vAlign w:val="top"/>
          </w:tcPr>
          <w:p w14:paraId="5CAE7E50">
            <w:pPr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市况联动公式</w:t>
            </w:r>
          </w:p>
        </w:tc>
        <w:tc>
          <w:tcPr>
            <w:tcW w:w="5515" w:type="dxa"/>
            <w:tcBorders>
              <w:left w:val="single" w:color="auto" w:sz="4" w:space="0"/>
              <w:bottom w:val="single" w:color="auto" w:sz="4" w:space="0"/>
            </w:tcBorders>
            <w:vAlign w:val="top"/>
          </w:tcPr>
          <w:p w14:paraId="13F59EA7">
            <w:pPr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已配置材料单价要素+行情来源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/>
            </w:r>
            <w:r>
              <w:rPr>
                <w:rFonts w:hint="eastAsia" w:ascii="宋体" w:hAnsi="宋体"/>
                <w:szCs w:val="21"/>
              </w:rPr>
              <w:t/>
            </w:r>
          </w:p>
        </w:tc>
      </w:tr>
      <w:tr w14:paraId="7ACD19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</w:trPr>
        <w:tc>
          <w:tcPr>
            <w:tcW w:w="1026" w:type="dxa"/>
            <w:tcBorders>
              <w:bottom w:val="single" w:color="auto" w:sz="4" w:space="0"/>
              <w:right w:val="single" w:color="auto" w:sz="4" w:space="0"/>
            </w:tcBorders>
            <w:vAlign w:val="top"/>
          </w:tcPr>
          <w:p w14:paraId="71E56BE0">
            <w:pPr>
              <w:jc w:val="center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6</w:t>
            </w:r>
          </w:p>
        </w:tc>
        <w:tc>
          <w:tcPr>
            <w:tcW w:w="7635" w:type="dxa"/>
            <w:tcBorders>
              <w:bottom w:val="single" w:color="auto" w:sz="4" w:space="0"/>
              <w:right w:val="single" w:color="auto" w:sz="4" w:space="0"/>
            </w:tcBorders>
            <w:vAlign w:val="top"/>
          </w:tcPr>
          <w:p w14:paraId="5CAE7E50">
            <w:pPr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零件认领</w:t>
            </w:r>
          </w:p>
        </w:tc>
        <w:tc>
          <w:tcPr>
            <w:tcW w:w="5515" w:type="dxa"/>
            <w:tcBorders>
              <w:left w:val="single" w:color="auto" w:sz="4" w:space="0"/>
              <w:bottom w:val="single" w:color="auto" w:sz="4" w:space="0"/>
            </w:tcBorders>
            <w:vAlign w:val="top"/>
          </w:tcPr>
          <w:p w14:paraId="13F59EA7">
            <w:pPr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已配置"是否联动调价/市况补偿"为"是"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/>
            </w:r>
            <w:r>
              <w:rPr>
                <w:rFonts w:hint="eastAsia" w:ascii="宋体" w:hAnsi="宋体"/>
                <w:szCs w:val="21"/>
              </w:rPr>
              <w:t/>
            </w:r>
          </w:p>
        </w:tc>
      </w:tr>
      <w:tr w14:paraId="7ACD19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</w:trPr>
        <w:tc>
          <w:tcPr>
            <w:tcW w:w="1026" w:type="dxa"/>
            <w:tcBorders>
              <w:bottom w:val="single" w:color="auto" w:sz="4" w:space="0"/>
              <w:right w:val="single" w:color="auto" w:sz="4" w:space="0"/>
            </w:tcBorders>
            <w:vAlign w:val="top"/>
          </w:tcPr>
          <w:p w14:paraId="71E56BE0">
            <w:pPr>
              <w:jc w:val="center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7</w:t>
            </w:r>
          </w:p>
        </w:tc>
        <w:tc>
          <w:tcPr>
            <w:tcW w:w="7635" w:type="dxa"/>
            <w:tcBorders>
              <w:bottom w:val="single" w:color="auto" w:sz="4" w:space="0"/>
              <w:right w:val="single" w:color="auto" w:sz="4" w:space="0"/>
            </w:tcBorders>
            <w:vAlign w:val="top"/>
          </w:tcPr>
          <w:p w14:paraId="5CAE7E50">
            <w:pPr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零件价格联动维护</w:t>
            </w:r>
          </w:p>
        </w:tc>
        <w:tc>
          <w:tcPr>
            <w:tcW w:w="5515" w:type="dxa"/>
            <w:tcBorders>
              <w:left w:val="single" w:color="auto" w:sz="4" w:space="0"/>
              <w:bottom w:val="single" w:color="auto" w:sz="4" w:space="0"/>
            </w:tcBorders>
            <w:vAlign w:val="top"/>
          </w:tcPr>
          <w:p w14:paraId="13F59EA7">
            <w:pPr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已生效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/>
            </w:r>
            <w:r>
              <w:rPr>
                <w:rFonts w:hint="eastAsia" w:ascii="宋体" w:hAnsi="宋体"/>
                <w:szCs w:val="21"/>
              </w:rPr>
              <w:t/>
            </w:r>
          </w:p>
        </w:tc>
      </w:tr>
      <w:tr w14:paraId="7ACD19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0" w:hRule="atLeast"/>
        </w:trPr>
        <w:tc>
          <w:tcPr>
            <w:tcW w:w="1026" w:type="dxa"/>
            <w:tcBorders>
              <w:bottom w:val="single" w:color="auto" w:sz="4" w:space="0"/>
              <w:right w:val="single" w:color="auto" w:sz="4" w:space="0"/>
            </w:tcBorders>
            <w:vAlign w:val="top"/>
          </w:tcPr>
          <w:p w14:paraId="71E56BE0">
            <w:pPr>
              <w:jc w:val="center"/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8</w:t>
            </w:r>
          </w:p>
        </w:tc>
        <w:tc>
          <w:tcPr>
            <w:tcW w:w="7635" w:type="dxa"/>
            <w:tcBorders>
              <w:bottom w:val="single" w:color="auto" w:sz="4" w:space="0"/>
              <w:right w:val="single" w:color="auto" w:sz="4" w:space="0"/>
            </w:tcBorders>
            <w:vAlign w:val="top"/>
          </w:tcPr>
          <w:p w14:paraId="5CAE7E50">
            <w:pPr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测试用供应商账号</w:t>
            </w:r>
          </w:p>
        </w:tc>
        <w:tc>
          <w:tcPr>
            <w:tcW w:w="5515" w:type="dxa"/>
            <w:tcBorders>
              <w:left w:val="single" w:color="auto" w:sz="4" w:space="0"/>
              <w:bottom w:val="single" w:color="auto" w:sz="4" w:space="0"/>
            </w:tcBorders>
            <w:vAlign w:val="top"/>
          </w:tcPr>
          <w:p w14:paraId="13F59EA7">
            <w:pPr>
              <w:textAlignment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可正常登录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/>
            </w:r>
            <w:r>
              <w:rPr>
                <w:rFonts w:hint="eastAsia" w:ascii="宋体" w:hAnsi="宋体"/>
                <w:szCs w:val="21"/>
              </w:rPr>
              <w:t/>
            </w:r>
          </w:p>
        </w:tc>
      </w:tr>
    </w:tbl>
    <w:p w14:paraId="A0000100">
      <w:pPr>
        <w:pStyle w:val="2"/>
        <w:keepNext w:val="0"/>
        <w:keepLines w:val="0"/>
        <w:pageBreakBefore/>
        <w:widowControl w:val="0"/>
        <w:kinsoku/>
        <w:wordWrap/>
        <w:overflowPunct w:val="0"/>
        <w:topLinePunct w:val="0"/>
        <w:autoSpaceDE w:val="0"/>
        <w:autoSpaceDN w:val="0"/>
        <w:bidi w:val="0"/>
        <w:adjustRightInd w:val="0"/>
        <w:snapToGrid/>
        <w:textAlignment w:val="baseline"/>
        <w:rPr>
          <w:sz w:val="28"/>
          <w:szCs w:val="28"/>
        </w:rPr>
      </w:pPr>
      <w:r>
        <w:rPr>
          <w:rFonts w:hint="eastAsia"/>
          <w:sz w:val="28"/>
          <w:szCs w:val="28"/>
        </w:rPr>
        <w:t>测试用例</w:t>
      </w:r>
    </w:p>
    <w:p w14:paraId="A0000101">
      <w:pPr>
        <w:pStyle w:val="3"/>
        <w:numPr>
          <w:ilvl w:val="1"/>
          <w:numId w:val="2"/>
        </w:numPr>
        <w:tabs>
          <w:tab w:val="left" w:pos="1440"/>
          <w:tab w:val="clear" w:pos="1080"/>
        </w:tabs>
      </w:pPr>
      <w:r>
        <w:rPr>
          <w:rFonts w:hint="eastAsia"/>
          <w:lang w:val="en-US" w:eastAsia="zh-CN"/>
        </w:rPr>
        <w:t>价格目录</w:t>
      </w:r>
    </w:p>
    <w:p w14:paraId="A0000102">
      <w:pPr>
        <w:pStyle w:val="4"/>
        <w:numPr>
          <w:ilvl w:val="2"/>
          <w:numId w:val="2"/>
        </w:numPr>
        <w:tabs>
          <w:tab w:val="left" w:pos="2160"/>
          <w:tab w:val="clear" w:pos="1440"/>
        </w:tabs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6"/>
          <w:szCs w:val="16"/>
          <w:shd w:val="clear" w:fill="FFFFFF"/>
        </w:rPr>
        <w:t>价格目录</w:t>
      </w:r>
    </w:p>
    <w:tbl>
      <w:tr w14:paraId="A0000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1">
            <w:r>
              <w:rPr>
                <w:b/>
                <w:bCs/>
              </w:rPr>
              <w:t>用例编号</w:t>
            </w:r>
          </w:p>
        </w:tc>
        <w:tc>
          <w:tcPr>
            <w:tcW w:w="11659" w:type="dxa"/>
            <w:gridSpan w:val="5"/>
          </w:tcPr>
          <w:p w14:paraId="A0000002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PRICE-LINK-001</w:t>
            </w:r>
          </w:p>
        </w:tc>
      </w:tr>
      <w:tr w14:paraId="A0000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4">
            <w:r>
              <w:rPr>
                <w:b/>
                <w:bCs/>
              </w:rPr>
              <w:t>用例名称</w:t>
            </w:r>
          </w:p>
        </w:tc>
        <w:tc>
          <w:tcPr>
            <w:tcW w:w="11659" w:type="dxa"/>
            <w:gridSpan w:val="5"/>
          </w:tcPr>
          <w:p w14:paraId="A0000005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PP/钢板/铝板手工新增联动关系</w:t>
            </w:r>
          </w:p>
        </w:tc>
      </w:tr>
      <w:tr w14:paraId="A0000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7">
            <w:r>
              <w:rPr>
                <w:b/>
                <w:bCs/>
              </w:rPr>
              <w:t>前置条件</w:t>
            </w:r>
          </w:p>
        </w:tc>
        <w:tc>
          <w:tcPr>
            <w:tcW w:w="11659" w:type="dxa"/>
            <w:gridSpan w:val="5"/>
          </w:tcPr>
          <w:p w14:paraId="A0000008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1.已登录GPM系统</w:t>
            </w:r>
            <w:r>
              <w:rPr/>
              <w:t xml:space="preserve">2.配置管理→零件价格联动维护有权限</w:t>
            </w:r>
          </w:p>
          <w:p w14:paraId="A0000009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/>
            </w:r>
          </w:p>
          <w:p w14:paraId="A000000A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/>
            </w:r>
          </w:p>
        </w:tc>
      </w:tr>
      <w:tr w14:paraId="A0000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021" w:type="dxa"/>
            <w:shd w:val="clear" w:color="auto" w:fill="AFABAB"/>
          </w:tcPr>
          <w:p w14:paraId="A000000C">
            <w:r>
              <w:rPr>
                <w:b/>
                <w:bCs/>
              </w:rPr>
              <w:t>用例描述</w:t>
            </w:r>
          </w:p>
        </w:tc>
        <w:tc>
          <w:tcPr>
            <w:tcW w:w="11659" w:type="dxa"/>
            <w:gridSpan w:val="5"/>
          </w:tcPr>
          <w:p w14:paraId="A000000D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验证PP、钢板、铝板市况类型支持手工新增联动关系，字段名称使用新命名</w:t>
            </w:r>
          </w:p>
        </w:tc>
      </w:tr>
      <w:tr w14:paraId="A0000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  <w:trHeight w:val="400" w:hRule="atLeast"/>
        </w:trPr>
        <w:tc>
          <w:tcPr>
            <w:tcW w:w="1021" w:type="dxa"/>
            <w:shd w:val="clear" w:color="auto" w:fill="AFABAB"/>
          </w:tcPr>
          <w:p w14:paraId="A000000F">
            <w:r>
              <w:rPr>
                <w:b/>
                <w:bCs/>
              </w:rPr>
              <w:t>体现环节</w:t>
            </w:r>
          </w:p>
        </w:tc>
        <w:tc>
          <w:tcPr>
            <w:tcW w:w="2410" w:type="dxa"/>
            <w:shd w:val="clear" w:color="auto" w:fill="AFABAB"/>
          </w:tcPr>
          <w:p w14:paraId="A0000010">
            <w:pPr>
              <w:rPr>
                <w:b/>
              </w:rPr>
            </w:pPr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3119" w:type="dxa"/>
            <w:shd w:val="clear" w:color="auto" w:fill="AFABAB"/>
          </w:tcPr>
          <w:p w14:paraId="A0000011">
            <w:r>
              <w:rPr>
                <w:b/>
                <w:bCs/>
              </w:rPr>
              <w:t>预期结果</w:t>
            </w:r>
          </w:p>
        </w:tc>
        <w:tc>
          <w:tcPr>
            <w:tcW w:w="4819" w:type="dxa"/>
            <w:shd w:val="clear" w:color="auto" w:fill="AFABAB"/>
          </w:tcPr>
          <w:p w14:paraId="A000001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图示</w:t>
            </w:r>
          </w:p>
        </w:tc>
        <w:tc>
          <w:tcPr>
            <w:tcW w:w="1275" w:type="dxa"/>
            <w:shd w:val="clear" w:color="auto" w:fill="AFABAB"/>
            <w:vAlign w:val="center"/>
          </w:tcPr>
          <w:p w14:paraId="A000001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测试结果</w:t>
            </w:r>
          </w:p>
        </w:tc>
      </w:tr>
      <w:tr w14:paraId="A000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15">
            <w:pPr>
              <w:jc w:val="center"/>
            </w:pPr>
            <w:r>
              <w:t>1</w:t>
            </w:r>
          </w:p>
        </w:tc>
        <w:tc>
          <w:tcPr>
            <w:tcW w:w="2410" w:type="dxa"/>
          </w:tcPr>
          <w:p w14:paraId="A000001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进入"零件价格联动维护"页面</w:t>
            </w:r>
          </w:p>
        </w:tc>
        <w:tc>
          <w:tcPr>
            <w:tcW w:w="3119" w:type="dxa"/>
          </w:tcPr>
          <w:p w14:paraId="A000001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成功打开菜单页面</w:t>
            </w:r>
          </w:p>
        </w:tc>
        <w:tc>
          <w:tcPr>
            <w:tcW w:w="4819" w:type="dxa"/>
          </w:tcPr>
          <w:p w14:paraId="A0000018">
            <w:pPr>
              <w:jc w:val="center"/>
            </w:pPr>
          </w:p>
        </w:tc>
        <w:tc>
          <w:tcPr>
            <w:tcW w:w="1275" w:type="dxa"/>
          </w:tcPr>
          <w:p w14:paraId="A0000019">
            <w:pPr/>
          </w:p>
        </w:tc>
      </w:tr>
      <w:tr w14:paraId="A000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15">
            <w:pPr>
              <w:jc w:val="center"/>
            </w:pPr>
            <w:r>
              <w:t>2</w:t>
            </w:r>
          </w:p>
        </w:tc>
        <w:tc>
          <w:tcPr>
            <w:tcW w:w="2410" w:type="dxa"/>
          </w:tcPr>
          <w:p w14:paraId="A000001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点击"新增"，选择PP/钢板/铝板市况类型</w:t>
            </w:r>
          </w:p>
        </w:tc>
        <w:tc>
          <w:tcPr>
            <w:tcW w:w="3119" w:type="dxa"/>
          </w:tcPr>
          <w:p w14:paraId="A000001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弹出新增窗口，市况类型可选择</w:t>
            </w:r>
          </w:p>
        </w:tc>
        <w:tc>
          <w:tcPr>
            <w:tcW w:w="4819" w:type="dxa"/>
          </w:tcPr>
          <w:p w14:paraId="A0000018">
            <w:pPr>
              <w:jc w:val="center"/>
            </w:pPr>
          </w:p>
        </w:tc>
        <w:tc>
          <w:tcPr>
            <w:tcW w:w="1275" w:type="dxa"/>
          </w:tcPr>
          <w:p w14:paraId="A0000019">
            <w:pPr/>
          </w:p>
        </w:tc>
      </w:tr>
      <w:tr w14:paraId="A000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15">
            <w:pPr>
              <w:jc w:val="center"/>
            </w:pPr>
            <w:r>
              <w:t>3</w:t>
            </w:r>
          </w:p>
        </w:tc>
        <w:tc>
          <w:tcPr>
            <w:tcW w:w="2410" w:type="dxa"/>
          </w:tcPr>
          <w:p w14:paraId="A000001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填写材料编码等信息，保存</w:t>
            </w:r>
          </w:p>
        </w:tc>
        <w:tc>
          <w:tcPr>
            <w:tcW w:w="3119" w:type="dxa"/>
          </w:tcPr>
          <w:p w14:paraId="A000001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保存成功，状态为"拟定"</w:t>
            </w:r>
          </w:p>
        </w:tc>
        <w:tc>
          <w:tcPr>
            <w:tcW w:w="4819" w:type="dxa"/>
          </w:tcPr>
          <w:p w14:paraId="A0000018">
            <w:pPr>
              <w:jc w:val="center"/>
            </w:pPr>
          </w:p>
        </w:tc>
        <w:tc>
          <w:tcPr>
            <w:tcW w:w="1275" w:type="dxa"/>
          </w:tcPr>
          <w:p w14:paraId="A0000019">
            <w:pPr/>
          </w:p>
        </w:tc>
      </w:tr>
      <w:tr w14:paraId="A000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15">
            <w:pPr>
              <w:jc w:val="center"/>
            </w:pPr>
            <w:r>
              <w:t>4</w:t>
            </w:r>
          </w:p>
        </w:tc>
        <w:tc>
          <w:tcPr>
            <w:tcW w:w="2410" w:type="dxa"/>
          </w:tcPr>
          <w:p w14:paraId="A000001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点击"生效"</w:t>
            </w:r>
          </w:p>
        </w:tc>
        <w:tc>
          <w:tcPr>
            <w:tcW w:w="3119" w:type="dxa"/>
          </w:tcPr>
          <w:p w14:paraId="A000001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状态变为"生效"</w:t>
            </w:r>
          </w:p>
        </w:tc>
        <w:tc>
          <w:tcPr>
            <w:tcW w:w="4819" w:type="dxa"/>
          </w:tcPr>
          <w:p w14:paraId="A0000018">
            <w:pPr>
              <w:jc w:val="center"/>
            </w:pPr>
          </w:p>
        </w:tc>
        <w:tc>
          <w:tcPr>
            <w:tcW w:w="1275" w:type="dxa"/>
          </w:tcPr>
          <w:p w14:paraId="A0000019">
            <w:pPr/>
          </w:p>
        </w:tc>
      </w:tr>
    </w:tbl>
    <w:p>
      <w:pPr/>
    </w:p>
    <w:p>
      <w:pPr/>
    </w:p>
    <w:tbl>
      <w:tr w14:paraId="A0000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1">
            <w:r>
              <w:rPr>
                <w:b/>
                <w:bCs/>
              </w:rPr>
              <w:t>用例编号</w:t>
            </w:r>
          </w:p>
        </w:tc>
        <w:tc>
          <w:tcPr>
            <w:tcW w:w="11659" w:type="dxa"/>
            <w:gridSpan w:val="5"/>
          </w:tcPr>
          <w:p w14:paraId="A0000002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PRICE-LINK-002</w:t>
            </w:r>
          </w:p>
        </w:tc>
      </w:tr>
      <w:tr w14:paraId="A0000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4">
            <w:r>
              <w:rPr>
                <w:b/>
                <w:bCs/>
              </w:rPr>
              <w:t>用例名称</w:t>
            </w:r>
          </w:p>
        </w:tc>
        <w:tc>
          <w:tcPr>
            <w:tcW w:w="11659" w:type="dxa"/>
            <w:gridSpan w:val="5"/>
          </w:tcPr>
          <w:p w14:paraId="A0000005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PP/钢板/铝板批量导入联动关系</w:t>
            </w:r>
          </w:p>
        </w:tc>
      </w:tr>
      <w:tr w14:paraId="A0000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7">
            <w:r>
              <w:rPr>
                <w:b/>
                <w:bCs/>
              </w:rPr>
              <w:t>前置条件</w:t>
            </w:r>
          </w:p>
        </w:tc>
        <w:tc>
          <w:tcPr>
            <w:tcW w:w="11659" w:type="dxa"/>
            <w:gridSpan w:val="5"/>
          </w:tcPr>
          <w:p w14:paraId="A0000008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1.同上</w:t>
            </w:r>
            <w:r>
              <w:rPr/>
              <w:t xml:space="preserve">2.已下载导入模板</w:t>
            </w:r>
          </w:p>
          <w:p w14:paraId="A0000009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/>
            </w:r>
          </w:p>
          <w:p w14:paraId="A000000A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/>
            </w:r>
          </w:p>
        </w:tc>
      </w:tr>
      <w:tr w14:paraId="A0000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021" w:type="dxa"/>
            <w:shd w:val="clear" w:color="auto" w:fill="AFABAB"/>
          </w:tcPr>
          <w:p w14:paraId="A000000C">
            <w:r>
              <w:rPr>
                <w:b/>
                <w:bCs/>
              </w:rPr>
              <w:t>用例描述</w:t>
            </w:r>
          </w:p>
        </w:tc>
        <w:tc>
          <w:tcPr>
            <w:tcW w:w="11659" w:type="dxa"/>
            <w:gridSpan w:val="5"/>
          </w:tcPr>
          <w:p w14:paraId="A000000D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验证PP、钢板、铝板市况类型支持Excel批量导入</w:t>
            </w:r>
          </w:p>
        </w:tc>
      </w:tr>
      <w:tr w14:paraId="A0000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  <w:trHeight w:val="400" w:hRule="atLeast"/>
        </w:trPr>
        <w:tc>
          <w:tcPr>
            <w:tcW w:w="1021" w:type="dxa"/>
            <w:shd w:val="clear" w:color="auto" w:fill="AFABAB"/>
          </w:tcPr>
          <w:p w14:paraId="A000000F">
            <w:r>
              <w:rPr>
                <w:b/>
                <w:bCs/>
              </w:rPr>
              <w:t>体现环节</w:t>
            </w:r>
          </w:p>
        </w:tc>
        <w:tc>
          <w:tcPr>
            <w:tcW w:w="2410" w:type="dxa"/>
            <w:shd w:val="clear" w:color="auto" w:fill="AFABAB"/>
          </w:tcPr>
          <w:p w14:paraId="A0000010">
            <w:pPr>
              <w:rPr>
                <w:b/>
              </w:rPr>
            </w:pPr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3119" w:type="dxa"/>
            <w:shd w:val="clear" w:color="auto" w:fill="AFABAB"/>
          </w:tcPr>
          <w:p w14:paraId="A0000011">
            <w:r>
              <w:rPr>
                <w:b/>
                <w:bCs/>
              </w:rPr>
              <w:t>预期结果</w:t>
            </w:r>
          </w:p>
        </w:tc>
        <w:tc>
          <w:tcPr>
            <w:tcW w:w="4819" w:type="dxa"/>
            <w:shd w:val="clear" w:color="auto" w:fill="AFABAB"/>
          </w:tcPr>
          <w:p w14:paraId="A000001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图示</w:t>
            </w:r>
          </w:p>
        </w:tc>
        <w:tc>
          <w:tcPr>
            <w:tcW w:w="1275" w:type="dxa"/>
            <w:shd w:val="clear" w:color="auto" w:fill="AFABAB"/>
            <w:vAlign w:val="center"/>
          </w:tcPr>
          <w:p w14:paraId="A000001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测试结果</w:t>
            </w:r>
          </w:p>
        </w:tc>
      </w:tr>
      <w:tr w14:paraId="A000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15">
            <w:pPr>
              <w:jc w:val="center"/>
            </w:pPr>
            <w:r>
              <w:t>1</w:t>
            </w:r>
          </w:p>
        </w:tc>
        <w:tc>
          <w:tcPr>
            <w:tcW w:w="2410" w:type="dxa"/>
          </w:tcPr>
          <w:p w14:paraId="A000001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点击"导入"，下载模板</w:t>
            </w:r>
          </w:p>
        </w:tc>
        <w:tc>
          <w:tcPr>
            <w:tcW w:w="3119" w:type="dxa"/>
          </w:tcPr>
          <w:p w14:paraId="A000001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模板字段使用新命名</w:t>
            </w:r>
          </w:p>
        </w:tc>
        <w:tc>
          <w:tcPr>
            <w:tcW w:w="4819" w:type="dxa"/>
          </w:tcPr>
          <w:p w14:paraId="A0000018">
            <w:pPr>
              <w:jc w:val="center"/>
            </w:pPr>
          </w:p>
        </w:tc>
        <w:tc>
          <w:tcPr>
            <w:tcW w:w="1275" w:type="dxa"/>
          </w:tcPr>
          <w:p w14:paraId="A0000019">
            <w:pPr/>
          </w:p>
        </w:tc>
      </w:tr>
      <w:tr w14:paraId="A000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15">
            <w:pPr>
              <w:jc w:val="center"/>
            </w:pPr>
            <w:r>
              <w:t>2</w:t>
            </w:r>
          </w:p>
        </w:tc>
        <w:tc>
          <w:tcPr>
            <w:tcW w:w="2410" w:type="dxa"/>
          </w:tcPr>
          <w:p w14:paraId="A000001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按模板填写数据并上传</w:t>
            </w:r>
          </w:p>
        </w:tc>
        <w:tc>
          <w:tcPr>
            <w:tcW w:w="3119" w:type="dxa"/>
          </w:tcPr>
          <w:p w14:paraId="A000001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校验通过的行导入成功</w:t>
            </w:r>
          </w:p>
        </w:tc>
        <w:tc>
          <w:tcPr>
            <w:tcW w:w="4819" w:type="dxa"/>
          </w:tcPr>
          <w:p w14:paraId="A0000018">
            <w:pPr>
              <w:jc w:val="center"/>
            </w:pPr>
          </w:p>
        </w:tc>
        <w:tc>
          <w:tcPr>
            <w:tcW w:w="1275" w:type="dxa"/>
          </w:tcPr>
          <w:p w14:paraId="A0000019">
            <w:pPr/>
          </w:p>
        </w:tc>
      </w:tr>
      <w:tr w14:paraId="A000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15">
            <w:pPr>
              <w:jc w:val="center"/>
            </w:pPr>
            <w:r>
              <w:t>3</w:t>
            </w:r>
          </w:p>
        </w:tc>
        <w:tc>
          <w:tcPr>
            <w:tcW w:w="2410" w:type="dxa"/>
          </w:tcPr>
          <w:p w14:paraId="A000001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查看失败行</w:t>
            </w:r>
          </w:p>
        </w:tc>
        <w:tc>
          <w:tcPr>
            <w:tcW w:w="3119" w:type="dxa"/>
          </w:tcPr>
          <w:p w14:paraId="A000001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失败行提示具体原因</w:t>
            </w:r>
          </w:p>
        </w:tc>
        <w:tc>
          <w:tcPr>
            <w:tcW w:w="4819" w:type="dxa"/>
          </w:tcPr>
          <w:p w14:paraId="A0000018">
            <w:pPr>
              <w:jc w:val="center"/>
            </w:pPr>
          </w:p>
        </w:tc>
        <w:tc>
          <w:tcPr>
            <w:tcW w:w="1275" w:type="dxa"/>
          </w:tcPr>
          <w:p w14:paraId="A0000019">
            <w:pPr/>
          </w:p>
        </w:tc>
      </w:tr>
    </w:tbl>
    <w:p>
      <w:pPr/>
    </w:p>
    <w:p>
      <w:pPr/>
    </w:p>
    <w:tbl>
      <w:tr w14:paraId="A0000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1">
            <w:r>
              <w:rPr>
                <w:b/>
                <w:bCs/>
              </w:rPr>
              <w:t>用例编号</w:t>
            </w:r>
          </w:p>
        </w:tc>
        <w:tc>
          <w:tcPr>
            <w:tcW w:w="11659" w:type="dxa"/>
            <w:gridSpan w:val="5"/>
          </w:tcPr>
          <w:p w14:paraId="A0000002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PRICE-LINK-003</w:t>
            </w:r>
          </w:p>
        </w:tc>
      </w:tr>
      <w:tr w14:paraId="A0000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4">
            <w:r>
              <w:rPr>
                <w:b/>
                <w:bCs/>
              </w:rPr>
              <w:t>用例名称</w:t>
            </w:r>
          </w:p>
        </w:tc>
        <w:tc>
          <w:tcPr>
            <w:tcW w:w="11659" w:type="dxa"/>
            <w:gridSpan w:val="5"/>
          </w:tcPr>
          <w:p w14:paraId="A0000005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非PP/钢板/铝板市况类型导入失败</w:t>
            </w:r>
          </w:p>
        </w:tc>
      </w:tr>
      <w:tr w14:paraId="A0000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7">
            <w:r>
              <w:rPr>
                <w:b/>
                <w:bCs/>
              </w:rPr>
              <w:t>前置条件</w:t>
            </w:r>
          </w:p>
        </w:tc>
        <w:tc>
          <w:tcPr>
            <w:tcW w:w="11659" w:type="dxa"/>
            <w:gridSpan w:val="5"/>
          </w:tcPr>
          <w:p w14:paraId="A0000008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1.同上</w:t>
            </w:r>
            <w:r>
              <w:rPr/>
              <w:t xml:space="preserve">2.已准备含其他市况类型的导入文件</w:t>
            </w:r>
          </w:p>
          <w:p w14:paraId="A0000009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/>
            </w:r>
          </w:p>
          <w:p w14:paraId="A000000A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/>
            </w:r>
          </w:p>
        </w:tc>
      </w:tr>
      <w:tr w14:paraId="A0000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021" w:type="dxa"/>
            <w:shd w:val="clear" w:color="auto" w:fill="AFABAB"/>
          </w:tcPr>
          <w:p w14:paraId="A000000C">
            <w:r>
              <w:rPr>
                <w:b/>
                <w:bCs/>
              </w:rPr>
              <w:t>用例描述</w:t>
            </w:r>
          </w:p>
        </w:tc>
        <w:tc>
          <w:tcPr>
            <w:tcW w:w="11659" w:type="dxa"/>
            <w:gridSpan w:val="5"/>
          </w:tcPr>
          <w:p w14:paraId="A000000D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验证非PP/钢板/铝板市况类型数据导入时被拦截</w:t>
            </w:r>
          </w:p>
        </w:tc>
      </w:tr>
      <w:tr w14:paraId="A0000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  <w:trHeight w:val="400" w:hRule="atLeast"/>
        </w:trPr>
        <w:tc>
          <w:tcPr>
            <w:tcW w:w="1021" w:type="dxa"/>
            <w:shd w:val="clear" w:color="auto" w:fill="AFABAB"/>
          </w:tcPr>
          <w:p w14:paraId="A000000F">
            <w:r>
              <w:rPr>
                <w:b/>
                <w:bCs/>
              </w:rPr>
              <w:t>体现环节</w:t>
            </w:r>
          </w:p>
        </w:tc>
        <w:tc>
          <w:tcPr>
            <w:tcW w:w="2410" w:type="dxa"/>
            <w:shd w:val="clear" w:color="auto" w:fill="AFABAB"/>
          </w:tcPr>
          <w:p w14:paraId="A0000010">
            <w:pPr>
              <w:rPr>
                <w:b/>
              </w:rPr>
            </w:pPr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3119" w:type="dxa"/>
            <w:shd w:val="clear" w:color="auto" w:fill="AFABAB"/>
          </w:tcPr>
          <w:p w14:paraId="A0000011">
            <w:r>
              <w:rPr>
                <w:b/>
                <w:bCs/>
              </w:rPr>
              <w:t>预期结果</w:t>
            </w:r>
          </w:p>
        </w:tc>
        <w:tc>
          <w:tcPr>
            <w:tcW w:w="4819" w:type="dxa"/>
            <w:shd w:val="clear" w:color="auto" w:fill="AFABAB"/>
          </w:tcPr>
          <w:p w14:paraId="A000001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图示</w:t>
            </w:r>
          </w:p>
        </w:tc>
        <w:tc>
          <w:tcPr>
            <w:tcW w:w="1275" w:type="dxa"/>
            <w:shd w:val="clear" w:color="auto" w:fill="AFABAB"/>
            <w:vAlign w:val="center"/>
          </w:tcPr>
          <w:p w14:paraId="A000001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测试结果</w:t>
            </w:r>
          </w:p>
        </w:tc>
      </w:tr>
      <w:tr w14:paraId="A000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15">
            <w:pPr>
              <w:jc w:val="center"/>
            </w:pPr>
            <w:r>
              <w:t>1</w:t>
            </w:r>
          </w:p>
        </w:tc>
        <w:tc>
          <w:tcPr>
            <w:tcW w:w="2410" w:type="dxa"/>
          </w:tcPr>
          <w:p w14:paraId="A000001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在导入模板中填写铜等非PP类型</w:t>
            </w:r>
          </w:p>
        </w:tc>
        <w:tc>
          <w:tcPr>
            <w:tcW w:w="3119" w:type="dxa"/>
          </w:tcPr>
          <w:p w14:paraId="A000001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提示"该市况类型不支持导入"</w:t>
            </w:r>
          </w:p>
        </w:tc>
        <w:tc>
          <w:tcPr>
            <w:tcW w:w="4819" w:type="dxa"/>
          </w:tcPr>
          <w:p w14:paraId="A0000018">
            <w:pPr>
              <w:jc w:val="center"/>
            </w:pPr>
          </w:p>
        </w:tc>
        <w:tc>
          <w:tcPr>
            <w:tcW w:w="1275" w:type="dxa"/>
          </w:tcPr>
          <w:p w14:paraId="A0000019">
            <w:pPr/>
          </w:p>
        </w:tc>
      </w:tr>
      <w:tr w14:paraId="A000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15">
            <w:pPr>
              <w:jc w:val="center"/>
            </w:pPr>
            <w:r>
              <w:t>2</w:t>
            </w:r>
          </w:p>
        </w:tc>
        <w:tc>
          <w:tcPr>
            <w:tcW w:w="2410" w:type="dxa"/>
          </w:tcPr>
          <w:p w14:paraId="A000001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上传模板</w:t>
            </w:r>
          </w:p>
        </w:tc>
        <w:tc>
          <w:tcPr>
            <w:tcW w:w="3119" w:type="dxa"/>
          </w:tcPr>
          <w:p w14:paraId="A000001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导入失败</w:t>
            </w:r>
          </w:p>
        </w:tc>
        <w:tc>
          <w:tcPr>
            <w:tcW w:w="4819" w:type="dxa"/>
          </w:tcPr>
          <w:p w14:paraId="A0000018">
            <w:pPr>
              <w:jc w:val="center"/>
            </w:pPr>
          </w:p>
        </w:tc>
        <w:tc>
          <w:tcPr>
            <w:tcW w:w="1275" w:type="dxa"/>
          </w:tcPr>
          <w:p w14:paraId="A0000019">
            <w:pPr/>
          </w:p>
        </w:tc>
      </w:tr>
    </w:tbl>
    <w:p>
      <w:pPr/>
    </w:p>
    <w:p>
      <w:pPr/>
    </w:p>
    <w:tbl>
      <w:tr w14:paraId="A0000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1">
            <w:r>
              <w:rPr>
                <w:b/>
                <w:bCs/>
              </w:rPr>
              <w:t>用例编号</w:t>
            </w:r>
          </w:p>
        </w:tc>
        <w:tc>
          <w:tcPr>
            <w:tcW w:w="11659" w:type="dxa"/>
            <w:gridSpan w:val="5"/>
          </w:tcPr>
          <w:p w14:paraId="A0000002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PRICE-LINK-004</w:t>
            </w:r>
          </w:p>
        </w:tc>
      </w:tr>
      <w:tr w14:paraId="A0000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4">
            <w:r>
              <w:rPr>
                <w:b/>
                <w:bCs/>
              </w:rPr>
              <w:t>用例名称</w:t>
            </w:r>
          </w:p>
        </w:tc>
        <w:tc>
          <w:tcPr>
            <w:tcW w:w="11659" w:type="dxa"/>
            <w:gridSpan w:val="5"/>
          </w:tcPr>
          <w:p w14:paraId="A0000005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管理支给件-总成件市况类型置灰</w:t>
            </w:r>
          </w:p>
        </w:tc>
      </w:tr>
      <w:tr w14:paraId="A0000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7">
            <w:r>
              <w:rPr>
                <w:b/>
                <w:bCs/>
              </w:rPr>
              <w:t>前置条件</w:t>
            </w:r>
          </w:p>
        </w:tc>
        <w:tc>
          <w:tcPr>
            <w:tcW w:w="11659" w:type="dxa"/>
            <w:gridSpan w:val="5"/>
          </w:tcPr>
          <w:p w14:paraId="A0000008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1.同上</w:t>
            </w:r>
            <w:r>
              <w:rPr/>
              <w:t xml:space="preserve">2.零件映射类型为"管理支给件-总成件"</w:t>
            </w:r>
          </w:p>
          <w:p w14:paraId="A0000009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/>
            </w:r>
          </w:p>
          <w:p w14:paraId="A000000A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/>
            </w:r>
          </w:p>
        </w:tc>
      </w:tr>
      <w:tr w14:paraId="A0000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021" w:type="dxa"/>
            <w:shd w:val="clear" w:color="auto" w:fill="AFABAB"/>
          </w:tcPr>
          <w:p w14:paraId="A000000C">
            <w:r>
              <w:rPr>
                <w:b/>
                <w:bCs/>
              </w:rPr>
              <w:t>用例描述</w:t>
            </w:r>
          </w:p>
        </w:tc>
        <w:tc>
          <w:tcPr>
            <w:tcW w:w="11659" w:type="dxa"/>
            <w:gridSpan w:val="5"/>
          </w:tcPr>
          <w:p w14:paraId="A000000D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验证总成件市况类型固定为空且置灰</w:t>
            </w:r>
          </w:p>
        </w:tc>
      </w:tr>
      <w:tr w14:paraId="A0000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  <w:trHeight w:val="400" w:hRule="atLeast"/>
        </w:trPr>
        <w:tc>
          <w:tcPr>
            <w:tcW w:w="1021" w:type="dxa"/>
            <w:shd w:val="clear" w:color="auto" w:fill="AFABAB"/>
          </w:tcPr>
          <w:p w14:paraId="A000000F">
            <w:r>
              <w:rPr>
                <w:b/>
                <w:bCs/>
              </w:rPr>
              <w:t>体现环节</w:t>
            </w:r>
          </w:p>
        </w:tc>
        <w:tc>
          <w:tcPr>
            <w:tcW w:w="2410" w:type="dxa"/>
            <w:shd w:val="clear" w:color="auto" w:fill="AFABAB"/>
          </w:tcPr>
          <w:p w14:paraId="A0000010">
            <w:pPr>
              <w:rPr>
                <w:b/>
              </w:rPr>
            </w:pPr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3119" w:type="dxa"/>
            <w:shd w:val="clear" w:color="auto" w:fill="AFABAB"/>
          </w:tcPr>
          <w:p w14:paraId="A0000011">
            <w:r>
              <w:rPr>
                <w:b/>
                <w:bCs/>
              </w:rPr>
              <w:t>预期结果</w:t>
            </w:r>
          </w:p>
        </w:tc>
        <w:tc>
          <w:tcPr>
            <w:tcW w:w="4819" w:type="dxa"/>
            <w:shd w:val="clear" w:color="auto" w:fill="AFABAB"/>
          </w:tcPr>
          <w:p w14:paraId="A000001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图示</w:t>
            </w:r>
          </w:p>
        </w:tc>
        <w:tc>
          <w:tcPr>
            <w:tcW w:w="1275" w:type="dxa"/>
            <w:shd w:val="clear" w:color="auto" w:fill="AFABAB"/>
            <w:vAlign w:val="center"/>
          </w:tcPr>
          <w:p w14:paraId="A000001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测试结果</w:t>
            </w:r>
          </w:p>
        </w:tc>
      </w:tr>
      <w:tr w14:paraId="A000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15">
            <w:pPr>
              <w:jc w:val="center"/>
            </w:pPr>
            <w:r>
              <w:t>1</w:t>
            </w:r>
          </w:p>
        </w:tc>
        <w:tc>
          <w:tcPr>
            <w:tcW w:w="2410" w:type="dxa"/>
          </w:tcPr>
          <w:p w14:paraId="A000001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查询总成件</w:t>
            </w:r>
          </w:p>
        </w:tc>
        <w:tc>
          <w:tcPr>
            <w:tcW w:w="3119" w:type="dxa"/>
          </w:tcPr>
          <w:p w14:paraId="A000001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查询结果正常</w:t>
            </w:r>
          </w:p>
        </w:tc>
        <w:tc>
          <w:tcPr>
            <w:tcW w:w="4819" w:type="dxa"/>
          </w:tcPr>
          <w:p w14:paraId="A0000018">
            <w:pPr>
              <w:jc w:val="center"/>
            </w:pPr>
          </w:p>
        </w:tc>
        <w:tc>
          <w:tcPr>
            <w:tcW w:w="1275" w:type="dxa"/>
          </w:tcPr>
          <w:p w14:paraId="A0000019">
            <w:pPr/>
          </w:p>
        </w:tc>
      </w:tr>
      <w:tr w14:paraId="A000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15">
            <w:pPr>
              <w:jc w:val="center"/>
            </w:pPr>
            <w:r>
              <w:t>2</w:t>
            </w:r>
          </w:p>
        </w:tc>
        <w:tc>
          <w:tcPr>
            <w:tcW w:w="2410" w:type="dxa"/>
          </w:tcPr>
          <w:p w14:paraId="A000001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点击"新增"</w:t>
            </w:r>
          </w:p>
        </w:tc>
        <w:tc>
          <w:tcPr>
            <w:tcW w:w="3119" w:type="dxa"/>
          </w:tcPr>
          <w:p w14:paraId="A000001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市况类型字段置灰不可选，显示为空</w:t>
            </w:r>
          </w:p>
        </w:tc>
        <w:tc>
          <w:tcPr>
            <w:tcW w:w="4819" w:type="dxa"/>
          </w:tcPr>
          <w:p w14:paraId="A0000018">
            <w:pPr>
              <w:jc w:val="center"/>
            </w:pPr>
          </w:p>
        </w:tc>
        <w:tc>
          <w:tcPr>
            <w:tcW w:w="1275" w:type="dxa"/>
          </w:tcPr>
          <w:p w14:paraId="A0000019">
            <w:pPr/>
          </w:p>
        </w:tc>
      </w:tr>
    </w:tbl>
    <w:p>
      <w:pPr/>
    </w:p>
    <w:p>
      <w:pPr/>
    </w:p>
    <w:tbl>
      <w:tr w14:paraId="A0000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1">
            <w:r>
              <w:rPr>
                <w:b/>
                <w:bCs/>
              </w:rPr>
              <w:t>用例编号</w:t>
            </w:r>
          </w:p>
        </w:tc>
        <w:tc>
          <w:tcPr>
            <w:tcW w:w="11659" w:type="dxa"/>
            <w:gridSpan w:val="5"/>
          </w:tcPr>
          <w:p w14:paraId="A0000002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PRICE-LINK-005</w:t>
            </w:r>
          </w:p>
        </w:tc>
      </w:tr>
      <w:tr w14:paraId="A0000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4">
            <w:r>
              <w:rPr>
                <w:b/>
                <w:bCs/>
              </w:rPr>
              <w:t>用例名称</w:t>
            </w:r>
          </w:p>
        </w:tc>
        <w:tc>
          <w:tcPr>
            <w:tcW w:w="11659" w:type="dxa"/>
            <w:gridSpan w:val="5"/>
          </w:tcPr>
          <w:p w14:paraId="A0000005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零件认领生效后自动生成联动数据</w:t>
            </w:r>
          </w:p>
        </w:tc>
      </w:tr>
      <w:tr w14:paraId="A0000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7">
            <w:r>
              <w:rPr>
                <w:b/>
                <w:bCs/>
              </w:rPr>
              <w:t>前置条件</w:t>
            </w:r>
          </w:p>
        </w:tc>
        <w:tc>
          <w:tcPr>
            <w:tcW w:w="11659" w:type="dxa"/>
            <w:gridSpan w:val="5"/>
          </w:tcPr>
          <w:p w14:paraId="A0000008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1.同上</w:t>
            </w:r>
            <w:r>
              <w:rPr/>
              <w:t xml:space="preserve">2.零件认领已配置非大宗料市况类型</w:t>
            </w:r>
            <w:r>
              <w:rPr/>
              <w:t xml:space="preserve">3.当前无联动数据</w:t>
            </w:r>
          </w:p>
          <w:p w14:paraId="A0000009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/>
            </w:r>
          </w:p>
          <w:p w14:paraId="A000000A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/>
            </w:r>
          </w:p>
        </w:tc>
      </w:tr>
      <w:tr w14:paraId="A0000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021" w:type="dxa"/>
            <w:shd w:val="clear" w:color="auto" w:fill="AFABAB"/>
          </w:tcPr>
          <w:p w14:paraId="A000000C">
            <w:r>
              <w:rPr>
                <w:b/>
                <w:bCs/>
              </w:rPr>
              <w:t>用例描述</w:t>
            </w:r>
          </w:p>
        </w:tc>
        <w:tc>
          <w:tcPr>
            <w:tcW w:w="11659" w:type="dxa"/>
            <w:gridSpan w:val="5"/>
          </w:tcPr>
          <w:p w14:paraId="A000000D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验证零件认领保存生效后，非大宗料联动关系自动生成</w:t>
            </w:r>
          </w:p>
        </w:tc>
      </w:tr>
      <w:tr w14:paraId="A0000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  <w:trHeight w:val="400" w:hRule="atLeast"/>
        </w:trPr>
        <w:tc>
          <w:tcPr>
            <w:tcW w:w="1021" w:type="dxa"/>
            <w:shd w:val="clear" w:color="auto" w:fill="AFABAB"/>
          </w:tcPr>
          <w:p w14:paraId="A000000F">
            <w:r>
              <w:rPr>
                <w:b/>
                <w:bCs/>
              </w:rPr>
              <w:t>体现环节</w:t>
            </w:r>
          </w:p>
        </w:tc>
        <w:tc>
          <w:tcPr>
            <w:tcW w:w="2410" w:type="dxa"/>
            <w:shd w:val="clear" w:color="auto" w:fill="AFABAB"/>
          </w:tcPr>
          <w:p w14:paraId="A0000010">
            <w:pPr>
              <w:rPr>
                <w:b/>
              </w:rPr>
            </w:pPr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3119" w:type="dxa"/>
            <w:shd w:val="clear" w:color="auto" w:fill="AFABAB"/>
          </w:tcPr>
          <w:p w14:paraId="A0000011">
            <w:r>
              <w:rPr>
                <w:b/>
                <w:bCs/>
              </w:rPr>
              <w:t>预期结果</w:t>
            </w:r>
          </w:p>
        </w:tc>
        <w:tc>
          <w:tcPr>
            <w:tcW w:w="4819" w:type="dxa"/>
            <w:shd w:val="clear" w:color="auto" w:fill="AFABAB"/>
          </w:tcPr>
          <w:p w14:paraId="A000001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图示</w:t>
            </w:r>
          </w:p>
        </w:tc>
        <w:tc>
          <w:tcPr>
            <w:tcW w:w="1275" w:type="dxa"/>
            <w:shd w:val="clear" w:color="auto" w:fill="AFABAB"/>
            <w:vAlign w:val="center"/>
          </w:tcPr>
          <w:p w14:paraId="A000001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测试结果</w:t>
            </w:r>
          </w:p>
        </w:tc>
      </w:tr>
      <w:tr w14:paraId="A000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15">
            <w:pPr>
              <w:jc w:val="center"/>
            </w:pPr>
            <w:r>
              <w:t>1</w:t>
            </w:r>
          </w:p>
        </w:tc>
        <w:tc>
          <w:tcPr>
            <w:tcW w:w="2410" w:type="dxa"/>
          </w:tcPr>
          <w:p w14:paraId="A000001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设置"是否联动调价"为"是"</w:t>
            </w:r>
          </w:p>
        </w:tc>
        <w:tc>
          <w:tcPr>
            <w:tcW w:w="3119" w:type="dxa"/>
          </w:tcPr>
          <w:p w14:paraId="A000001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设置成功</w:t>
            </w:r>
          </w:p>
        </w:tc>
        <w:tc>
          <w:tcPr>
            <w:tcW w:w="4819" w:type="dxa"/>
          </w:tcPr>
          <w:p w14:paraId="A0000018">
            <w:pPr>
              <w:jc w:val="center"/>
            </w:pPr>
          </w:p>
        </w:tc>
        <w:tc>
          <w:tcPr>
            <w:tcW w:w="1275" w:type="dxa"/>
          </w:tcPr>
          <w:p w14:paraId="A0000019">
            <w:pPr/>
          </w:p>
        </w:tc>
      </w:tr>
      <w:tr w14:paraId="A000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15">
            <w:pPr>
              <w:jc w:val="center"/>
            </w:pPr>
            <w:r>
              <w:t>2</w:t>
            </w:r>
          </w:p>
        </w:tc>
        <w:tc>
          <w:tcPr>
            <w:tcW w:w="2410" w:type="dxa"/>
          </w:tcPr>
          <w:p w14:paraId="A000001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选择市况类型，保存并生效</w:t>
            </w:r>
          </w:p>
        </w:tc>
        <w:tc>
          <w:tcPr>
            <w:tcW w:w="3119" w:type="dxa"/>
          </w:tcPr>
          <w:p w14:paraId="A000001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零件价格联动维护自动生成一条联动数据</w:t>
            </w:r>
          </w:p>
        </w:tc>
        <w:tc>
          <w:tcPr>
            <w:tcW w:w="4819" w:type="dxa"/>
          </w:tcPr>
          <w:p w14:paraId="A0000018">
            <w:pPr>
              <w:jc w:val="center"/>
            </w:pPr>
          </w:p>
        </w:tc>
        <w:tc>
          <w:tcPr>
            <w:tcW w:w="1275" w:type="dxa"/>
          </w:tcPr>
          <w:p w14:paraId="A0000019">
            <w:pPr/>
          </w:p>
        </w:tc>
      </w:tr>
      <w:tr w14:paraId="A000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15">
            <w:pPr>
              <w:jc w:val="center"/>
            </w:pPr>
            <w:r>
              <w:t>3</w:t>
            </w:r>
          </w:p>
        </w:tc>
        <w:tc>
          <w:tcPr>
            <w:tcW w:w="2410" w:type="dxa"/>
          </w:tcPr>
          <w:p w14:paraId="A000001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检查联动数据</w:t>
            </w:r>
          </w:p>
        </w:tc>
        <w:tc>
          <w:tcPr>
            <w:tcW w:w="3119" w:type="dxa"/>
          </w:tcPr>
          <w:p w14:paraId="A000001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材料供应商信息复制零件供应商，状态为"生效"</w:t>
            </w:r>
          </w:p>
        </w:tc>
        <w:tc>
          <w:tcPr>
            <w:tcW w:w="4819" w:type="dxa"/>
          </w:tcPr>
          <w:p w14:paraId="A0000018">
            <w:pPr>
              <w:jc w:val="center"/>
            </w:pPr>
          </w:p>
        </w:tc>
        <w:tc>
          <w:tcPr>
            <w:tcW w:w="1275" w:type="dxa"/>
          </w:tcPr>
          <w:p w14:paraId="A0000019">
            <w:pPr/>
          </w:p>
        </w:tc>
      </w:tr>
    </w:tbl>
    <w:p>
      <w:pPr/>
    </w:p>
    <w:p>
      <w:pPr/>
    </w:p>
    <w:tbl>
      <w:tr w14:paraId="A0000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1">
            <w:r>
              <w:rPr>
                <w:b/>
                <w:bCs/>
              </w:rPr>
              <w:t>用例编号</w:t>
            </w:r>
          </w:p>
        </w:tc>
        <w:tc>
          <w:tcPr>
            <w:tcW w:w="11659" w:type="dxa"/>
            <w:gridSpan w:val="5"/>
          </w:tcPr>
          <w:p w14:paraId="A0000002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PRICE-LINK-006</w:t>
            </w:r>
          </w:p>
        </w:tc>
      </w:tr>
      <w:tr w14:paraId="A0000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4">
            <w:r>
              <w:rPr>
                <w:b/>
                <w:bCs/>
              </w:rPr>
              <w:t>用例名称</w:t>
            </w:r>
          </w:p>
        </w:tc>
        <w:tc>
          <w:tcPr>
            <w:tcW w:w="11659" w:type="dxa"/>
            <w:gridSpan w:val="5"/>
          </w:tcPr>
          <w:p w14:paraId="A0000005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零件联动调价改为"否"后联动失效</w:t>
            </w:r>
          </w:p>
        </w:tc>
      </w:tr>
      <w:tr w14:paraId="A0000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7">
            <w:r>
              <w:rPr>
                <w:b/>
                <w:bCs/>
              </w:rPr>
              <w:t>前置条件</w:t>
            </w:r>
          </w:p>
        </w:tc>
        <w:tc>
          <w:tcPr>
            <w:tcW w:w="11659" w:type="dxa"/>
            <w:gridSpan w:val="5"/>
          </w:tcPr>
          <w:p w14:paraId="A0000008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1.同上</w:t>
            </w:r>
            <w:r>
              <w:rPr/>
              <w:t xml:space="preserve">2.已有联动数据</w:t>
            </w:r>
          </w:p>
          <w:p w14:paraId="A0000009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/>
            </w:r>
          </w:p>
          <w:p w14:paraId="A000000A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/>
            </w:r>
          </w:p>
        </w:tc>
      </w:tr>
      <w:tr w14:paraId="A0000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021" w:type="dxa"/>
            <w:shd w:val="clear" w:color="auto" w:fill="AFABAB"/>
          </w:tcPr>
          <w:p w14:paraId="A000000C">
            <w:r>
              <w:rPr>
                <w:b/>
                <w:bCs/>
              </w:rPr>
              <w:t>用例描述</w:t>
            </w:r>
          </w:p>
        </w:tc>
        <w:tc>
          <w:tcPr>
            <w:tcW w:w="11659" w:type="dxa"/>
            <w:gridSpan w:val="5"/>
          </w:tcPr>
          <w:p w14:paraId="A000000D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验证改为"否"后联动数据不再参与计价</w:t>
            </w:r>
          </w:p>
        </w:tc>
      </w:tr>
      <w:tr w14:paraId="A0000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  <w:trHeight w:val="400" w:hRule="atLeast"/>
        </w:trPr>
        <w:tc>
          <w:tcPr>
            <w:tcW w:w="1021" w:type="dxa"/>
            <w:shd w:val="clear" w:color="auto" w:fill="AFABAB"/>
          </w:tcPr>
          <w:p w14:paraId="A000000F">
            <w:r>
              <w:rPr>
                <w:b/>
                <w:bCs/>
              </w:rPr>
              <w:t>体现环节</w:t>
            </w:r>
          </w:p>
        </w:tc>
        <w:tc>
          <w:tcPr>
            <w:tcW w:w="2410" w:type="dxa"/>
            <w:shd w:val="clear" w:color="auto" w:fill="AFABAB"/>
          </w:tcPr>
          <w:p w14:paraId="A0000010">
            <w:pPr>
              <w:rPr>
                <w:b/>
              </w:rPr>
            </w:pPr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3119" w:type="dxa"/>
            <w:shd w:val="clear" w:color="auto" w:fill="AFABAB"/>
          </w:tcPr>
          <w:p w14:paraId="A0000011">
            <w:r>
              <w:rPr>
                <w:b/>
                <w:bCs/>
              </w:rPr>
              <w:t>预期结果</w:t>
            </w:r>
          </w:p>
        </w:tc>
        <w:tc>
          <w:tcPr>
            <w:tcW w:w="4819" w:type="dxa"/>
            <w:shd w:val="clear" w:color="auto" w:fill="AFABAB"/>
          </w:tcPr>
          <w:p w14:paraId="A000001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图示</w:t>
            </w:r>
          </w:p>
        </w:tc>
        <w:tc>
          <w:tcPr>
            <w:tcW w:w="1275" w:type="dxa"/>
            <w:shd w:val="clear" w:color="auto" w:fill="AFABAB"/>
            <w:vAlign w:val="center"/>
          </w:tcPr>
          <w:p w14:paraId="A000001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测试结果</w:t>
            </w:r>
          </w:p>
        </w:tc>
      </w:tr>
      <w:tr w14:paraId="A000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15">
            <w:pPr>
              <w:jc w:val="center"/>
            </w:pPr>
            <w:r>
              <w:t>1</w:t>
            </w:r>
          </w:p>
        </w:tc>
        <w:tc>
          <w:tcPr>
            <w:tcW w:w="2410" w:type="dxa"/>
          </w:tcPr>
          <w:p w14:paraId="A000001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将"是否联动调价"由"是"改为"否"</w:t>
            </w:r>
          </w:p>
        </w:tc>
        <w:tc>
          <w:tcPr>
            <w:tcW w:w="3119" w:type="dxa"/>
          </w:tcPr>
          <w:p w14:paraId="A000001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修改成功</w:t>
            </w:r>
          </w:p>
        </w:tc>
        <w:tc>
          <w:tcPr>
            <w:tcW w:w="4819" w:type="dxa"/>
          </w:tcPr>
          <w:p w14:paraId="A0000018">
            <w:pPr>
              <w:jc w:val="center"/>
            </w:pPr>
          </w:p>
        </w:tc>
        <w:tc>
          <w:tcPr>
            <w:tcW w:w="1275" w:type="dxa"/>
          </w:tcPr>
          <w:p w14:paraId="A0000019">
            <w:pPr/>
          </w:p>
        </w:tc>
      </w:tr>
      <w:tr w14:paraId="A000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15">
            <w:pPr>
              <w:jc w:val="center"/>
            </w:pPr>
            <w:r>
              <w:t>2</w:t>
            </w:r>
          </w:p>
        </w:tc>
        <w:tc>
          <w:tcPr>
            <w:tcW w:w="2410" w:type="dxa"/>
          </w:tcPr>
          <w:p w14:paraId="A000001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保存并生效</w:t>
            </w:r>
          </w:p>
        </w:tc>
        <w:tc>
          <w:tcPr>
            <w:tcW w:w="3119" w:type="dxa"/>
          </w:tcPr>
          <w:p w14:paraId="A000001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历史联动数据保留，零件不再进入联动定价</w:t>
            </w:r>
          </w:p>
        </w:tc>
        <w:tc>
          <w:tcPr>
            <w:tcW w:w="4819" w:type="dxa"/>
          </w:tcPr>
          <w:p w14:paraId="A0000018">
            <w:pPr>
              <w:jc w:val="center"/>
            </w:pPr>
          </w:p>
        </w:tc>
        <w:tc>
          <w:tcPr>
            <w:tcW w:w="1275" w:type="dxa"/>
          </w:tcPr>
          <w:p w14:paraId="A0000019">
            <w:pPr/>
          </w:p>
        </w:tc>
      </w:tr>
    </w:tbl>
    <w:p>
      <w:pPr/>
    </w:p>
    <w:p>
      <w:pPr/>
    </w:p>
    <w:tbl>
      <w:tr w14:paraId="A0000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1">
            <w:r>
              <w:rPr>
                <w:b/>
                <w:bCs/>
              </w:rPr>
              <w:t>用例编号</w:t>
            </w:r>
          </w:p>
        </w:tc>
        <w:tc>
          <w:tcPr>
            <w:tcW w:w="11659" w:type="dxa"/>
            <w:gridSpan w:val="5"/>
          </w:tcPr>
          <w:p w14:paraId="A0000002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INQ-001</w:t>
            </w:r>
          </w:p>
        </w:tc>
      </w:tr>
      <w:tr w14:paraId="A0000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4">
            <w:r>
              <w:rPr>
                <w:b/>
                <w:bCs/>
              </w:rPr>
              <w:t>用例名称</w:t>
            </w:r>
          </w:p>
        </w:tc>
        <w:tc>
          <w:tcPr>
            <w:tcW w:w="11659" w:type="dxa"/>
            <w:gridSpan w:val="5"/>
          </w:tcPr>
          <w:p w14:paraId="A0000005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询价单价格属性选择"联动定价"</w:t>
            </w:r>
          </w:p>
        </w:tc>
      </w:tr>
      <w:tr w14:paraId="A0000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7">
            <w:r>
              <w:rPr>
                <w:b/>
                <w:bCs/>
              </w:rPr>
              <w:t>前置条件</w:t>
            </w:r>
          </w:p>
        </w:tc>
        <w:tc>
          <w:tcPr>
            <w:tcW w:w="11659" w:type="dxa"/>
            <w:gridSpan w:val="5"/>
          </w:tcPr>
          <w:p w14:paraId="A0000008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1.已登录（采购员账号）</w:t>
            </w:r>
            <w:r>
              <w:rPr/>
              <w:t xml:space="preserve">2.询价管理→询价单有权限</w:t>
            </w:r>
          </w:p>
          <w:p w14:paraId="A0000009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/>
            </w:r>
          </w:p>
          <w:p w14:paraId="A000000A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/>
            </w:r>
          </w:p>
        </w:tc>
      </w:tr>
      <w:tr w14:paraId="A0000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021" w:type="dxa"/>
            <w:shd w:val="clear" w:color="auto" w:fill="AFABAB"/>
          </w:tcPr>
          <w:p w14:paraId="A000000C">
            <w:r>
              <w:rPr>
                <w:b/>
                <w:bCs/>
              </w:rPr>
              <w:t>用例描述</w:t>
            </w:r>
          </w:p>
        </w:tc>
        <w:tc>
          <w:tcPr>
            <w:tcW w:w="11659" w:type="dxa"/>
            <w:gridSpan w:val="5"/>
          </w:tcPr>
          <w:p w14:paraId="A000000D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验证价格属性新增"联动定价"选项</w:t>
            </w:r>
          </w:p>
        </w:tc>
      </w:tr>
      <w:tr w14:paraId="A0000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  <w:trHeight w:val="400" w:hRule="atLeast"/>
        </w:trPr>
        <w:tc>
          <w:tcPr>
            <w:tcW w:w="1021" w:type="dxa"/>
            <w:shd w:val="clear" w:color="auto" w:fill="AFABAB"/>
          </w:tcPr>
          <w:p w14:paraId="A000000F">
            <w:r>
              <w:rPr>
                <w:b/>
                <w:bCs/>
              </w:rPr>
              <w:t>体现环节</w:t>
            </w:r>
          </w:p>
        </w:tc>
        <w:tc>
          <w:tcPr>
            <w:tcW w:w="2410" w:type="dxa"/>
            <w:shd w:val="clear" w:color="auto" w:fill="AFABAB"/>
          </w:tcPr>
          <w:p w14:paraId="A0000010">
            <w:pPr>
              <w:rPr>
                <w:b/>
              </w:rPr>
            </w:pPr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3119" w:type="dxa"/>
            <w:shd w:val="clear" w:color="auto" w:fill="AFABAB"/>
          </w:tcPr>
          <w:p w14:paraId="A0000011">
            <w:r>
              <w:rPr>
                <w:b/>
                <w:bCs/>
              </w:rPr>
              <w:t>预期结果</w:t>
            </w:r>
          </w:p>
        </w:tc>
        <w:tc>
          <w:tcPr>
            <w:tcW w:w="4819" w:type="dxa"/>
            <w:shd w:val="clear" w:color="auto" w:fill="AFABAB"/>
          </w:tcPr>
          <w:p w14:paraId="A000001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图示</w:t>
            </w:r>
          </w:p>
        </w:tc>
        <w:tc>
          <w:tcPr>
            <w:tcW w:w="1275" w:type="dxa"/>
            <w:shd w:val="clear" w:color="auto" w:fill="AFABAB"/>
            <w:vAlign w:val="center"/>
          </w:tcPr>
          <w:p w14:paraId="A000001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测试结果</w:t>
            </w:r>
          </w:p>
        </w:tc>
      </w:tr>
      <w:tr w14:paraId="A000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15">
            <w:pPr>
              <w:jc w:val="center"/>
            </w:pPr>
            <w:r>
              <w:t>1</w:t>
            </w:r>
          </w:p>
        </w:tc>
        <w:tc>
          <w:tcPr>
            <w:tcW w:w="2410" w:type="dxa"/>
          </w:tcPr>
          <w:p w14:paraId="A000001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创建询价单，选择供应商、零件</w:t>
            </w:r>
          </w:p>
        </w:tc>
        <w:tc>
          <w:tcPr>
            <w:tcW w:w="3119" w:type="dxa"/>
          </w:tcPr>
          <w:p w14:paraId="A000001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创建成功</w:t>
            </w:r>
          </w:p>
        </w:tc>
        <w:tc>
          <w:tcPr>
            <w:tcW w:w="4819" w:type="dxa"/>
          </w:tcPr>
          <w:p w14:paraId="A0000018">
            <w:pPr>
              <w:jc w:val="center"/>
            </w:pPr>
          </w:p>
        </w:tc>
        <w:tc>
          <w:tcPr>
            <w:tcW w:w="1275" w:type="dxa"/>
          </w:tcPr>
          <w:p w14:paraId="A0000019">
            <w:pPr/>
          </w:p>
        </w:tc>
      </w:tr>
      <w:tr w14:paraId="A000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15">
            <w:pPr>
              <w:jc w:val="center"/>
            </w:pPr>
            <w:r>
              <w:t>2</w:t>
            </w:r>
          </w:p>
        </w:tc>
        <w:tc>
          <w:tcPr>
            <w:tcW w:w="2410" w:type="dxa"/>
          </w:tcPr>
          <w:p w14:paraId="A000001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在价格属性下拉选"联动定价"</w:t>
            </w:r>
          </w:p>
        </w:tc>
        <w:tc>
          <w:tcPr>
            <w:tcW w:w="3119" w:type="dxa"/>
          </w:tcPr>
          <w:p w14:paraId="A000001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下拉框包含"联动定价"</w:t>
            </w:r>
          </w:p>
        </w:tc>
        <w:tc>
          <w:tcPr>
            <w:tcW w:w="4819" w:type="dxa"/>
          </w:tcPr>
          <w:p w14:paraId="A0000018">
            <w:pPr>
              <w:jc w:val="center"/>
            </w:pPr>
          </w:p>
        </w:tc>
        <w:tc>
          <w:tcPr>
            <w:tcW w:w="1275" w:type="dxa"/>
          </w:tcPr>
          <w:p w14:paraId="A0000019">
            <w:pPr/>
          </w:p>
        </w:tc>
      </w:tr>
      <w:tr w14:paraId="A000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15">
            <w:pPr>
              <w:jc w:val="center"/>
            </w:pPr>
            <w:r>
              <w:t>3</w:t>
            </w:r>
          </w:p>
        </w:tc>
        <w:tc>
          <w:tcPr>
            <w:tcW w:w="2410" w:type="dxa"/>
          </w:tcPr>
          <w:p w14:paraId="A000001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保存</w:t>
            </w:r>
          </w:p>
        </w:tc>
        <w:tc>
          <w:tcPr>
            <w:tcW w:w="3119" w:type="dxa"/>
          </w:tcPr>
          <w:p w14:paraId="A000001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可正常保存</w:t>
            </w:r>
          </w:p>
        </w:tc>
        <w:tc>
          <w:tcPr>
            <w:tcW w:w="4819" w:type="dxa"/>
          </w:tcPr>
          <w:p w14:paraId="A0000018">
            <w:pPr>
              <w:jc w:val="center"/>
            </w:pPr>
          </w:p>
        </w:tc>
        <w:tc>
          <w:tcPr>
            <w:tcW w:w="1275" w:type="dxa"/>
          </w:tcPr>
          <w:p w14:paraId="A0000019">
            <w:pPr/>
          </w:p>
        </w:tc>
      </w:tr>
    </w:tbl>
    <w:p>
      <w:pPr/>
    </w:p>
    <w:p>
      <w:pPr/>
    </w:p>
    <w:tbl>
      <w:tr w14:paraId="A0000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1">
            <w:r>
              <w:rPr>
                <w:b/>
                <w:bCs/>
              </w:rPr>
              <w:t>用例编号</w:t>
            </w:r>
          </w:p>
        </w:tc>
        <w:tc>
          <w:tcPr>
            <w:tcW w:w="11659" w:type="dxa"/>
            <w:gridSpan w:val="5"/>
          </w:tcPr>
          <w:p w14:paraId="A0000002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INQ-002</w:t>
            </w:r>
          </w:p>
        </w:tc>
      </w:tr>
      <w:tr w14:paraId="A0000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4">
            <w:r>
              <w:rPr>
                <w:b/>
                <w:bCs/>
              </w:rPr>
              <w:t>用例名称</w:t>
            </w:r>
          </w:p>
        </w:tc>
        <w:tc>
          <w:tcPr>
            <w:tcW w:w="11659" w:type="dxa"/>
            <w:gridSpan w:val="5"/>
          </w:tcPr>
          <w:p w14:paraId="A0000005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询价单配置"是否允许修改重量"</w:t>
            </w:r>
          </w:p>
        </w:tc>
      </w:tr>
      <w:tr w14:paraId="A0000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7">
            <w:r>
              <w:rPr>
                <w:b/>
                <w:bCs/>
              </w:rPr>
              <w:t>前置条件</w:t>
            </w:r>
          </w:p>
        </w:tc>
        <w:tc>
          <w:tcPr>
            <w:tcW w:w="11659" w:type="dxa"/>
            <w:gridSpan w:val="5"/>
          </w:tcPr>
          <w:p w14:paraId="A0000008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1.同上</w:t>
            </w:r>
            <w:r>
              <w:rPr/>
              <w:t xml:space="preserve">2.零件已配置市况联动</w:t>
            </w:r>
          </w:p>
          <w:p w14:paraId="A0000009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/>
            </w:r>
          </w:p>
          <w:p w14:paraId="A000000A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/>
            </w:r>
          </w:p>
        </w:tc>
      </w:tr>
      <w:tr w14:paraId="A0000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021" w:type="dxa"/>
            <w:shd w:val="clear" w:color="auto" w:fill="AFABAB"/>
          </w:tcPr>
          <w:p w14:paraId="A000000C">
            <w:r>
              <w:rPr>
                <w:b/>
                <w:bCs/>
              </w:rPr>
              <w:t>用例描述</w:t>
            </w:r>
          </w:p>
        </w:tc>
        <w:tc>
          <w:tcPr>
            <w:tcW w:w="11659" w:type="dxa"/>
            <w:gridSpan w:val="5"/>
          </w:tcPr>
          <w:p w14:paraId="A000000D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验证采购员可控制供应商是否允许修改重量</w:t>
            </w:r>
          </w:p>
        </w:tc>
      </w:tr>
      <w:tr w14:paraId="A0000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  <w:trHeight w:val="400" w:hRule="atLeast"/>
        </w:trPr>
        <w:tc>
          <w:tcPr>
            <w:tcW w:w="1021" w:type="dxa"/>
            <w:shd w:val="clear" w:color="auto" w:fill="AFABAB"/>
          </w:tcPr>
          <w:p w14:paraId="A000000F">
            <w:r>
              <w:rPr>
                <w:b/>
                <w:bCs/>
              </w:rPr>
              <w:t>体现环节</w:t>
            </w:r>
          </w:p>
        </w:tc>
        <w:tc>
          <w:tcPr>
            <w:tcW w:w="2410" w:type="dxa"/>
            <w:shd w:val="clear" w:color="auto" w:fill="AFABAB"/>
          </w:tcPr>
          <w:p w14:paraId="A0000010">
            <w:pPr>
              <w:rPr>
                <w:b/>
              </w:rPr>
            </w:pPr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3119" w:type="dxa"/>
            <w:shd w:val="clear" w:color="auto" w:fill="AFABAB"/>
          </w:tcPr>
          <w:p w14:paraId="A0000011">
            <w:r>
              <w:rPr>
                <w:b/>
                <w:bCs/>
              </w:rPr>
              <w:t>预期结果</w:t>
            </w:r>
          </w:p>
        </w:tc>
        <w:tc>
          <w:tcPr>
            <w:tcW w:w="4819" w:type="dxa"/>
            <w:shd w:val="clear" w:color="auto" w:fill="AFABAB"/>
          </w:tcPr>
          <w:p w14:paraId="A000001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图示</w:t>
            </w:r>
          </w:p>
        </w:tc>
        <w:tc>
          <w:tcPr>
            <w:tcW w:w="1275" w:type="dxa"/>
            <w:shd w:val="clear" w:color="auto" w:fill="AFABAB"/>
            <w:vAlign w:val="center"/>
          </w:tcPr>
          <w:p w14:paraId="A000001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测试结果</w:t>
            </w:r>
          </w:p>
        </w:tc>
      </w:tr>
      <w:tr w14:paraId="A000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15">
            <w:pPr>
              <w:jc w:val="center"/>
            </w:pPr>
            <w:r>
              <w:t>1</w:t>
            </w:r>
          </w:p>
        </w:tc>
        <w:tc>
          <w:tcPr>
            <w:tcW w:w="2410" w:type="dxa"/>
          </w:tcPr>
          <w:p w14:paraId="A000001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"是否允许修改重量"选"否"</w:t>
            </w:r>
          </w:p>
        </w:tc>
        <w:tc>
          <w:tcPr>
            <w:tcW w:w="3119" w:type="dxa"/>
          </w:tcPr>
          <w:p w14:paraId="A000001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设置成功</w:t>
            </w:r>
          </w:p>
        </w:tc>
        <w:tc>
          <w:tcPr>
            <w:tcW w:w="4819" w:type="dxa"/>
          </w:tcPr>
          <w:p w14:paraId="A0000018">
            <w:pPr>
              <w:jc w:val="center"/>
            </w:pPr>
          </w:p>
        </w:tc>
        <w:tc>
          <w:tcPr>
            <w:tcW w:w="1275" w:type="dxa"/>
          </w:tcPr>
          <w:p w14:paraId="A0000019">
            <w:pPr/>
          </w:p>
        </w:tc>
      </w:tr>
      <w:tr w14:paraId="A000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15">
            <w:pPr>
              <w:jc w:val="center"/>
            </w:pPr>
            <w:r>
              <w:t>2</w:t>
            </w:r>
          </w:p>
        </w:tc>
        <w:tc>
          <w:tcPr>
            <w:tcW w:w="2410" w:type="dxa"/>
          </w:tcPr>
          <w:p w14:paraId="A000001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发起询价</w:t>
            </w:r>
          </w:p>
        </w:tc>
        <w:tc>
          <w:tcPr>
            <w:tcW w:w="3119" w:type="dxa"/>
          </w:tcPr>
          <w:p w14:paraId="A000001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供应商端投料重量和废料重量置灰</w:t>
            </w:r>
          </w:p>
        </w:tc>
        <w:tc>
          <w:tcPr>
            <w:tcW w:w="4819" w:type="dxa"/>
          </w:tcPr>
          <w:p w14:paraId="A0000018">
            <w:pPr>
              <w:jc w:val="center"/>
            </w:pPr>
          </w:p>
        </w:tc>
        <w:tc>
          <w:tcPr>
            <w:tcW w:w="1275" w:type="dxa"/>
          </w:tcPr>
          <w:p w14:paraId="A0000019">
            <w:pPr/>
          </w:p>
        </w:tc>
      </w:tr>
    </w:tbl>
    <w:p>
      <w:pPr/>
    </w:p>
    <w:p>
      <w:pPr/>
    </w:p>
    <w:tbl>
      <w:tr w14:paraId="A0000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1">
            <w:r>
              <w:rPr>
                <w:b/>
                <w:bCs/>
              </w:rPr>
              <w:t>用例编号</w:t>
            </w:r>
          </w:p>
        </w:tc>
        <w:tc>
          <w:tcPr>
            <w:tcW w:w="11659" w:type="dxa"/>
            <w:gridSpan w:val="5"/>
          </w:tcPr>
          <w:p w14:paraId="A0000002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INQ-003</w:t>
            </w:r>
          </w:p>
        </w:tc>
      </w:tr>
      <w:tr w14:paraId="A0000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4">
            <w:r>
              <w:rPr>
                <w:b/>
                <w:bCs/>
              </w:rPr>
              <w:t>用例名称</w:t>
            </w:r>
          </w:p>
        </w:tc>
        <w:tc>
          <w:tcPr>
            <w:tcW w:w="11659" w:type="dxa"/>
            <w:gridSpan w:val="5"/>
          </w:tcPr>
          <w:p w14:paraId="A0000005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询价单配置"是否允许修改市况材料单价"</w:t>
            </w:r>
          </w:p>
        </w:tc>
      </w:tr>
      <w:tr w14:paraId="A0000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7">
            <w:r>
              <w:rPr>
                <w:b/>
                <w:bCs/>
              </w:rPr>
              <w:t>前置条件</w:t>
            </w:r>
          </w:p>
        </w:tc>
        <w:tc>
          <w:tcPr>
            <w:tcW w:w="11659" w:type="dxa"/>
            <w:gridSpan w:val="5"/>
          </w:tcPr>
          <w:p w14:paraId="A0000008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1.同上</w:t>
            </w:r>
          </w:p>
          <w:p w14:paraId="A0000009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/>
            </w:r>
          </w:p>
          <w:p w14:paraId="A000000A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/>
            </w:r>
          </w:p>
        </w:tc>
      </w:tr>
      <w:tr w14:paraId="A0000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021" w:type="dxa"/>
            <w:shd w:val="clear" w:color="auto" w:fill="AFABAB"/>
          </w:tcPr>
          <w:p w14:paraId="A000000C">
            <w:r>
              <w:rPr>
                <w:b/>
                <w:bCs/>
              </w:rPr>
              <w:t>用例描述</w:t>
            </w:r>
          </w:p>
        </w:tc>
        <w:tc>
          <w:tcPr>
            <w:tcW w:w="11659" w:type="dxa"/>
            <w:gridSpan w:val="5"/>
          </w:tcPr>
          <w:p w14:paraId="A000000D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验证系统自动带价场景下控制单价可修改</w:t>
            </w:r>
          </w:p>
        </w:tc>
      </w:tr>
      <w:tr w14:paraId="A0000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  <w:trHeight w:val="400" w:hRule="atLeast"/>
        </w:trPr>
        <w:tc>
          <w:tcPr>
            <w:tcW w:w="1021" w:type="dxa"/>
            <w:shd w:val="clear" w:color="auto" w:fill="AFABAB"/>
          </w:tcPr>
          <w:p w14:paraId="A000000F">
            <w:r>
              <w:rPr>
                <w:b/>
                <w:bCs/>
              </w:rPr>
              <w:t>体现环节</w:t>
            </w:r>
          </w:p>
        </w:tc>
        <w:tc>
          <w:tcPr>
            <w:tcW w:w="2410" w:type="dxa"/>
            <w:shd w:val="clear" w:color="auto" w:fill="AFABAB"/>
          </w:tcPr>
          <w:p w14:paraId="A0000010">
            <w:pPr>
              <w:rPr>
                <w:b/>
              </w:rPr>
            </w:pPr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3119" w:type="dxa"/>
            <w:shd w:val="clear" w:color="auto" w:fill="AFABAB"/>
          </w:tcPr>
          <w:p w14:paraId="A0000011">
            <w:r>
              <w:rPr>
                <w:b/>
                <w:bCs/>
              </w:rPr>
              <w:t>预期结果</w:t>
            </w:r>
          </w:p>
        </w:tc>
        <w:tc>
          <w:tcPr>
            <w:tcW w:w="4819" w:type="dxa"/>
            <w:shd w:val="clear" w:color="auto" w:fill="AFABAB"/>
          </w:tcPr>
          <w:p w14:paraId="A000001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图示</w:t>
            </w:r>
          </w:p>
        </w:tc>
        <w:tc>
          <w:tcPr>
            <w:tcW w:w="1275" w:type="dxa"/>
            <w:shd w:val="clear" w:color="auto" w:fill="AFABAB"/>
            <w:vAlign w:val="center"/>
          </w:tcPr>
          <w:p w14:paraId="A000001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测试结果</w:t>
            </w:r>
          </w:p>
        </w:tc>
      </w:tr>
      <w:tr w14:paraId="A000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15">
            <w:pPr>
              <w:jc w:val="center"/>
            </w:pPr>
            <w:r>
              <w:t>1</w:t>
            </w:r>
          </w:p>
        </w:tc>
        <w:tc>
          <w:tcPr>
            <w:tcW w:w="2410" w:type="dxa"/>
          </w:tcPr>
          <w:p w14:paraId="A000001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"是否允许修改市况材料单价"选"否"</w:t>
            </w:r>
          </w:p>
        </w:tc>
        <w:tc>
          <w:tcPr>
            <w:tcW w:w="3119" w:type="dxa"/>
          </w:tcPr>
          <w:p w14:paraId="A000001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供应商端材料单价置灰</w:t>
            </w:r>
          </w:p>
        </w:tc>
        <w:tc>
          <w:tcPr>
            <w:tcW w:w="4819" w:type="dxa"/>
          </w:tcPr>
          <w:p w14:paraId="A0000018">
            <w:pPr>
              <w:jc w:val="center"/>
            </w:pPr>
          </w:p>
        </w:tc>
        <w:tc>
          <w:tcPr>
            <w:tcW w:w="1275" w:type="dxa"/>
          </w:tcPr>
          <w:p w14:paraId="A0000019">
            <w:pPr/>
          </w:p>
        </w:tc>
      </w:tr>
      <w:tr w14:paraId="A000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15">
            <w:pPr>
              <w:jc w:val="center"/>
            </w:pPr>
            <w:r>
              <w:t>2</w:t>
            </w:r>
          </w:p>
        </w:tc>
        <w:tc>
          <w:tcPr>
            <w:tcW w:w="2410" w:type="dxa"/>
          </w:tcPr>
          <w:p w14:paraId="A000001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发起询价</w:t>
            </w:r>
          </w:p>
        </w:tc>
        <w:tc>
          <w:tcPr>
            <w:tcW w:w="3119" w:type="dxa"/>
          </w:tcPr>
          <w:p w14:paraId="A000001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供应商确认字段状态</w:t>
            </w:r>
          </w:p>
        </w:tc>
        <w:tc>
          <w:tcPr>
            <w:tcW w:w="4819" w:type="dxa"/>
          </w:tcPr>
          <w:p w14:paraId="A0000018">
            <w:pPr>
              <w:jc w:val="center"/>
            </w:pPr>
          </w:p>
        </w:tc>
        <w:tc>
          <w:tcPr>
            <w:tcW w:w="1275" w:type="dxa"/>
          </w:tcPr>
          <w:p w14:paraId="A0000019">
            <w:pPr/>
          </w:p>
        </w:tc>
      </w:tr>
    </w:tbl>
    <w:p>
      <w:pPr/>
    </w:p>
    <w:p>
      <w:pPr/>
    </w:p>
    <w:tbl>
      <w:tr w14:paraId="A0000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1">
            <w:r>
              <w:rPr>
                <w:b/>
                <w:bCs/>
              </w:rPr>
              <w:t>用例编号</w:t>
            </w:r>
          </w:p>
        </w:tc>
        <w:tc>
          <w:tcPr>
            <w:tcW w:w="11659" w:type="dxa"/>
            <w:gridSpan w:val="5"/>
          </w:tcPr>
          <w:p w14:paraId="A0000002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INQ-004</w:t>
            </w:r>
          </w:p>
        </w:tc>
      </w:tr>
      <w:tr w14:paraId="A0000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4">
            <w:r>
              <w:rPr>
                <w:b/>
                <w:bCs/>
              </w:rPr>
              <w:t>用例名称</w:t>
            </w:r>
          </w:p>
        </w:tc>
        <w:tc>
          <w:tcPr>
            <w:tcW w:w="11659" w:type="dxa"/>
            <w:gridSpan w:val="5"/>
          </w:tcPr>
          <w:p w14:paraId="A0000005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询价单配置"是否允许修改其他信息"</w:t>
            </w:r>
          </w:p>
        </w:tc>
      </w:tr>
      <w:tr w14:paraId="A0000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7">
            <w:r>
              <w:rPr>
                <w:b/>
                <w:bCs/>
              </w:rPr>
              <w:t>前置条件</w:t>
            </w:r>
          </w:p>
        </w:tc>
        <w:tc>
          <w:tcPr>
            <w:tcW w:w="11659" w:type="dxa"/>
            <w:gridSpan w:val="5"/>
          </w:tcPr>
          <w:p w14:paraId="A0000008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1.同上</w:t>
            </w:r>
          </w:p>
          <w:p w14:paraId="A0000009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/>
            </w:r>
          </w:p>
          <w:p w14:paraId="A000000A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/>
            </w:r>
          </w:p>
        </w:tc>
      </w:tr>
      <w:tr w14:paraId="A0000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021" w:type="dxa"/>
            <w:shd w:val="clear" w:color="auto" w:fill="AFABAB"/>
          </w:tcPr>
          <w:p w14:paraId="A000000C">
            <w:r>
              <w:rPr>
                <w:b/>
                <w:bCs/>
              </w:rPr>
              <w:t>用例描述</w:t>
            </w:r>
          </w:p>
        </w:tc>
        <w:tc>
          <w:tcPr>
            <w:tcW w:w="11659" w:type="dxa"/>
            <w:gridSpan w:val="5"/>
          </w:tcPr>
          <w:p w14:paraId="A000000D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验证控制废料单价、合格率、加工费</w:t>
            </w:r>
          </w:p>
        </w:tc>
      </w:tr>
      <w:tr w14:paraId="A0000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  <w:trHeight w:val="400" w:hRule="atLeast"/>
        </w:trPr>
        <w:tc>
          <w:tcPr>
            <w:tcW w:w="1021" w:type="dxa"/>
            <w:shd w:val="clear" w:color="auto" w:fill="AFABAB"/>
          </w:tcPr>
          <w:p w14:paraId="A000000F">
            <w:r>
              <w:rPr>
                <w:b/>
                <w:bCs/>
              </w:rPr>
              <w:t>体现环节</w:t>
            </w:r>
          </w:p>
        </w:tc>
        <w:tc>
          <w:tcPr>
            <w:tcW w:w="2410" w:type="dxa"/>
            <w:shd w:val="clear" w:color="auto" w:fill="AFABAB"/>
          </w:tcPr>
          <w:p w14:paraId="A0000010">
            <w:pPr>
              <w:rPr>
                <w:b/>
              </w:rPr>
            </w:pPr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3119" w:type="dxa"/>
            <w:shd w:val="clear" w:color="auto" w:fill="AFABAB"/>
          </w:tcPr>
          <w:p w14:paraId="A0000011">
            <w:r>
              <w:rPr>
                <w:b/>
                <w:bCs/>
              </w:rPr>
              <w:t>预期结果</w:t>
            </w:r>
          </w:p>
        </w:tc>
        <w:tc>
          <w:tcPr>
            <w:tcW w:w="4819" w:type="dxa"/>
            <w:shd w:val="clear" w:color="auto" w:fill="AFABAB"/>
          </w:tcPr>
          <w:p w14:paraId="A000001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图示</w:t>
            </w:r>
          </w:p>
        </w:tc>
        <w:tc>
          <w:tcPr>
            <w:tcW w:w="1275" w:type="dxa"/>
            <w:shd w:val="clear" w:color="auto" w:fill="AFABAB"/>
            <w:vAlign w:val="center"/>
          </w:tcPr>
          <w:p w14:paraId="A000001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测试结果</w:t>
            </w:r>
          </w:p>
        </w:tc>
      </w:tr>
      <w:tr w14:paraId="A000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15">
            <w:pPr>
              <w:jc w:val="center"/>
            </w:pPr>
            <w:r>
              <w:t>1</w:t>
            </w:r>
          </w:p>
        </w:tc>
        <w:tc>
          <w:tcPr>
            <w:tcW w:w="2410" w:type="dxa"/>
          </w:tcPr>
          <w:p w14:paraId="A000001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"是否允许修改其他信息"选"否"</w:t>
            </w:r>
          </w:p>
        </w:tc>
        <w:tc>
          <w:tcPr>
            <w:tcW w:w="3119" w:type="dxa"/>
          </w:tcPr>
          <w:p w14:paraId="A000001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供应商端废料单价、合格率、加工费置灰</w:t>
            </w:r>
          </w:p>
        </w:tc>
        <w:tc>
          <w:tcPr>
            <w:tcW w:w="4819" w:type="dxa"/>
          </w:tcPr>
          <w:p w14:paraId="A0000018">
            <w:pPr>
              <w:jc w:val="center"/>
            </w:pPr>
          </w:p>
        </w:tc>
        <w:tc>
          <w:tcPr>
            <w:tcW w:w="1275" w:type="dxa"/>
          </w:tcPr>
          <w:p w14:paraId="A0000019">
            <w:pPr/>
          </w:p>
        </w:tc>
      </w:tr>
      <w:tr w14:paraId="A000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15">
            <w:pPr>
              <w:jc w:val="center"/>
            </w:pPr>
            <w:r>
              <w:t>2</w:t>
            </w:r>
          </w:p>
        </w:tc>
        <w:tc>
          <w:tcPr>
            <w:tcW w:w="2410" w:type="dxa"/>
          </w:tcPr>
          <w:p w14:paraId="A000001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发起询价</w:t>
            </w:r>
          </w:p>
        </w:tc>
        <w:tc>
          <w:tcPr>
            <w:tcW w:w="3119" w:type="dxa"/>
          </w:tcPr>
          <w:p w14:paraId="A000001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供应商确认字段状态</w:t>
            </w:r>
          </w:p>
        </w:tc>
        <w:tc>
          <w:tcPr>
            <w:tcW w:w="4819" w:type="dxa"/>
          </w:tcPr>
          <w:p w14:paraId="A0000018">
            <w:pPr>
              <w:jc w:val="center"/>
            </w:pPr>
          </w:p>
        </w:tc>
        <w:tc>
          <w:tcPr>
            <w:tcW w:w="1275" w:type="dxa"/>
          </w:tcPr>
          <w:p w14:paraId="A0000019">
            <w:pPr/>
          </w:p>
        </w:tc>
      </w:tr>
    </w:tbl>
    <w:p>
      <w:pPr/>
    </w:p>
    <w:p>
      <w:pPr/>
    </w:p>
    <w:tbl>
      <w:tr w14:paraId="A0000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1">
            <w:r>
              <w:rPr>
                <w:b/>
                <w:bCs/>
              </w:rPr>
              <w:t>用例编号</w:t>
            </w:r>
          </w:p>
        </w:tc>
        <w:tc>
          <w:tcPr>
            <w:tcW w:w="11659" w:type="dxa"/>
            <w:gridSpan w:val="5"/>
          </w:tcPr>
          <w:p w14:paraId="A0000002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INQ-005</w:t>
            </w:r>
          </w:p>
        </w:tc>
      </w:tr>
      <w:tr w14:paraId="A0000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4">
            <w:r>
              <w:rPr>
                <w:b/>
                <w:bCs/>
              </w:rPr>
              <w:t>用例名称</w:t>
            </w:r>
          </w:p>
        </w:tc>
        <w:tc>
          <w:tcPr>
            <w:tcW w:w="11659" w:type="dxa"/>
            <w:gridSpan w:val="5"/>
          </w:tcPr>
          <w:p w14:paraId="A0000005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历史报价默认值带入</w:t>
            </w:r>
          </w:p>
        </w:tc>
      </w:tr>
      <w:tr w14:paraId="A0000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7">
            <w:r>
              <w:rPr>
                <w:b/>
                <w:bCs/>
              </w:rPr>
              <w:t>前置条件</w:t>
            </w:r>
          </w:p>
        </w:tc>
        <w:tc>
          <w:tcPr>
            <w:tcW w:w="11659" w:type="dxa"/>
            <w:gridSpan w:val="5"/>
          </w:tcPr>
          <w:p w14:paraId="A0000008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1.同上</w:t>
            </w:r>
            <w:r>
              <w:rPr/>
              <w:t xml:space="preserve">2.零件存在已审核历史报价</w:t>
            </w:r>
          </w:p>
          <w:p w14:paraId="A0000009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/>
            </w:r>
          </w:p>
          <w:p w14:paraId="A000000A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/>
            </w:r>
          </w:p>
        </w:tc>
      </w:tr>
      <w:tr w14:paraId="A0000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021" w:type="dxa"/>
            <w:shd w:val="clear" w:color="auto" w:fill="AFABAB"/>
          </w:tcPr>
          <w:p w14:paraId="A000000C">
            <w:r>
              <w:rPr>
                <w:b/>
                <w:bCs/>
              </w:rPr>
              <w:t>用例描述</w:t>
            </w:r>
          </w:p>
        </w:tc>
        <w:tc>
          <w:tcPr>
            <w:tcW w:w="11659" w:type="dxa"/>
            <w:gridSpan w:val="5"/>
          </w:tcPr>
          <w:p w14:paraId="A000000D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验证询价单发起时自动带入历史报价</w:t>
            </w:r>
          </w:p>
        </w:tc>
      </w:tr>
      <w:tr w14:paraId="A0000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  <w:trHeight w:val="400" w:hRule="atLeast"/>
        </w:trPr>
        <w:tc>
          <w:tcPr>
            <w:tcW w:w="1021" w:type="dxa"/>
            <w:shd w:val="clear" w:color="auto" w:fill="AFABAB"/>
          </w:tcPr>
          <w:p w14:paraId="A000000F">
            <w:r>
              <w:rPr>
                <w:b/>
                <w:bCs/>
              </w:rPr>
              <w:t>体现环节</w:t>
            </w:r>
          </w:p>
        </w:tc>
        <w:tc>
          <w:tcPr>
            <w:tcW w:w="2410" w:type="dxa"/>
            <w:shd w:val="clear" w:color="auto" w:fill="AFABAB"/>
          </w:tcPr>
          <w:p w14:paraId="A0000010">
            <w:pPr>
              <w:rPr>
                <w:b/>
              </w:rPr>
            </w:pPr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3119" w:type="dxa"/>
            <w:shd w:val="clear" w:color="auto" w:fill="AFABAB"/>
          </w:tcPr>
          <w:p w14:paraId="A0000011">
            <w:r>
              <w:rPr>
                <w:b/>
                <w:bCs/>
              </w:rPr>
              <w:t>预期结果</w:t>
            </w:r>
          </w:p>
        </w:tc>
        <w:tc>
          <w:tcPr>
            <w:tcW w:w="4819" w:type="dxa"/>
            <w:shd w:val="clear" w:color="auto" w:fill="AFABAB"/>
          </w:tcPr>
          <w:p w14:paraId="A000001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图示</w:t>
            </w:r>
          </w:p>
        </w:tc>
        <w:tc>
          <w:tcPr>
            <w:tcW w:w="1275" w:type="dxa"/>
            <w:shd w:val="clear" w:color="auto" w:fill="AFABAB"/>
            <w:vAlign w:val="center"/>
          </w:tcPr>
          <w:p w14:paraId="A000001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测试结果</w:t>
            </w:r>
          </w:p>
        </w:tc>
      </w:tr>
      <w:tr w14:paraId="A000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15">
            <w:pPr>
              <w:jc w:val="center"/>
            </w:pPr>
            <w:r>
              <w:t>1</w:t>
            </w:r>
          </w:p>
        </w:tc>
        <w:tc>
          <w:tcPr>
            <w:tcW w:w="2410" w:type="dxa"/>
          </w:tcPr>
          <w:p w14:paraId="A000001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选择有历史报价的零件和供应商</w:t>
            </w:r>
          </w:p>
        </w:tc>
        <w:tc>
          <w:tcPr>
            <w:tcW w:w="3119" w:type="dxa"/>
          </w:tcPr>
          <w:p w14:paraId="A000001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选择成功</w:t>
            </w:r>
          </w:p>
        </w:tc>
        <w:tc>
          <w:tcPr>
            <w:tcW w:w="4819" w:type="dxa"/>
          </w:tcPr>
          <w:p w14:paraId="A0000018">
            <w:pPr>
              <w:jc w:val="center"/>
            </w:pPr>
          </w:p>
        </w:tc>
        <w:tc>
          <w:tcPr>
            <w:tcW w:w="1275" w:type="dxa"/>
          </w:tcPr>
          <w:p w14:paraId="A0000019">
            <w:pPr/>
          </w:p>
        </w:tc>
      </w:tr>
      <w:tr w14:paraId="A000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15">
            <w:pPr>
              <w:jc w:val="center"/>
            </w:pPr>
            <w:r>
              <w:t>2</w:t>
            </w:r>
          </w:p>
        </w:tc>
        <w:tc>
          <w:tcPr>
            <w:tcW w:w="2410" w:type="dxa"/>
          </w:tcPr>
          <w:p w14:paraId="A000001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创建询价单并发起</w:t>
            </w:r>
          </w:p>
        </w:tc>
        <w:tc>
          <w:tcPr>
            <w:tcW w:w="3119" w:type="dxa"/>
          </w:tcPr>
          <w:p w14:paraId="A000001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自动带入上一次通过报价的全部信息</w:t>
            </w:r>
          </w:p>
        </w:tc>
        <w:tc>
          <w:tcPr>
            <w:tcW w:w="4819" w:type="dxa"/>
          </w:tcPr>
          <w:p w14:paraId="A0000018">
            <w:pPr>
              <w:jc w:val="center"/>
            </w:pPr>
          </w:p>
        </w:tc>
        <w:tc>
          <w:tcPr>
            <w:tcW w:w="1275" w:type="dxa"/>
          </w:tcPr>
          <w:p w14:paraId="A0000019">
            <w:pPr/>
          </w:p>
        </w:tc>
      </w:tr>
    </w:tbl>
    <w:p>
      <w:pPr/>
    </w:p>
    <w:p>
      <w:pPr/>
    </w:p>
    <w:tbl>
      <w:tr w14:paraId="A0000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1">
            <w:r>
              <w:rPr>
                <w:b/>
                <w:bCs/>
              </w:rPr>
              <w:t>用例编号</w:t>
            </w:r>
          </w:p>
        </w:tc>
        <w:tc>
          <w:tcPr>
            <w:tcW w:w="11659" w:type="dxa"/>
            <w:gridSpan w:val="5"/>
          </w:tcPr>
          <w:p w14:paraId="A0000002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QUOTE-001</w:t>
            </w:r>
          </w:p>
        </w:tc>
      </w:tr>
      <w:tr w14:paraId="A0000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4">
            <w:r>
              <w:rPr>
                <w:b/>
                <w:bCs/>
              </w:rPr>
              <w:t>用例名称</w:t>
            </w:r>
          </w:p>
        </w:tc>
        <w:tc>
          <w:tcPr>
            <w:tcW w:w="11659" w:type="dxa"/>
            <w:gridSpan w:val="5"/>
          </w:tcPr>
          <w:p w14:paraId="A0000005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供应商查看待报价单据</w:t>
            </w:r>
          </w:p>
        </w:tc>
      </w:tr>
      <w:tr w14:paraId="A0000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7">
            <w:r>
              <w:rPr>
                <w:b/>
                <w:bCs/>
              </w:rPr>
              <w:t>前置条件</w:t>
            </w:r>
          </w:p>
        </w:tc>
        <w:tc>
          <w:tcPr>
            <w:tcW w:w="11659" w:type="dxa"/>
            <w:gridSpan w:val="5"/>
          </w:tcPr>
          <w:p w14:paraId="A0000008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1.已登录（供应商账号）</w:t>
            </w:r>
            <w:r>
              <w:rPr/>
              <w:t xml:space="preserve">2.采购员已发起询价</w:t>
            </w:r>
          </w:p>
          <w:p w14:paraId="A0000009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/>
            </w:r>
          </w:p>
          <w:p w14:paraId="A000000A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/>
            </w:r>
          </w:p>
        </w:tc>
      </w:tr>
      <w:tr w14:paraId="A0000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021" w:type="dxa"/>
            <w:shd w:val="clear" w:color="auto" w:fill="AFABAB"/>
          </w:tcPr>
          <w:p w14:paraId="A000000C">
            <w:r>
              <w:rPr>
                <w:b/>
                <w:bCs/>
              </w:rPr>
              <w:t>用例描述</w:t>
            </w:r>
          </w:p>
        </w:tc>
        <w:tc>
          <w:tcPr>
            <w:tcW w:w="11659" w:type="dxa"/>
            <w:gridSpan w:val="5"/>
          </w:tcPr>
          <w:p w14:paraId="A000000D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验证供应商可查看待报价单据并进入报价</w:t>
            </w:r>
          </w:p>
        </w:tc>
      </w:tr>
      <w:tr w14:paraId="A0000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  <w:trHeight w:val="400" w:hRule="atLeast"/>
        </w:trPr>
        <w:tc>
          <w:tcPr>
            <w:tcW w:w="1021" w:type="dxa"/>
            <w:shd w:val="clear" w:color="auto" w:fill="AFABAB"/>
          </w:tcPr>
          <w:p w14:paraId="A000000F">
            <w:r>
              <w:rPr>
                <w:b/>
                <w:bCs/>
              </w:rPr>
              <w:t>体现环节</w:t>
            </w:r>
          </w:p>
        </w:tc>
        <w:tc>
          <w:tcPr>
            <w:tcW w:w="2410" w:type="dxa"/>
            <w:shd w:val="clear" w:color="auto" w:fill="AFABAB"/>
          </w:tcPr>
          <w:p w14:paraId="A0000010">
            <w:pPr>
              <w:rPr>
                <w:b/>
              </w:rPr>
            </w:pPr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3119" w:type="dxa"/>
            <w:shd w:val="clear" w:color="auto" w:fill="AFABAB"/>
          </w:tcPr>
          <w:p w14:paraId="A0000011">
            <w:r>
              <w:rPr>
                <w:b/>
                <w:bCs/>
              </w:rPr>
              <w:t>预期结果</w:t>
            </w:r>
          </w:p>
        </w:tc>
        <w:tc>
          <w:tcPr>
            <w:tcW w:w="4819" w:type="dxa"/>
            <w:shd w:val="clear" w:color="auto" w:fill="AFABAB"/>
          </w:tcPr>
          <w:p w14:paraId="A000001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图示</w:t>
            </w:r>
          </w:p>
        </w:tc>
        <w:tc>
          <w:tcPr>
            <w:tcW w:w="1275" w:type="dxa"/>
            <w:shd w:val="clear" w:color="auto" w:fill="AFABAB"/>
            <w:vAlign w:val="center"/>
          </w:tcPr>
          <w:p w14:paraId="A000001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测试结果</w:t>
            </w:r>
          </w:p>
        </w:tc>
      </w:tr>
      <w:tr w14:paraId="A000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15">
            <w:pPr>
              <w:jc w:val="center"/>
            </w:pPr>
            <w:r>
              <w:t>1</w:t>
            </w:r>
          </w:p>
        </w:tc>
        <w:tc>
          <w:tcPr>
            <w:tcW w:w="2410" w:type="dxa"/>
          </w:tcPr>
          <w:p w14:paraId="A000001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进入报价单列表</w:t>
            </w:r>
          </w:p>
        </w:tc>
        <w:tc>
          <w:tcPr>
            <w:tcW w:w="3119" w:type="dxa"/>
          </w:tcPr>
          <w:p w14:paraId="A000001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显示待报价单据</w:t>
            </w:r>
          </w:p>
        </w:tc>
        <w:tc>
          <w:tcPr>
            <w:tcW w:w="4819" w:type="dxa"/>
          </w:tcPr>
          <w:p w14:paraId="A0000018">
            <w:pPr>
              <w:jc w:val="center"/>
            </w:pPr>
          </w:p>
        </w:tc>
        <w:tc>
          <w:tcPr>
            <w:tcW w:w="1275" w:type="dxa"/>
          </w:tcPr>
          <w:p w14:paraId="A0000019">
            <w:pPr/>
          </w:p>
        </w:tc>
      </w:tr>
      <w:tr w14:paraId="A000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15">
            <w:pPr>
              <w:jc w:val="center"/>
            </w:pPr>
            <w:r>
              <w:t>2</w:t>
            </w:r>
          </w:p>
        </w:tc>
        <w:tc>
          <w:tcPr>
            <w:tcW w:w="2410" w:type="dxa"/>
          </w:tcPr>
          <w:p w14:paraId="A000001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找到"待报价"单据，点击"报价"</w:t>
            </w:r>
          </w:p>
        </w:tc>
        <w:tc>
          <w:tcPr>
            <w:tcW w:w="3119" w:type="dxa"/>
          </w:tcPr>
          <w:p w14:paraId="A000001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进入报价编辑页面</w:t>
            </w:r>
          </w:p>
        </w:tc>
        <w:tc>
          <w:tcPr>
            <w:tcW w:w="4819" w:type="dxa"/>
          </w:tcPr>
          <w:p w14:paraId="A0000018">
            <w:pPr>
              <w:jc w:val="center"/>
            </w:pPr>
          </w:p>
        </w:tc>
        <w:tc>
          <w:tcPr>
            <w:tcW w:w="1275" w:type="dxa"/>
          </w:tcPr>
          <w:p w14:paraId="A0000019">
            <w:pPr/>
          </w:p>
        </w:tc>
      </w:tr>
    </w:tbl>
    <w:p>
      <w:pPr/>
    </w:p>
    <w:p>
      <w:pPr/>
    </w:p>
    <w:tbl>
      <w:tr w14:paraId="A0000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1">
            <w:r>
              <w:rPr>
                <w:b/>
                <w:bCs/>
              </w:rPr>
              <w:t>用例编号</w:t>
            </w:r>
          </w:p>
        </w:tc>
        <w:tc>
          <w:tcPr>
            <w:tcW w:w="11659" w:type="dxa"/>
            <w:gridSpan w:val="5"/>
          </w:tcPr>
          <w:p w14:paraId="A0000002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QUOTE-002</w:t>
            </w:r>
          </w:p>
        </w:tc>
      </w:tr>
      <w:tr w14:paraId="A0000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4">
            <w:r>
              <w:rPr>
                <w:b/>
                <w:bCs/>
              </w:rPr>
              <w:t>用例名称</w:t>
            </w:r>
          </w:p>
        </w:tc>
        <w:tc>
          <w:tcPr>
            <w:tcW w:w="11659" w:type="dxa"/>
            <w:gridSpan w:val="5"/>
          </w:tcPr>
          <w:p w14:paraId="A0000005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供应商查看权限控制字段</w:t>
            </w:r>
          </w:p>
        </w:tc>
      </w:tr>
      <w:tr w14:paraId="A0000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7">
            <w:r>
              <w:rPr>
                <w:b/>
                <w:bCs/>
              </w:rPr>
              <w:t>前置条件</w:t>
            </w:r>
          </w:p>
        </w:tc>
        <w:tc>
          <w:tcPr>
            <w:tcW w:w="11659" w:type="dxa"/>
            <w:gridSpan w:val="5"/>
          </w:tcPr>
          <w:p w14:paraId="A0000008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1.同上</w:t>
            </w:r>
            <w:r>
              <w:rPr/>
              <w:t xml:space="preserve">2.采购员配置了不允许修改重量和单价</w:t>
            </w:r>
          </w:p>
          <w:p w14:paraId="A0000009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/>
            </w:r>
          </w:p>
          <w:p w14:paraId="A000000A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/>
            </w:r>
          </w:p>
        </w:tc>
      </w:tr>
      <w:tr w14:paraId="A0000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021" w:type="dxa"/>
            <w:shd w:val="clear" w:color="auto" w:fill="AFABAB"/>
          </w:tcPr>
          <w:p w14:paraId="A000000C">
            <w:r>
              <w:rPr>
                <w:b/>
                <w:bCs/>
              </w:rPr>
              <w:t>用例描述</w:t>
            </w:r>
          </w:p>
        </w:tc>
        <w:tc>
          <w:tcPr>
            <w:tcW w:w="11659" w:type="dxa"/>
            <w:gridSpan w:val="5"/>
          </w:tcPr>
          <w:p w14:paraId="A000000D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验证被禁止修改的字段置灰</w:t>
            </w:r>
          </w:p>
        </w:tc>
      </w:tr>
      <w:tr w14:paraId="A0000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  <w:trHeight w:val="400" w:hRule="atLeast"/>
        </w:trPr>
        <w:tc>
          <w:tcPr>
            <w:tcW w:w="1021" w:type="dxa"/>
            <w:shd w:val="clear" w:color="auto" w:fill="AFABAB"/>
          </w:tcPr>
          <w:p w14:paraId="A000000F">
            <w:r>
              <w:rPr>
                <w:b/>
                <w:bCs/>
              </w:rPr>
              <w:t>体现环节</w:t>
            </w:r>
          </w:p>
        </w:tc>
        <w:tc>
          <w:tcPr>
            <w:tcW w:w="2410" w:type="dxa"/>
            <w:shd w:val="clear" w:color="auto" w:fill="AFABAB"/>
          </w:tcPr>
          <w:p w14:paraId="A0000010">
            <w:pPr>
              <w:rPr>
                <w:b/>
              </w:rPr>
            </w:pPr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3119" w:type="dxa"/>
            <w:shd w:val="clear" w:color="auto" w:fill="AFABAB"/>
          </w:tcPr>
          <w:p w14:paraId="A0000011">
            <w:r>
              <w:rPr>
                <w:b/>
                <w:bCs/>
              </w:rPr>
              <w:t>预期结果</w:t>
            </w:r>
          </w:p>
        </w:tc>
        <w:tc>
          <w:tcPr>
            <w:tcW w:w="4819" w:type="dxa"/>
            <w:shd w:val="clear" w:color="auto" w:fill="AFABAB"/>
          </w:tcPr>
          <w:p w14:paraId="A000001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图示</w:t>
            </w:r>
          </w:p>
        </w:tc>
        <w:tc>
          <w:tcPr>
            <w:tcW w:w="1275" w:type="dxa"/>
            <w:shd w:val="clear" w:color="auto" w:fill="AFABAB"/>
            <w:vAlign w:val="center"/>
          </w:tcPr>
          <w:p w14:paraId="A000001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测试结果</w:t>
            </w:r>
          </w:p>
        </w:tc>
      </w:tr>
      <w:tr w14:paraId="A000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15">
            <w:pPr>
              <w:jc w:val="center"/>
            </w:pPr>
            <w:r>
              <w:t>1</w:t>
            </w:r>
          </w:p>
        </w:tc>
        <w:tc>
          <w:tcPr>
            <w:tcW w:w="2410" w:type="dxa"/>
          </w:tcPr>
          <w:p w14:paraId="A000001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进入报价编辑页面</w:t>
            </w:r>
          </w:p>
        </w:tc>
        <w:tc>
          <w:tcPr>
            <w:tcW w:w="3119" w:type="dxa"/>
          </w:tcPr>
          <w:p w14:paraId="A000001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正常打开</w:t>
            </w:r>
          </w:p>
        </w:tc>
        <w:tc>
          <w:tcPr>
            <w:tcW w:w="4819" w:type="dxa"/>
          </w:tcPr>
          <w:p w14:paraId="A0000018">
            <w:pPr>
              <w:jc w:val="center"/>
            </w:pPr>
          </w:p>
        </w:tc>
        <w:tc>
          <w:tcPr>
            <w:tcW w:w="1275" w:type="dxa"/>
          </w:tcPr>
          <w:p w14:paraId="A0000019">
            <w:pPr/>
          </w:p>
        </w:tc>
      </w:tr>
      <w:tr w14:paraId="A000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15">
            <w:pPr>
              <w:jc w:val="center"/>
            </w:pPr>
            <w:r>
              <w:t>2</w:t>
            </w:r>
          </w:p>
        </w:tc>
        <w:tc>
          <w:tcPr>
            <w:tcW w:w="2410" w:type="dxa"/>
          </w:tcPr>
          <w:p w14:paraId="A000001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查看材料单价字段</w:t>
            </w:r>
          </w:p>
        </w:tc>
        <w:tc>
          <w:tcPr>
            <w:tcW w:w="3119" w:type="dxa"/>
          </w:tcPr>
          <w:p w14:paraId="A000001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置灰不可编辑</w:t>
            </w:r>
          </w:p>
        </w:tc>
        <w:tc>
          <w:tcPr>
            <w:tcW w:w="4819" w:type="dxa"/>
          </w:tcPr>
          <w:p w14:paraId="A0000018">
            <w:pPr>
              <w:jc w:val="center"/>
            </w:pPr>
          </w:p>
        </w:tc>
        <w:tc>
          <w:tcPr>
            <w:tcW w:w="1275" w:type="dxa"/>
          </w:tcPr>
          <w:p w14:paraId="A0000019">
            <w:pPr/>
          </w:p>
        </w:tc>
      </w:tr>
      <w:tr w14:paraId="A000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15">
            <w:pPr>
              <w:jc w:val="center"/>
            </w:pPr>
            <w:r>
              <w:t>3</w:t>
            </w:r>
          </w:p>
        </w:tc>
        <w:tc>
          <w:tcPr>
            <w:tcW w:w="2410" w:type="dxa"/>
          </w:tcPr>
          <w:p w14:paraId="A000001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查看投料重量字段</w:t>
            </w:r>
          </w:p>
        </w:tc>
        <w:tc>
          <w:tcPr>
            <w:tcW w:w="3119" w:type="dxa"/>
          </w:tcPr>
          <w:p w14:paraId="A000001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置灰不可编辑，允许修改的字段为白色</w:t>
            </w:r>
          </w:p>
        </w:tc>
        <w:tc>
          <w:tcPr>
            <w:tcW w:w="4819" w:type="dxa"/>
          </w:tcPr>
          <w:p w14:paraId="A0000018">
            <w:pPr>
              <w:jc w:val="center"/>
            </w:pPr>
          </w:p>
        </w:tc>
        <w:tc>
          <w:tcPr>
            <w:tcW w:w="1275" w:type="dxa"/>
          </w:tcPr>
          <w:p w14:paraId="A0000019">
            <w:pPr/>
          </w:p>
        </w:tc>
      </w:tr>
    </w:tbl>
    <w:p>
      <w:pPr/>
    </w:p>
    <w:p>
      <w:pPr/>
    </w:p>
    <w:tbl>
      <w:tr w14:paraId="A0000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1">
            <w:r>
              <w:rPr>
                <w:b/>
                <w:bCs/>
              </w:rPr>
              <w:t>用例编号</w:t>
            </w:r>
          </w:p>
        </w:tc>
        <w:tc>
          <w:tcPr>
            <w:tcW w:w="11659" w:type="dxa"/>
            <w:gridSpan w:val="5"/>
          </w:tcPr>
          <w:p w14:paraId="A0000002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QUOTE-003</w:t>
            </w:r>
          </w:p>
        </w:tc>
      </w:tr>
      <w:tr w14:paraId="A0000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4">
            <w:r>
              <w:rPr>
                <w:b/>
                <w:bCs/>
              </w:rPr>
              <w:t>用例名称</w:t>
            </w:r>
          </w:p>
        </w:tc>
        <w:tc>
          <w:tcPr>
            <w:tcW w:w="11659" w:type="dxa"/>
            <w:gridSpan w:val="5"/>
          </w:tcPr>
          <w:p w14:paraId="A0000005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供应商填写市况基准日期</w:t>
            </w:r>
          </w:p>
        </w:tc>
      </w:tr>
      <w:tr w14:paraId="A0000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7">
            <w:r>
              <w:rPr>
                <w:b/>
                <w:bCs/>
              </w:rPr>
              <w:t>前置条件</w:t>
            </w:r>
          </w:p>
        </w:tc>
        <w:tc>
          <w:tcPr>
            <w:tcW w:w="11659" w:type="dxa"/>
            <w:gridSpan w:val="5"/>
          </w:tcPr>
          <w:p w14:paraId="A0000008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1.同上</w:t>
            </w:r>
            <w:r>
              <w:rPr/>
              <w:t xml:space="preserve">2.采购员允许修改市况信息</w:t>
            </w:r>
          </w:p>
          <w:p w14:paraId="A0000009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/>
            </w:r>
          </w:p>
          <w:p w14:paraId="A000000A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/>
            </w:r>
          </w:p>
        </w:tc>
      </w:tr>
      <w:tr w14:paraId="A0000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021" w:type="dxa"/>
            <w:shd w:val="clear" w:color="auto" w:fill="AFABAB"/>
          </w:tcPr>
          <w:p w14:paraId="A000000C">
            <w:r>
              <w:rPr>
                <w:b/>
                <w:bCs/>
              </w:rPr>
              <w:t>用例描述</w:t>
            </w:r>
          </w:p>
        </w:tc>
        <w:tc>
          <w:tcPr>
            <w:tcW w:w="11659" w:type="dxa"/>
            <w:gridSpan w:val="5"/>
          </w:tcPr>
          <w:p w14:paraId="A000000D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验证供应商可选择市况基准日期区间</w:t>
            </w:r>
          </w:p>
        </w:tc>
      </w:tr>
      <w:tr w14:paraId="A0000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  <w:trHeight w:val="400" w:hRule="atLeast"/>
        </w:trPr>
        <w:tc>
          <w:tcPr>
            <w:tcW w:w="1021" w:type="dxa"/>
            <w:shd w:val="clear" w:color="auto" w:fill="AFABAB"/>
          </w:tcPr>
          <w:p w14:paraId="A000000F">
            <w:r>
              <w:rPr>
                <w:b/>
                <w:bCs/>
              </w:rPr>
              <w:t>体现环节</w:t>
            </w:r>
          </w:p>
        </w:tc>
        <w:tc>
          <w:tcPr>
            <w:tcW w:w="2410" w:type="dxa"/>
            <w:shd w:val="clear" w:color="auto" w:fill="AFABAB"/>
          </w:tcPr>
          <w:p w14:paraId="A0000010">
            <w:pPr>
              <w:rPr>
                <w:b/>
              </w:rPr>
            </w:pPr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3119" w:type="dxa"/>
            <w:shd w:val="clear" w:color="auto" w:fill="AFABAB"/>
          </w:tcPr>
          <w:p w14:paraId="A0000011">
            <w:r>
              <w:rPr>
                <w:b/>
                <w:bCs/>
              </w:rPr>
              <w:t>预期结果</w:t>
            </w:r>
          </w:p>
        </w:tc>
        <w:tc>
          <w:tcPr>
            <w:tcW w:w="4819" w:type="dxa"/>
            <w:shd w:val="clear" w:color="auto" w:fill="AFABAB"/>
          </w:tcPr>
          <w:p w14:paraId="A000001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图示</w:t>
            </w:r>
          </w:p>
        </w:tc>
        <w:tc>
          <w:tcPr>
            <w:tcW w:w="1275" w:type="dxa"/>
            <w:shd w:val="clear" w:color="auto" w:fill="AFABAB"/>
            <w:vAlign w:val="center"/>
          </w:tcPr>
          <w:p w14:paraId="A000001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测试结果</w:t>
            </w:r>
          </w:p>
        </w:tc>
      </w:tr>
      <w:tr w14:paraId="A000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15">
            <w:pPr>
              <w:jc w:val="center"/>
            </w:pPr>
            <w:r>
              <w:t>1</w:t>
            </w:r>
          </w:p>
        </w:tc>
        <w:tc>
          <w:tcPr>
            <w:tcW w:w="2410" w:type="dxa"/>
          </w:tcPr>
          <w:p w14:paraId="A000001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点击市况基准开始日期，选择日期</w:t>
            </w:r>
          </w:p>
        </w:tc>
        <w:tc>
          <w:tcPr>
            <w:tcW w:w="3119" w:type="dxa"/>
          </w:tcPr>
          <w:p w14:paraId="A000001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日期选择器正常弹出</w:t>
            </w:r>
          </w:p>
        </w:tc>
        <w:tc>
          <w:tcPr>
            <w:tcW w:w="4819" w:type="dxa"/>
          </w:tcPr>
          <w:p w14:paraId="A0000018">
            <w:pPr>
              <w:jc w:val="center"/>
            </w:pPr>
          </w:p>
        </w:tc>
        <w:tc>
          <w:tcPr>
            <w:tcW w:w="1275" w:type="dxa"/>
          </w:tcPr>
          <w:p w14:paraId="A0000019">
            <w:pPr/>
          </w:p>
        </w:tc>
      </w:tr>
      <w:tr w14:paraId="A000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15">
            <w:pPr>
              <w:jc w:val="center"/>
            </w:pPr>
            <w:r>
              <w:t>2</w:t>
            </w:r>
          </w:p>
        </w:tc>
        <w:tc>
          <w:tcPr>
            <w:tcW w:w="2410" w:type="dxa"/>
          </w:tcPr>
          <w:p w14:paraId="A000001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点击市况基准结束日期，选择日期</w:t>
            </w:r>
          </w:p>
        </w:tc>
        <w:tc>
          <w:tcPr>
            <w:tcW w:w="3119" w:type="dxa"/>
          </w:tcPr>
          <w:p w14:paraId="A000001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日期区间与联动频次匹配</w:t>
            </w:r>
          </w:p>
        </w:tc>
        <w:tc>
          <w:tcPr>
            <w:tcW w:w="4819" w:type="dxa"/>
          </w:tcPr>
          <w:p w14:paraId="A0000018">
            <w:pPr>
              <w:jc w:val="center"/>
            </w:pPr>
          </w:p>
        </w:tc>
        <w:tc>
          <w:tcPr>
            <w:tcW w:w="1275" w:type="dxa"/>
          </w:tcPr>
          <w:p w14:paraId="A0000019">
            <w:pPr/>
          </w:p>
        </w:tc>
      </w:tr>
      <w:tr w14:paraId="A000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15">
            <w:pPr>
              <w:jc w:val="center"/>
            </w:pPr>
            <w:r>
              <w:t>3</w:t>
            </w:r>
          </w:p>
        </w:tc>
        <w:tc>
          <w:tcPr>
            <w:tcW w:w="2410" w:type="dxa"/>
          </w:tcPr>
          <w:p w14:paraId="A000001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查看联动频次</w:t>
            </w:r>
          </w:p>
        </w:tc>
        <w:tc>
          <w:tcPr>
            <w:tcW w:w="3119" w:type="dxa"/>
          </w:tcPr>
          <w:p w14:paraId="A000001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系统自动回填</w:t>
            </w:r>
          </w:p>
        </w:tc>
        <w:tc>
          <w:tcPr>
            <w:tcW w:w="4819" w:type="dxa"/>
          </w:tcPr>
          <w:p w14:paraId="A0000018">
            <w:pPr>
              <w:jc w:val="center"/>
            </w:pPr>
          </w:p>
        </w:tc>
        <w:tc>
          <w:tcPr>
            <w:tcW w:w="1275" w:type="dxa"/>
          </w:tcPr>
          <w:p w14:paraId="A0000019">
            <w:pPr/>
          </w:p>
        </w:tc>
      </w:tr>
    </w:tbl>
    <w:p>
      <w:pPr/>
    </w:p>
    <w:p>
      <w:pPr/>
    </w:p>
    <w:tbl>
      <w:tr w14:paraId="A0000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1">
            <w:r>
              <w:rPr>
                <w:b/>
                <w:bCs/>
              </w:rPr>
              <w:t>用例编号</w:t>
            </w:r>
          </w:p>
        </w:tc>
        <w:tc>
          <w:tcPr>
            <w:tcW w:w="11659" w:type="dxa"/>
            <w:gridSpan w:val="5"/>
          </w:tcPr>
          <w:p w14:paraId="A0000002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QUOTE-004</w:t>
            </w:r>
          </w:p>
        </w:tc>
      </w:tr>
      <w:tr w14:paraId="A0000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4">
            <w:r>
              <w:rPr>
                <w:b/>
                <w:bCs/>
              </w:rPr>
              <w:t>用例名称</w:t>
            </w:r>
          </w:p>
        </w:tc>
        <w:tc>
          <w:tcPr>
            <w:tcW w:w="11659" w:type="dxa"/>
            <w:gridSpan w:val="5"/>
          </w:tcPr>
          <w:p w14:paraId="A0000005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供应商填写市况基准行情</w:t>
            </w:r>
          </w:p>
        </w:tc>
      </w:tr>
      <w:tr w14:paraId="A0000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7">
            <w:r>
              <w:rPr>
                <w:b/>
                <w:bCs/>
              </w:rPr>
              <w:t>前置条件</w:t>
            </w:r>
          </w:p>
        </w:tc>
        <w:tc>
          <w:tcPr>
            <w:tcW w:w="11659" w:type="dxa"/>
            <w:gridSpan w:val="5"/>
          </w:tcPr>
          <w:p w14:paraId="A0000008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1.同上</w:t>
            </w:r>
          </w:p>
          <w:p w14:paraId="A0000009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/>
            </w:r>
          </w:p>
          <w:p w14:paraId="A000000A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/>
            </w:r>
          </w:p>
        </w:tc>
      </w:tr>
      <w:tr w14:paraId="A0000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021" w:type="dxa"/>
            <w:shd w:val="clear" w:color="auto" w:fill="AFABAB"/>
          </w:tcPr>
          <w:p w14:paraId="A000000C">
            <w:r>
              <w:rPr>
                <w:b/>
                <w:bCs/>
              </w:rPr>
              <w:t>用例描述</w:t>
            </w:r>
          </w:p>
        </w:tc>
        <w:tc>
          <w:tcPr>
            <w:tcW w:w="11659" w:type="dxa"/>
            <w:gridSpan w:val="5"/>
          </w:tcPr>
          <w:p w14:paraId="A000000D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验证供应商可填写市况基准行情</w:t>
            </w:r>
          </w:p>
        </w:tc>
      </w:tr>
      <w:tr w14:paraId="A0000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  <w:trHeight w:val="400" w:hRule="atLeast"/>
        </w:trPr>
        <w:tc>
          <w:tcPr>
            <w:tcW w:w="1021" w:type="dxa"/>
            <w:shd w:val="clear" w:color="auto" w:fill="AFABAB"/>
          </w:tcPr>
          <w:p w14:paraId="A000000F">
            <w:r>
              <w:rPr>
                <w:b/>
                <w:bCs/>
              </w:rPr>
              <w:t>体现环节</w:t>
            </w:r>
          </w:p>
        </w:tc>
        <w:tc>
          <w:tcPr>
            <w:tcW w:w="2410" w:type="dxa"/>
            <w:shd w:val="clear" w:color="auto" w:fill="AFABAB"/>
          </w:tcPr>
          <w:p w14:paraId="A0000010">
            <w:pPr>
              <w:rPr>
                <w:b/>
              </w:rPr>
            </w:pPr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3119" w:type="dxa"/>
            <w:shd w:val="clear" w:color="auto" w:fill="AFABAB"/>
          </w:tcPr>
          <w:p w14:paraId="A0000011">
            <w:r>
              <w:rPr>
                <w:b/>
                <w:bCs/>
              </w:rPr>
              <w:t>预期结果</w:t>
            </w:r>
          </w:p>
        </w:tc>
        <w:tc>
          <w:tcPr>
            <w:tcW w:w="4819" w:type="dxa"/>
            <w:shd w:val="clear" w:color="auto" w:fill="AFABAB"/>
          </w:tcPr>
          <w:p w14:paraId="A000001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图示</w:t>
            </w:r>
          </w:p>
        </w:tc>
        <w:tc>
          <w:tcPr>
            <w:tcW w:w="1275" w:type="dxa"/>
            <w:shd w:val="clear" w:color="auto" w:fill="AFABAB"/>
            <w:vAlign w:val="center"/>
          </w:tcPr>
          <w:p w14:paraId="A000001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测试结果</w:t>
            </w:r>
          </w:p>
        </w:tc>
      </w:tr>
      <w:tr w14:paraId="A000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15">
            <w:pPr>
              <w:jc w:val="center"/>
            </w:pPr>
            <w:r>
              <w:t>1</w:t>
            </w:r>
          </w:p>
        </w:tc>
        <w:tc>
          <w:tcPr>
            <w:tcW w:w="2410" w:type="dxa"/>
          </w:tcPr>
          <w:p w14:paraId="A000001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在市况基准行情字段输入价格</w:t>
            </w:r>
          </w:p>
        </w:tc>
        <w:tc>
          <w:tcPr>
            <w:tcW w:w="3119" w:type="dxa"/>
          </w:tcPr>
          <w:p w14:paraId="A000001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数值输入正常</w:t>
            </w:r>
          </w:p>
        </w:tc>
        <w:tc>
          <w:tcPr>
            <w:tcW w:w="4819" w:type="dxa"/>
          </w:tcPr>
          <w:p w14:paraId="A0000018">
            <w:pPr>
              <w:jc w:val="center"/>
            </w:pPr>
          </w:p>
        </w:tc>
        <w:tc>
          <w:tcPr>
            <w:tcW w:w="1275" w:type="dxa"/>
          </w:tcPr>
          <w:p w14:paraId="A0000019">
            <w:pPr/>
          </w:p>
        </w:tc>
      </w:tr>
      <w:tr w14:paraId="A000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15">
            <w:pPr>
              <w:jc w:val="center"/>
            </w:pPr>
            <w:r>
              <w:t>2</w:t>
            </w:r>
          </w:p>
        </w:tc>
        <w:tc>
          <w:tcPr>
            <w:tcW w:w="2410" w:type="dxa"/>
          </w:tcPr>
          <w:p w14:paraId="A000001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保存</w:t>
            </w:r>
          </w:p>
        </w:tc>
        <w:tc>
          <w:tcPr>
            <w:tcW w:w="3119" w:type="dxa"/>
          </w:tcPr>
          <w:p w14:paraId="A000001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数据不丢失</w:t>
            </w:r>
          </w:p>
        </w:tc>
        <w:tc>
          <w:tcPr>
            <w:tcW w:w="4819" w:type="dxa"/>
          </w:tcPr>
          <w:p w14:paraId="A0000018">
            <w:pPr>
              <w:jc w:val="center"/>
            </w:pPr>
          </w:p>
        </w:tc>
        <w:tc>
          <w:tcPr>
            <w:tcW w:w="1275" w:type="dxa"/>
          </w:tcPr>
          <w:p w14:paraId="A0000019">
            <w:pPr/>
          </w:p>
        </w:tc>
      </w:tr>
    </w:tbl>
    <w:p>
      <w:pPr/>
    </w:p>
    <w:p>
      <w:pPr/>
    </w:p>
    <w:tbl>
      <w:tr w14:paraId="A0000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1">
            <w:r>
              <w:rPr>
                <w:b/>
                <w:bCs/>
              </w:rPr>
              <w:t>用例编号</w:t>
            </w:r>
          </w:p>
        </w:tc>
        <w:tc>
          <w:tcPr>
            <w:tcW w:w="11659" w:type="dxa"/>
            <w:gridSpan w:val="5"/>
          </w:tcPr>
          <w:p w14:paraId="A0000002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QUOTE-005</w:t>
            </w:r>
          </w:p>
        </w:tc>
      </w:tr>
      <w:tr w14:paraId="A0000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4">
            <w:r>
              <w:rPr>
                <w:b/>
                <w:bCs/>
              </w:rPr>
              <w:t>用例名称</w:t>
            </w:r>
          </w:p>
        </w:tc>
        <w:tc>
          <w:tcPr>
            <w:tcW w:w="11659" w:type="dxa"/>
            <w:gridSpan w:val="5"/>
          </w:tcPr>
          <w:p w14:paraId="A0000005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供应商提交报价</w:t>
            </w:r>
          </w:p>
        </w:tc>
      </w:tr>
      <w:tr w14:paraId="A0000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7">
            <w:r>
              <w:rPr>
                <w:b/>
                <w:bCs/>
              </w:rPr>
              <w:t>前置条件</w:t>
            </w:r>
          </w:p>
        </w:tc>
        <w:tc>
          <w:tcPr>
            <w:tcW w:w="11659" w:type="dxa"/>
            <w:gridSpan w:val="5"/>
          </w:tcPr>
          <w:p w14:paraId="A0000008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1.同上</w:t>
            </w:r>
            <w:r>
              <w:rPr/>
              <w:t xml:space="preserve">2.所有必填字段已填写</w:t>
            </w:r>
          </w:p>
          <w:p w14:paraId="A0000009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/>
            </w:r>
          </w:p>
          <w:p w14:paraId="A000000A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/>
            </w:r>
          </w:p>
        </w:tc>
      </w:tr>
      <w:tr w14:paraId="A0000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021" w:type="dxa"/>
            <w:shd w:val="clear" w:color="auto" w:fill="AFABAB"/>
          </w:tcPr>
          <w:p w14:paraId="A000000C">
            <w:r>
              <w:rPr>
                <w:b/>
                <w:bCs/>
              </w:rPr>
              <w:t>用例描述</w:t>
            </w:r>
          </w:p>
        </w:tc>
        <w:tc>
          <w:tcPr>
            <w:tcW w:w="11659" w:type="dxa"/>
            <w:gridSpan w:val="5"/>
          </w:tcPr>
          <w:p w14:paraId="A000000D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验证供应商可正常提交报价</w:t>
            </w:r>
          </w:p>
        </w:tc>
      </w:tr>
      <w:tr w14:paraId="A0000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  <w:trHeight w:val="400" w:hRule="atLeast"/>
        </w:trPr>
        <w:tc>
          <w:tcPr>
            <w:tcW w:w="1021" w:type="dxa"/>
            <w:shd w:val="clear" w:color="auto" w:fill="AFABAB"/>
          </w:tcPr>
          <w:p w14:paraId="A000000F">
            <w:r>
              <w:rPr>
                <w:b/>
                <w:bCs/>
              </w:rPr>
              <w:t>体现环节</w:t>
            </w:r>
          </w:p>
        </w:tc>
        <w:tc>
          <w:tcPr>
            <w:tcW w:w="2410" w:type="dxa"/>
            <w:shd w:val="clear" w:color="auto" w:fill="AFABAB"/>
          </w:tcPr>
          <w:p w14:paraId="A0000010">
            <w:pPr>
              <w:rPr>
                <w:b/>
              </w:rPr>
            </w:pPr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3119" w:type="dxa"/>
            <w:shd w:val="clear" w:color="auto" w:fill="AFABAB"/>
          </w:tcPr>
          <w:p w14:paraId="A0000011">
            <w:r>
              <w:rPr>
                <w:b/>
                <w:bCs/>
              </w:rPr>
              <w:t>预期结果</w:t>
            </w:r>
          </w:p>
        </w:tc>
        <w:tc>
          <w:tcPr>
            <w:tcW w:w="4819" w:type="dxa"/>
            <w:shd w:val="clear" w:color="auto" w:fill="AFABAB"/>
          </w:tcPr>
          <w:p w14:paraId="A000001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图示</w:t>
            </w:r>
          </w:p>
        </w:tc>
        <w:tc>
          <w:tcPr>
            <w:tcW w:w="1275" w:type="dxa"/>
            <w:shd w:val="clear" w:color="auto" w:fill="AFABAB"/>
            <w:vAlign w:val="center"/>
          </w:tcPr>
          <w:p w14:paraId="A000001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测试结果</w:t>
            </w:r>
          </w:p>
        </w:tc>
      </w:tr>
      <w:tr w14:paraId="A000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15">
            <w:pPr>
              <w:jc w:val="center"/>
            </w:pPr>
            <w:r>
              <w:t>1</w:t>
            </w:r>
          </w:p>
        </w:tc>
        <w:tc>
          <w:tcPr>
            <w:tcW w:w="2410" w:type="dxa"/>
          </w:tcPr>
          <w:p w14:paraId="A000001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检查必填字段</w:t>
            </w:r>
          </w:p>
        </w:tc>
        <w:tc>
          <w:tcPr>
            <w:tcW w:w="3119" w:type="dxa"/>
          </w:tcPr>
          <w:p w14:paraId="A000001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全部已填</w:t>
            </w:r>
          </w:p>
        </w:tc>
        <w:tc>
          <w:tcPr>
            <w:tcW w:w="4819" w:type="dxa"/>
          </w:tcPr>
          <w:p w14:paraId="A0000018">
            <w:pPr>
              <w:jc w:val="center"/>
            </w:pPr>
          </w:p>
        </w:tc>
        <w:tc>
          <w:tcPr>
            <w:tcW w:w="1275" w:type="dxa"/>
          </w:tcPr>
          <w:p w14:paraId="A0000019">
            <w:pPr/>
          </w:p>
        </w:tc>
      </w:tr>
      <w:tr w14:paraId="A000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15">
            <w:pPr>
              <w:jc w:val="center"/>
            </w:pPr>
            <w:r>
              <w:t>2</w:t>
            </w:r>
          </w:p>
        </w:tc>
        <w:tc>
          <w:tcPr>
            <w:tcW w:w="2410" w:type="dxa"/>
          </w:tcPr>
          <w:p w14:paraId="A000001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点击"提交"</w:t>
            </w:r>
          </w:p>
        </w:tc>
        <w:tc>
          <w:tcPr>
            <w:tcW w:w="3119" w:type="dxa"/>
          </w:tcPr>
          <w:p w14:paraId="A000001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提交成功，状态更新为"已报价"</w:t>
            </w:r>
          </w:p>
        </w:tc>
        <w:tc>
          <w:tcPr>
            <w:tcW w:w="4819" w:type="dxa"/>
          </w:tcPr>
          <w:p w14:paraId="A0000018">
            <w:pPr>
              <w:jc w:val="center"/>
            </w:pPr>
          </w:p>
        </w:tc>
        <w:tc>
          <w:tcPr>
            <w:tcW w:w="1275" w:type="dxa"/>
          </w:tcPr>
          <w:p w14:paraId="A0000019">
            <w:pPr/>
          </w:p>
        </w:tc>
      </w:tr>
    </w:tbl>
    <w:p>
      <w:pPr/>
    </w:p>
    <w:p>
      <w:pPr/>
    </w:p>
    <w:tbl>
      <w:tr w14:paraId="A0000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1">
            <w:r>
              <w:rPr>
                <w:b/>
                <w:bCs/>
              </w:rPr>
              <w:t>用例编号</w:t>
            </w:r>
          </w:p>
        </w:tc>
        <w:tc>
          <w:tcPr>
            <w:tcW w:w="11659" w:type="dxa"/>
            <w:gridSpan w:val="5"/>
          </w:tcPr>
          <w:p w14:paraId="A0000002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QUOTE-006</w:t>
            </w:r>
          </w:p>
        </w:tc>
      </w:tr>
      <w:tr w14:paraId="A0000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4">
            <w:r>
              <w:rPr>
                <w:b/>
                <w:bCs/>
              </w:rPr>
              <w:t>用例名称</w:t>
            </w:r>
          </w:p>
        </w:tc>
        <w:tc>
          <w:tcPr>
            <w:tcW w:w="11659" w:type="dxa"/>
            <w:gridSpan w:val="5"/>
          </w:tcPr>
          <w:p w14:paraId="A0000005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提交时必填字段校验</w:t>
            </w:r>
          </w:p>
        </w:tc>
      </w:tr>
      <w:tr w14:paraId="A0000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7">
            <w:r>
              <w:rPr>
                <w:b/>
                <w:bCs/>
              </w:rPr>
              <w:t>前置条件</w:t>
            </w:r>
          </w:p>
        </w:tc>
        <w:tc>
          <w:tcPr>
            <w:tcW w:w="11659" w:type="dxa"/>
            <w:gridSpan w:val="5"/>
          </w:tcPr>
          <w:p w14:paraId="A0000008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1.同上</w:t>
            </w:r>
            <w:r>
              <w:rPr/>
              <w:t xml:space="preserve">2.存在未填写的必填字段</w:t>
            </w:r>
          </w:p>
          <w:p w14:paraId="A0000009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/>
            </w:r>
          </w:p>
          <w:p w14:paraId="A000000A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/>
            </w:r>
          </w:p>
        </w:tc>
      </w:tr>
      <w:tr w14:paraId="A0000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021" w:type="dxa"/>
            <w:shd w:val="clear" w:color="auto" w:fill="AFABAB"/>
          </w:tcPr>
          <w:p w14:paraId="A000000C">
            <w:r>
              <w:rPr>
                <w:b/>
                <w:bCs/>
              </w:rPr>
              <w:t>用例描述</w:t>
            </w:r>
          </w:p>
        </w:tc>
        <w:tc>
          <w:tcPr>
            <w:tcW w:w="11659" w:type="dxa"/>
            <w:gridSpan w:val="5"/>
          </w:tcPr>
          <w:p w14:paraId="A000000D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验证提交时校验必填字段</w:t>
            </w:r>
          </w:p>
        </w:tc>
      </w:tr>
      <w:tr w14:paraId="A0000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  <w:trHeight w:val="400" w:hRule="atLeast"/>
        </w:trPr>
        <w:tc>
          <w:tcPr>
            <w:tcW w:w="1021" w:type="dxa"/>
            <w:shd w:val="clear" w:color="auto" w:fill="AFABAB"/>
          </w:tcPr>
          <w:p w14:paraId="A000000F">
            <w:r>
              <w:rPr>
                <w:b/>
                <w:bCs/>
              </w:rPr>
              <w:t>体现环节</w:t>
            </w:r>
          </w:p>
        </w:tc>
        <w:tc>
          <w:tcPr>
            <w:tcW w:w="2410" w:type="dxa"/>
            <w:shd w:val="clear" w:color="auto" w:fill="AFABAB"/>
          </w:tcPr>
          <w:p w14:paraId="A0000010">
            <w:pPr>
              <w:rPr>
                <w:b/>
              </w:rPr>
            </w:pPr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3119" w:type="dxa"/>
            <w:shd w:val="clear" w:color="auto" w:fill="AFABAB"/>
          </w:tcPr>
          <w:p w14:paraId="A0000011">
            <w:r>
              <w:rPr>
                <w:b/>
                <w:bCs/>
              </w:rPr>
              <w:t>预期结果</w:t>
            </w:r>
          </w:p>
        </w:tc>
        <w:tc>
          <w:tcPr>
            <w:tcW w:w="4819" w:type="dxa"/>
            <w:shd w:val="clear" w:color="auto" w:fill="AFABAB"/>
          </w:tcPr>
          <w:p w14:paraId="A000001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图示</w:t>
            </w:r>
          </w:p>
        </w:tc>
        <w:tc>
          <w:tcPr>
            <w:tcW w:w="1275" w:type="dxa"/>
            <w:shd w:val="clear" w:color="auto" w:fill="AFABAB"/>
            <w:vAlign w:val="center"/>
          </w:tcPr>
          <w:p w14:paraId="A000001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测试结果</w:t>
            </w:r>
          </w:p>
        </w:tc>
      </w:tr>
      <w:tr w14:paraId="A000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15">
            <w:pPr>
              <w:jc w:val="center"/>
            </w:pPr>
            <w:r>
              <w:t>1</w:t>
            </w:r>
          </w:p>
        </w:tc>
        <w:tc>
          <w:tcPr>
            <w:tcW w:w="2410" w:type="dxa"/>
          </w:tcPr>
          <w:p w14:paraId="A000001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不填写投料重量</w:t>
            </w:r>
          </w:p>
        </w:tc>
        <w:tc>
          <w:tcPr>
            <w:tcW w:w="3119" w:type="dxa"/>
          </w:tcPr>
          <w:p w14:paraId="A000001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投料重量为空</w:t>
            </w:r>
          </w:p>
        </w:tc>
        <w:tc>
          <w:tcPr>
            <w:tcW w:w="4819" w:type="dxa"/>
          </w:tcPr>
          <w:p w14:paraId="A0000018">
            <w:pPr>
              <w:jc w:val="center"/>
            </w:pPr>
          </w:p>
        </w:tc>
        <w:tc>
          <w:tcPr>
            <w:tcW w:w="1275" w:type="dxa"/>
          </w:tcPr>
          <w:p w14:paraId="A0000019">
            <w:pPr/>
          </w:p>
        </w:tc>
      </w:tr>
      <w:tr w14:paraId="A000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15">
            <w:pPr>
              <w:jc w:val="center"/>
            </w:pPr>
            <w:r>
              <w:t>2</w:t>
            </w:r>
          </w:p>
        </w:tc>
        <w:tc>
          <w:tcPr>
            <w:tcW w:w="2410" w:type="dxa"/>
          </w:tcPr>
          <w:p w14:paraId="A000001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点击"提交"</w:t>
            </w:r>
          </w:p>
        </w:tc>
        <w:tc>
          <w:tcPr>
            <w:tcW w:w="3119" w:type="dxa"/>
          </w:tcPr>
          <w:p w14:paraId="A000001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提交失败，提示"请填写必填项"，必填字段标红</w:t>
            </w:r>
          </w:p>
        </w:tc>
        <w:tc>
          <w:tcPr>
            <w:tcW w:w="4819" w:type="dxa"/>
          </w:tcPr>
          <w:p w14:paraId="A0000018">
            <w:pPr>
              <w:jc w:val="center"/>
            </w:pPr>
          </w:p>
        </w:tc>
        <w:tc>
          <w:tcPr>
            <w:tcW w:w="1275" w:type="dxa"/>
          </w:tcPr>
          <w:p w14:paraId="A0000019">
            <w:pPr/>
          </w:p>
        </w:tc>
      </w:tr>
    </w:tbl>
    <w:p>
      <w:pPr/>
    </w:p>
    <w:p>
      <w:pPr/>
    </w:p>
    <w:tbl>
      <w:tr w14:paraId="A0000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1">
            <w:r>
              <w:rPr>
                <w:b/>
                <w:bCs/>
              </w:rPr>
              <w:t>用例编号</w:t>
            </w:r>
          </w:p>
        </w:tc>
        <w:tc>
          <w:tcPr>
            <w:tcW w:w="11659" w:type="dxa"/>
            <w:gridSpan w:val="5"/>
          </w:tcPr>
          <w:p w14:paraId="A0000002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LINK-001</w:t>
            </w:r>
          </w:p>
        </w:tc>
      </w:tr>
      <w:tr w14:paraId="A0000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4">
            <w:r>
              <w:rPr>
                <w:b/>
                <w:bCs/>
              </w:rPr>
              <w:t>用例名称</w:t>
            </w:r>
          </w:p>
        </w:tc>
        <w:tc>
          <w:tcPr>
            <w:tcW w:w="11659" w:type="dxa"/>
            <w:gridSpan w:val="5"/>
          </w:tcPr>
          <w:p w14:paraId="A0000005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新增市况联动定价单</w:t>
            </w:r>
          </w:p>
        </w:tc>
      </w:tr>
      <w:tr w14:paraId="A0000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7">
            <w:r>
              <w:rPr>
                <w:b/>
                <w:bCs/>
              </w:rPr>
              <w:t>前置条件</w:t>
            </w:r>
          </w:p>
        </w:tc>
        <w:tc>
          <w:tcPr>
            <w:tcW w:w="11659" w:type="dxa"/>
            <w:gridSpan w:val="5"/>
          </w:tcPr>
          <w:p w14:paraId="A0000008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1.已登录（采购员账号）</w:t>
            </w:r>
            <w:r>
              <w:rPr/>
              <w:t xml:space="preserve">2.市况管理→联动定价→市况联动定价单有权限</w:t>
            </w:r>
          </w:p>
          <w:p w14:paraId="A0000009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/>
            </w:r>
          </w:p>
          <w:p w14:paraId="A000000A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/>
            </w:r>
          </w:p>
        </w:tc>
      </w:tr>
      <w:tr w14:paraId="A0000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021" w:type="dxa"/>
            <w:shd w:val="clear" w:color="auto" w:fill="AFABAB"/>
          </w:tcPr>
          <w:p w14:paraId="A000000C">
            <w:r>
              <w:rPr>
                <w:b/>
                <w:bCs/>
              </w:rPr>
              <w:t>用例描述</w:t>
            </w:r>
          </w:p>
        </w:tc>
        <w:tc>
          <w:tcPr>
            <w:tcW w:w="11659" w:type="dxa"/>
            <w:gridSpan w:val="5"/>
          </w:tcPr>
          <w:p w14:paraId="A000000D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验证采购员可创建市况联动定价单</w:t>
            </w:r>
          </w:p>
        </w:tc>
      </w:tr>
      <w:tr w14:paraId="A0000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  <w:trHeight w:val="400" w:hRule="atLeast"/>
        </w:trPr>
        <w:tc>
          <w:tcPr>
            <w:tcW w:w="1021" w:type="dxa"/>
            <w:shd w:val="clear" w:color="auto" w:fill="AFABAB"/>
          </w:tcPr>
          <w:p w14:paraId="A000000F">
            <w:r>
              <w:rPr>
                <w:b/>
                <w:bCs/>
              </w:rPr>
              <w:t>体现环节</w:t>
            </w:r>
          </w:p>
        </w:tc>
        <w:tc>
          <w:tcPr>
            <w:tcW w:w="2410" w:type="dxa"/>
            <w:shd w:val="clear" w:color="auto" w:fill="AFABAB"/>
          </w:tcPr>
          <w:p w14:paraId="A0000010">
            <w:pPr>
              <w:rPr>
                <w:b/>
              </w:rPr>
            </w:pPr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3119" w:type="dxa"/>
            <w:shd w:val="clear" w:color="auto" w:fill="AFABAB"/>
          </w:tcPr>
          <w:p w14:paraId="A0000011">
            <w:r>
              <w:rPr>
                <w:b/>
                <w:bCs/>
              </w:rPr>
              <w:t>预期结果</w:t>
            </w:r>
          </w:p>
        </w:tc>
        <w:tc>
          <w:tcPr>
            <w:tcW w:w="4819" w:type="dxa"/>
            <w:shd w:val="clear" w:color="auto" w:fill="AFABAB"/>
          </w:tcPr>
          <w:p w14:paraId="A000001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图示</w:t>
            </w:r>
          </w:p>
        </w:tc>
        <w:tc>
          <w:tcPr>
            <w:tcW w:w="1275" w:type="dxa"/>
            <w:shd w:val="clear" w:color="auto" w:fill="AFABAB"/>
            <w:vAlign w:val="center"/>
          </w:tcPr>
          <w:p w14:paraId="A000001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测试结果</w:t>
            </w:r>
          </w:p>
        </w:tc>
      </w:tr>
      <w:tr w14:paraId="A000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15">
            <w:pPr>
              <w:jc w:val="center"/>
            </w:pPr>
            <w:r>
              <w:t>1</w:t>
            </w:r>
          </w:p>
        </w:tc>
        <w:tc>
          <w:tcPr>
            <w:tcW w:w="2410" w:type="dxa"/>
          </w:tcPr>
          <w:p w14:paraId="A000001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点击"新增"</w:t>
            </w:r>
          </w:p>
        </w:tc>
        <w:tc>
          <w:tcPr>
            <w:tcW w:w="3119" w:type="dxa"/>
          </w:tcPr>
          <w:p w14:paraId="A000001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打开新增页面</w:t>
            </w:r>
          </w:p>
        </w:tc>
        <w:tc>
          <w:tcPr>
            <w:tcW w:w="4819" w:type="dxa"/>
          </w:tcPr>
          <w:p w14:paraId="A0000018">
            <w:pPr>
              <w:jc w:val="center"/>
            </w:pPr>
          </w:p>
        </w:tc>
        <w:tc>
          <w:tcPr>
            <w:tcW w:w="1275" w:type="dxa"/>
          </w:tcPr>
          <w:p w14:paraId="A0000019">
            <w:pPr/>
          </w:p>
        </w:tc>
      </w:tr>
      <w:tr w14:paraId="A000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15">
            <w:pPr>
              <w:jc w:val="center"/>
            </w:pPr>
            <w:r>
              <w:t>2</w:t>
            </w:r>
          </w:p>
        </w:tc>
        <w:tc>
          <w:tcPr>
            <w:tcW w:w="2410" w:type="dxa"/>
          </w:tcPr>
          <w:p w14:paraId="A000001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选择供应商、定价类型、币种、税率</w:t>
            </w:r>
          </w:p>
        </w:tc>
        <w:tc>
          <w:tcPr>
            <w:tcW w:w="3119" w:type="dxa"/>
          </w:tcPr>
          <w:p w14:paraId="A000001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字段选择正常</w:t>
            </w:r>
          </w:p>
        </w:tc>
        <w:tc>
          <w:tcPr>
            <w:tcW w:w="4819" w:type="dxa"/>
          </w:tcPr>
          <w:p w14:paraId="A0000018">
            <w:pPr>
              <w:jc w:val="center"/>
            </w:pPr>
          </w:p>
        </w:tc>
        <w:tc>
          <w:tcPr>
            <w:tcW w:w="1275" w:type="dxa"/>
          </w:tcPr>
          <w:p w14:paraId="A0000019">
            <w:pPr/>
          </w:p>
        </w:tc>
      </w:tr>
      <w:tr w14:paraId="A000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15">
            <w:pPr>
              <w:jc w:val="center"/>
            </w:pPr>
            <w:r>
              <w:t>3</w:t>
            </w:r>
          </w:p>
        </w:tc>
        <w:tc>
          <w:tcPr>
            <w:tcW w:w="2410" w:type="dxa"/>
          </w:tcPr>
          <w:p w14:paraId="A000001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保存</w:t>
            </w:r>
          </w:p>
        </w:tc>
        <w:tc>
          <w:tcPr>
            <w:tcW w:w="3119" w:type="dxa"/>
          </w:tcPr>
          <w:p w14:paraId="A000001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创建成功，状态为"拟定"，自动带出零件</w:t>
            </w:r>
          </w:p>
        </w:tc>
        <w:tc>
          <w:tcPr>
            <w:tcW w:w="4819" w:type="dxa"/>
          </w:tcPr>
          <w:p w14:paraId="A0000018">
            <w:pPr>
              <w:jc w:val="center"/>
            </w:pPr>
          </w:p>
        </w:tc>
        <w:tc>
          <w:tcPr>
            <w:tcW w:w="1275" w:type="dxa"/>
          </w:tcPr>
          <w:p w14:paraId="A0000019">
            <w:pPr/>
          </w:p>
        </w:tc>
      </w:tr>
    </w:tbl>
    <w:p>
      <w:pPr/>
    </w:p>
    <w:p>
      <w:pPr/>
    </w:p>
    <w:tbl>
      <w:tr w14:paraId="A0000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1">
            <w:r>
              <w:rPr>
                <w:b/>
                <w:bCs/>
              </w:rPr>
              <w:t>用例编号</w:t>
            </w:r>
          </w:p>
        </w:tc>
        <w:tc>
          <w:tcPr>
            <w:tcW w:w="11659" w:type="dxa"/>
            <w:gridSpan w:val="5"/>
          </w:tcPr>
          <w:p w14:paraId="A0000002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LINK-002</w:t>
            </w:r>
          </w:p>
        </w:tc>
      </w:tr>
      <w:tr w14:paraId="A0000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4">
            <w:r>
              <w:rPr>
                <w:b/>
                <w:bCs/>
              </w:rPr>
              <w:t>用例名称</w:t>
            </w:r>
          </w:p>
        </w:tc>
        <w:tc>
          <w:tcPr>
            <w:tcW w:w="11659" w:type="dxa"/>
            <w:gridSpan w:val="5"/>
          </w:tcPr>
          <w:p w14:paraId="A0000005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选择供应商后自动带出零件</w:t>
            </w:r>
          </w:p>
        </w:tc>
      </w:tr>
      <w:tr w14:paraId="A0000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7">
            <w:r>
              <w:rPr>
                <w:b/>
                <w:bCs/>
              </w:rPr>
              <w:t>前置条件</w:t>
            </w:r>
          </w:p>
        </w:tc>
        <w:tc>
          <w:tcPr>
            <w:tcW w:w="11659" w:type="dxa"/>
            <w:gridSpan w:val="5"/>
          </w:tcPr>
          <w:p w14:paraId="A0000008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1.同上</w:t>
            </w:r>
          </w:p>
          <w:p w14:paraId="A0000009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/>
            </w:r>
          </w:p>
          <w:p w14:paraId="A000000A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/>
            </w:r>
          </w:p>
        </w:tc>
      </w:tr>
      <w:tr w14:paraId="A0000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021" w:type="dxa"/>
            <w:shd w:val="clear" w:color="auto" w:fill="AFABAB"/>
          </w:tcPr>
          <w:p w14:paraId="A000000C">
            <w:r>
              <w:rPr>
                <w:b/>
                <w:bCs/>
              </w:rPr>
              <w:t>用例描述</w:t>
            </w:r>
          </w:p>
        </w:tc>
        <w:tc>
          <w:tcPr>
            <w:tcW w:w="11659" w:type="dxa"/>
            <w:gridSpan w:val="5"/>
          </w:tcPr>
          <w:p w14:paraId="A000000D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验证自动带出已报价和未报价零件</w:t>
            </w:r>
          </w:p>
        </w:tc>
      </w:tr>
      <w:tr w14:paraId="A0000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  <w:trHeight w:val="400" w:hRule="atLeast"/>
        </w:trPr>
        <w:tc>
          <w:tcPr>
            <w:tcW w:w="1021" w:type="dxa"/>
            <w:shd w:val="clear" w:color="auto" w:fill="AFABAB"/>
          </w:tcPr>
          <w:p w14:paraId="A000000F">
            <w:r>
              <w:rPr>
                <w:b/>
                <w:bCs/>
              </w:rPr>
              <w:t>体现环节</w:t>
            </w:r>
          </w:p>
        </w:tc>
        <w:tc>
          <w:tcPr>
            <w:tcW w:w="2410" w:type="dxa"/>
            <w:shd w:val="clear" w:color="auto" w:fill="AFABAB"/>
          </w:tcPr>
          <w:p w14:paraId="A0000010">
            <w:pPr>
              <w:rPr>
                <w:b/>
              </w:rPr>
            </w:pPr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3119" w:type="dxa"/>
            <w:shd w:val="clear" w:color="auto" w:fill="AFABAB"/>
          </w:tcPr>
          <w:p w14:paraId="A0000011">
            <w:r>
              <w:rPr>
                <w:b/>
                <w:bCs/>
              </w:rPr>
              <w:t>预期结果</w:t>
            </w:r>
          </w:p>
        </w:tc>
        <w:tc>
          <w:tcPr>
            <w:tcW w:w="4819" w:type="dxa"/>
            <w:shd w:val="clear" w:color="auto" w:fill="AFABAB"/>
          </w:tcPr>
          <w:p w14:paraId="A000001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图示</w:t>
            </w:r>
          </w:p>
        </w:tc>
        <w:tc>
          <w:tcPr>
            <w:tcW w:w="1275" w:type="dxa"/>
            <w:shd w:val="clear" w:color="auto" w:fill="AFABAB"/>
            <w:vAlign w:val="center"/>
          </w:tcPr>
          <w:p w14:paraId="A000001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测试结果</w:t>
            </w:r>
          </w:p>
        </w:tc>
      </w:tr>
      <w:tr w14:paraId="A000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15">
            <w:pPr>
              <w:jc w:val="center"/>
            </w:pPr>
            <w:r>
              <w:t>1</w:t>
            </w:r>
          </w:p>
        </w:tc>
        <w:tc>
          <w:tcPr>
            <w:tcW w:w="2410" w:type="dxa"/>
          </w:tcPr>
          <w:p w14:paraId="A000001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选择供应商</w:t>
            </w:r>
          </w:p>
        </w:tc>
        <w:tc>
          <w:tcPr>
            <w:tcW w:w="3119" w:type="dxa"/>
          </w:tcPr>
          <w:p w14:paraId="A000001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供应商选择成功</w:t>
            </w:r>
          </w:p>
        </w:tc>
        <w:tc>
          <w:tcPr>
            <w:tcW w:w="4819" w:type="dxa"/>
          </w:tcPr>
          <w:p w14:paraId="A0000018">
            <w:pPr>
              <w:jc w:val="center"/>
            </w:pPr>
          </w:p>
        </w:tc>
        <w:tc>
          <w:tcPr>
            <w:tcW w:w="1275" w:type="dxa"/>
          </w:tcPr>
          <w:p w14:paraId="A0000019">
            <w:pPr/>
          </w:p>
        </w:tc>
      </w:tr>
      <w:tr w14:paraId="A000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15">
            <w:pPr>
              <w:jc w:val="center"/>
            </w:pPr>
            <w:r>
              <w:t>2</w:t>
            </w:r>
          </w:p>
        </w:tc>
        <w:tc>
          <w:tcPr>
            <w:tcW w:w="2410" w:type="dxa"/>
          </w:tcPr>
          <w:p w14:paraId="A000001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查看定价零件列表</w:t>
            </w:r>
          </w:p>
        </w:tc>
        <w:tc>
          <w:tcPr>
            <w:tcW w:w="3119" w:type="dxa"/>
          </w:tcPr>
          <w:p w14:paraId="A000001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已报价零件带出明细，删除按钮置灰</w:t>
            </w:r>
          </w:p>
        </w:tc>
        <w:tc>
          <w:tcPr>
            <w:tcW w:w="4819" w:type="dxa"/>
          </w:tcPr>
          <w:p w14:paraId="A0000018">
            <w:pPr>
              <w:jc w:val="center"/>
            </w:pPr>
          </w:p>
        </w:tc>
        <w:tc>
          <w:tcPr>
            <w:tcW w:w="1275" w:type="dxa"/>
          </w:tcPr>
          <w:p w14:paraId="A0000019">
            <w:pPr/>
          </w:p>
        </w:tc>
      </w:tr>
      <w:tr w14:paraId="A000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15">
            <w:pPr>
              <w:jc w:val="center"/>
            </w:pPr>
            <w:r>
              <w:t>3</w:t>
            </w:r>
          </w:p>
        </w:tc>
        <w:tc>
          <w:tcPr>
            <w:tcW w:w="2410" w:type="dxa"/>
          </w:tcPr>
          <w:p w14:paraId="A000001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查看未报价零件</w:t>
            </w:r>
          </w:p>
        </w:tc>
        <w:tc>
          <w:tcPr>
            <w:tcW w:w="3119" w:type="dxa"/>
          </w:tcPr>
          <w:p w14:paraId="A000001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费用为空，允许删除</w:t>
            </w:r>
          </w:p>
        </w:tc>
        <w:tc>
          <w:tcPr>
            <w:tcW w:w="4819" w:type="dxa"/>
          </w:tcPr>
          <w:p w14:paraId="A0000018">
            <w:pPr>
              <w:jc w:val="center"/>
            </w:pPr>
          </w:p>
        </w:tc>
        <w:tc>
          <w:tcPr>
            <w:tcW w:w="1275" w:type="dxa"/>
          </w:tcPr>
          <w:p w14:paraId="A0000019">
            <w:pPr/>
          </w:p>
        </w:tc>
      </w:tr>
      <w:tr w14:paraId="A000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15">
            <w:pPr>
              <w:jc w:val="center"/>
            </w:pPr>
            <w:r>
              <w:t>4</w:t>
            </w:r>
          </w:p>
        </w:tc>
        <w:tc>
          <w:tcPr>
            <w:tcW w:w="2410" w:type="dxa"/>
          </w:tcPr>
          <w:p w14:paraId="A000001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查看页面提示</w:t>
            </w:r>
          </w:p>
        </w:tc>
        <w:tc>
          <w:tcPr>
            <w:tcW w:w="3119" w:type="dxa"/>
          </w:tcPr>
          <w:p w14:paraId="A000001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提示"已带出该供应商的全部零件信息"</w:t>
            </w:r>
          </w:p>
        </w:tc>
        <w:tc>
          <w:tcPr>
            <w:tcW w:w="4819" w:type="dxa"/>
          </w:tcPr>
          <w:p w14:paraId="A0000018">
            <w:pPr>
              <w:jc w:val="center"/>
            </w:pPr>
          </w:p>
        </w:tc>
        <w:tc>
          <w:tcPr>
            <w:tcW w:w="1275" w:type="dxa"/>
          </w:tcPr>
          <w:p w14:paraId="A0000019">
            <w:pPr/>
          </w:p>
        </w:tc>
      </w:tr>
    </w:tbl>
    <w:p>
      <w:pPr/>
    </w:p>
    <w:p>
      <w:pPr/>
    </w:p>
    <w:tbl>
      <w:tr w14:paraId="A0000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1">
            <w:r>
              <w:rPr>
                <w:b/>
                <w:bCs/>
              </w:rPr>
              <w:t>用例编号</w:t>
            </w:r>
          </w:p>
        </w:tc>
        <w:tc>
          <w:tcPr>
            <w:tcW w:w="11659" w:type="dxa"/>
            <w:gridSpan w:val="5"/>
          </w:tcPr>
          <w:p w14:paraId="A0000002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LINK-003</w:t>
            </w:r>
          </w:p>
        </w:tc>
      </w:tr>
      <w:tr w14:paraId="A0000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4">
            <w:r>
              <w:rPr>
                <w:b/>
                <w:bCs/>
              </w:rPr>
              <w:t>用例名称</w:t>
            </w:r>
          </w:p>
        </w:tc>
        <w:tc>
          <w:tcPr>
            <w:tcW w:w="11659" w:type="dxa"/>
            <w:gridSpan w:val="5"/>
          </w:tcPr>
          <w:p w14:paraId="A0000005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同步市况&amp;计算</w:t>
            </w:r>
          </w:p>
        </w:tc>
      </w:tr>
      <w:tr w14:paraId="A0000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7">
            <w:r>
              <w:rPr>
                <w:b/>
                <w:bCs/>
              </w:rPr>
              <w:t>前置条件</w:t>
            </w:r>
          </w:p>
        </w:tc>
        <w:tc>
          <w:tcPr>
            <w:tcW w:w="11659" w:type="dxa"/>
            <w:gridSpan w:val="5"/>
          </w:tcPr>
          <w:p w14:paraId="A0000008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1.同上</w:t>
            </w:r>
            <w:r>
              <w:rPr/>
              <w:t xml:space="preserve">2.定价单中有零件</w:t>
            </w:r>
          </w:p>
          <w:p w14:paraId="A0000009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/>
            </w:r>
          </w:p>
          <w:p w14:paraId="A000000A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/>
            </w:r>
          </w:p>
        </w:tc>
      </w:tr>
      <w:tr w14:paraId="A0000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021" w:type="dxa"/>
            <w:shd w:val="clear" w:color="auto" w:fill="AFABAB"/>
          </w:tcPr>
          <w:p w14:paraId="A000000C">
            <w:r>
              <w:rPr>
                <w:b/>
                <w:bCs/>
              </w:rPr>
              <w:t>用例描述</w:t>
            </w:r>
          </w:p>
        </w:tc>
        <w:tc>
          <w:tcPr>
            <w:tcW w:w="11659" w:type="dxa"/>
            <w:gridSpan w:val="5"/>
          </w:tcPr>
          <w:p w14:paraId="A000000D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验证"同步市况&amp;计算"执行联动计算</w:t>
            </w:r>
          </w:p>
        </w:tc>
      </w:tr>
      <w:tr w14:paraId="A0000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  <w:trHeight w:val="400" w:hRule="atLeast"/>
        </w:trPr>
        <w:tc>
          <w:tcPr>
            <w:tcW w:w="1021" w:type="dxa"/>
            <w:shd w:val="clear" w:color="auto" w:fill="AFABAB"/>
          </w:tcPr>
          <w:p w14:paraId="A000000F">
            <w:r>
              <w:rPr>
                <w:b/>
                <w:bCs/>
              </w:rPr>
              <w:t>体现环节</w:t>
            </w:r>
          </w:p>
        </w:tc>
        <w:tc>
          <w:tcPr>
            <w:tcW w:w="2410" w:type="dxa"/>
            <w:shd w:val="clear" w:color="auto" w:fill="AFABAB"/>
          </w:tcPr>
          <w:p w14:paraId="A0000010">
            <w:pPr>
              <w:rPr>
                <w:b/>
              </w:rPr>
            </w:pPr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3119" w:type="dxa"/>
            <w:shd w:val="clear" w:color="auto" w:fill="AFABAB"/>
          </w:tcPr>
          <w:p w14:paraId="A0000011">
            <w:r>
              <w:rPr>
                <w:b/>
                <w:bCs/>
              </w:rPr>
              <w:t>预期结果</w:t>
            </w:r>
          </w:p>
        </w:tc>
        <w:tc>
          <w:tcPr>
            <w:tcW w:w="4819" w:type="dxa"/>
            <w:shd w:val="clear" w:color="auto" w:fill="AFABAB"/>
          </w:tcPr>
          <w:p w14:paraId="A000001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图示</w:t>
            </w:r>
          </w:p>
        </w:tc>
        <w:tc>
          <w:tcPr>
            <w:tcW w:w="1275" w:type="dxa"/>
            <w:shd w:val="clear" w:color="auto" w:fill="AFABAB"/>
            <w:vAlign w:val="center"/>
          </w:tcPr>
          <w:p w14:paraId="A000001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测试结果</w:t>
            </w:r>
          </w:p>
        </w:tc>
      </w:tr>
      <w:tr w14:paraId="A000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15">
            <w:pPr>
              <w:jc w:val="center"/>
            </w:pPr>
            <w:r>
              <w:t>1</w:t>
            </w:r>
          </w:p>
        </w:tc>
        <w:tc>
          <w:tcPr>
            <w:tcW w:w="2410" w:type="dxa"/>
          </w:tcPr>
          <w:p w14:paraId="A000001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点击"同步市况&amp;计算"</w:t>
            </w:r>
          </w:p>
        </w:tc>
        <w:tc>
          <w:tcPr>
            <w:tcW w:w="3119" w:type="dxa"/>
          </w:tcPr>
          <w:p w14:paraId="A000001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开始计算</w:t>
            </w:r>
          </w:p>
        </w:tc>
        <w:tc>
          <w:tcPr>
            <w:tcW w:w="4819" w:type="dxa"/>
          </w:tcPr>
          <w:p w14:paraId="A0000018">
            <w:pPr>
              <w:jc w:val="center"/>
            </w:pPr>
          </w:p>
        </w:tc>
        <w:tc>
          <w:tcPr>
            <w:tcW w:w="1275" w:type="dxa"/>
          </w:tcPr>
          <w:p w14:paraId="A0000019">
            <w:pPr/>
          </w:p>
        </w:tc>
      </w:tr>
      <w:tr w14:paraId="A000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15">
            <w:pPr>
              <w:jc w:val="center"/>
            </w:pPr>
            <w:r>
              <w:t>2</w:t>
            </w:r>
          </w:p>
        </w:tc>
        <w:tc>
          <w:tcPr>
            <w:tcW w:w="2410" w:type="dxa"/>
          </w:tcPr>
          <w:p w14:paraId="A000001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等待计算完成</w:t>
            </w:r>
          </w:p>
        </w:tc>
        <w:tc>
          <w:tcPr>
            <w:tcW w:w="3119" w:type="dxa"/>
          </w:tcPr>
          <w:p w14:paraId="A000001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按公式配置计算材料费和本次价格</w:t>
            </w:r>
          </w:p>
        </w:tc>
        <w:tc>
          <w:tcPr>
            <w:tcW w:w="4819" w:type="dxa"/>
          </w:tcPr>
          <w:p w14:paraId="A0000018">
            <w:pPr>
              <w:jc w:val="center"/>
            </w:pPr>
          </w:p>
        </w:tc>
        <w:tc>
          <w:tcPr>
            <w:tcW w:w="1275" w:type="dxa"/>
          </w:tcPr>
          <w:p w14:paraId="A0000019">
            <w:pPr/>
          </w:p>
        </w:tc>
      </w:tr>
      <w:tr w14:paraId="A000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15">
            <w:pPr>
              <w:jc w:val="center"/>
            </w:pPr>
            <w:r>
              <w:t>3</w:t>
            </w:r>
          </w:p>
        </w:tc>
        <w:tc>
          <w:tcPr>
            <w:tcW w:w="2410" w:type="dxa"/>
          </w:tcPr>
          <w:p w14:paraId="A000001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检查结果</w:t>
            </w:r>
          </w:p>
        </w:tc>
        <w:tc>
          <w:tcPr>
            <w:tcW w:w="3119" w:type="dxa"/>
          </w:tcPr>
          <w:p w14:paraId="A000001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定价零件列表更新，市况材料明细更新</w:t>
            </w:r>
          </w:p>
        </w:tc>
        <w:tc>
          <w:tcPr>
            <w:tcW w:w="4819" w:type="dxa"/>
          </w:tcPr>
          <w:p w14:paraId="A0000018">
            <w:pPr>
              <w:jc w:val="center"/>
            </w:pPr>
          </w:p>
        </w:tc>
        <w:tc>
          <w:tcPr>
            <w:tcW w:w="1275" w:type="dxa"/>
          </w:tcPr>
          <w:p w14:paraId="A0000019">
            <w:pPr/>
          </w:p>
        </w:tc>
      </w:tr>
    </w:tbl>
    <w:p>
      <w:pPr/>
    </w:p>
    <w:p>
      <w:pPr/>
    </w:p>
    <w:tbl>
      <w:tr w14:paraId="A0000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1">
            <w:r>
              <w:rPr>
                <w:b/>
                <w:bCs/>
              </w:rPr>
              <w:t>用例编号</w:t>
            </w:r>
          </w:p>
        </w:tc>
        <w:tc>
          <w:tcPr>
            <w:tcW w:w="11659" w:type="dxa"/>
            <w:gridSpan w:val="5"/>
          </w:tcPr>
          <w:p w14:paraId="A0000002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LINK-004</w:t>
            </w:r>
          </w:p>
        </w:tc>
      </w:tr>
      <w:tr w14:paraId="A0000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4">
            <w:r>
              <w:rPr>
                <w:b/>
                <w:bCs/>
              </w:rPr>
              <w:t>用例名称</w:t>
            </w:r>
          </w:p>
        </w:tc>
        <w:tc>
          <w:tcPr>
            <w:tcW w:w="11659" w:type="dxa"/>
            <w:gridSpan w:val="5"/>
          </w:tcPr>
          <w:p w14:paraId="A0000005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行情来源切换</w:t>
            </w:r>
          </w:p>
        </w:tc>
      </w:tr>
      <w:tr w14:paraId="A0000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7">
            <w:r>
              <w:rPr>
                <w:b/>
                <w:bCs/>
              </w:rPr>
              <w:t>前置条件</w:t>
            </w:r>
          </w:p>
        </w:tc>
        <w:tc>
          <w:tcPr>
            <w:tcW w:w="11659" w:type="dxa"/>
            <w:gridSpan w:val="5"/>
          </w:tcPr>
          <w:p w14:paraId="A0000008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1.同上</w:t>
            </w:r>
            <w:r>
              <w:rPr/>
              <w:t xml:space="preserve">2.已同步市况计算</w:t>
            </w:r>
          </w:p>
          <w:p w14:paraId="A0000009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/>
            </w:r>
          </w:p>
          <w:p w14:paraId="A000000A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/>
            </w:r>
          </w:p>
        </w:tc>
      </w:tr>
      <w:tr w14:paraId="A0000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021" w:type="dxa"/>
            <w:shd w:val="clear" w:color="auto" w:fill="AFABAB"/>
          </w:tcPr>
          <w:p w14:paraId="A000000C">
            <w:r>
              <w:rPr>
                <w:b/>
                <w:bCs/>
              </w:rPr>
              <w:t>用例描述</w:t>
            </w:r>
          </w:p>
        </w:tc>
        <w:tc>
          <w:tcPr>
            <w:tcW w:w="11659" w:type="dxa"/>
            <w:gridSpan w:val="5"/>
          </w:tcPr>
          <w:p w14:paraId="A000000D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验证行情来源可切换</w:t>
            </w:r>
          </w:p>
        </w:tc>
      </w:tr>
      <w:tr w14:paraId="A0000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  <w:trHeight w:val="400" w:hRule="atLeast"/>
        </w:trPr>
        <w:tc>
          <w:tcPr>
            <w:tcW w:w="1021" w:type="dxa"/>
            <w:shd w:val="clear" w:color="auto" w:fill="AFABAB"/>
          </w:tcPr>
          <w:p w14:paraId="A000000F">
            <w:r>
              <w:rPr>
                <w:b/>
                <w:bCs/>
              </w:rPr>
              <w:t>体现环节</w:t>
            </w:r>
          </w:p>
        </w:tc>
        <w:tc>
          <w:tcPr>
            <w:tcW w:w="2410" w:type="dxa"/>
            <w:shd w:val="clear" w:color="auto" w:fill="AFABAB"/>
          </w:tcPr>
          <w:p w14:paraId="A0000010">
            <w:pPr>
              <w:rPr>
                <w:b/>
              </w:rPr>
            </w:pPr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3119" w:type="dxa"/>
            <w:shd w:val="clear" w:color="auto" w:fill="AFABAB"/>
          </w:tcPr>
          <w:p w14:paraId="A0000011">
            <w:r>
              <w:rPr>
                <w:b/>
                <w:bCs/>
              </w:rPr>
              <w:t>预期结果</w:t>
            </w:r>
          </w:p>
        </w:tc>
        <w:tc>
          <w:tcPr>
            <w:tcW w:w="4819" w:type="dxa"/>
            <w:shd w:val="clear" w:color="auto" w:fill="AFABAB"/>
          </w:tcPr>
          <w:p w14:paraId="A000001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图示</w:t>
            </w:r>
          </w:p>
        </w:tc>
        <w:tc>
          <w:tcPr>
            <w:tcW w:w="1275" w:type="dxa"/>
            <w:shd w:val="clear" w:color="auto" w:fill="AFABAB"/>
            <w:vAlign w:val="center"/>
          </w:tcPr>
          <w:p w14:paraId="A000001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测试结果</w:t>
            </w:r>
          </w:p>
        </w:tc>
      </w:tr>
      <w:tr w14:paraId="A000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15">
            <w:pPr>
              <w:jc w:val="center"/>
            </w:pPr>
            <w:r>
              <w:t>1</w:t>
            </w:r>
          </w:p>
        </w:tc>
        <w:tc>
          <w:tcPr>
            <w:tcW w:w="2410" w:type="dxa"/>
          </w:tcPr>
          <w:p w14:paraId="A000001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在定价零件行点击行情来源下拉</w:t>
            </w:r>
          </w:p>
        </w:tc>
        <w:tc>
          <w:tcPr>
            <w:tcW w:w="3119" w:type="dxa"/>
          </w:tcPr>
          <w:p w14:paraId="A000001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下拉框正常</w:t>
            </w:r>
          </w:p>
        </w:tc>
        <w:tc>
          <w:tcPr>
            <w:tcW w:w="4819" w:type="dxa"/>
          </w:tcPr>
          <w:p w14:paraId="A0000018">
            <w:pPr>
              <w:jc w:val="center"/>
            </w:pPr>
          </w:p>
        </w:tc>
        <w:tc>
          <w:tcPr>
            <w:tcW w:w="1275" w:type="dxa"/>
          </w:tcPr>
          <w:p w14:paraId="A0000019">
            <w:pPr/>
          </w:p>
        </w:tc>
      </w:tr>
      <w:tr w14:paraId="A000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15">
            <w:pPr>
              <w:jc w:val="center"/>
            </w:pPr>
            <w:r>
              <w:t>2</w:t>
            </w:r>
          </w:p>
        </w:tc>
        <w:tc>
          <w:tcPr>
            <w:tcW w:w="2410" w:type="dxa"/>
          </w:tcPr>
          <w:p w14:paraId="A000001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切换为"供应商"</w:t>
            </w:r>
          </w:p>
        </w:tc>
        <w:tc>
          <w:tcPr>
            <w:tcW w:w="3119" w:type="dxa"/>
          </w:tcPr>
          <w:p w14:paraId="A000001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切换成功，按供应商行情取值</w:t>
            </w:r>
          </w:p>
        </w:tc>
        <w:tc>
          <w:tcPr>
            <w:tcW w:w="4819" w:type="dxa"/>
          </w:tcPr>
          <w:p w14:paraId="A0000018">
            <w:pPr>
              <w:jc w:val="center"/>
            </w:pPr>
          </w:p>
        </w:tc>
        <w:tc>
          <w:tcPr>
            <w:tcW w:w="1275" w:type="dxa"/>
          </w:tcPr>
          <w:p w14:paraId="A0000019">
            <w:pPr/>
          </w:p>
        </w:tc>
      </w:tr>
    </w:tbl>
    <w:p>
      <w:pPr/>
    </w:p>
    <w:p>
      <w:pPr/>
    </w:p>
    <w:tbl>
      <w:tr w14:paraId="A0000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1">
            <w:r>
              <w:rPr>
                <w:b/>
                <w:bCs/>
              </w:rPr>
              <w:t>用例编号</w:t>
            </w:r>
          </w:p>
        </w:tc>
        <w:tc>
          <w:tcPr>
            <w:tcW w:w="11659" w:type="dxa"/>
            <w:gridSpan w:val="5"/>
          </w:tcPr>
          <w:p w14:paraId="A0000002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LINK-005</w:t>
            </w:r>
          </w:p>
        </w:tc>
      </w:tr>
      <w:tr w14:paraId="A0000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4">
            <w:r>
              <w:rPr>
                <w:b/>
                <w:bCs/>
              </w:rPr>
              <w:t>用例名称</w:t>
            </w:r>
          </w:p>
        </w:tc>
        <w:tc>
          <w:tcPr>
            <w:tcW w:w="11659" w:type="dxa"/>
            <w:gridSpan w:val="5"/>
          </w:tcPr>
          <w:p w14:paraId="A0000005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导入年降及返利</w:t>
            </w:r>
          </w:p>
        </w:tc>
      </w:tr>
      <w:tr w14:paraId="A0000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7">
            <w:r>
              <w:rPr>
                <w:b/>
                <w:bCs/>
              </w:rPr>
              <w:t>前置条件</w:t>
            </w:r>
          </w:p>
        </w:tc>
        <w:tc>
          <w:tcPr>
            <w:tcW w:w="11659" w:type="dxa"/>
            <w:gridSpan w:val="5"/>
          </w:tcPr>
          <w:p w14:paraId="A0000008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1.同上</w:t>
            </w:r>
            <w:r>
              <w:rPr/>
              <w:t xml:space="preserve">2.已同步市况计算</w:t>
            </w:r>
          </w:p>
          <w:p w14:paraId="A0000009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/>
            </w:r>
          </w:p>
          <w:p w14:paraId="A000000A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/>
            </w:r>
          </w:p>
        </w:tc>
      </w:tr>
      <w:tr w14:paraId="A0000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021" w:type="dxa"/>
            <w:shd w:val="clear" w:color="auto" w:fill="AFABAB"/>
          </w:tcPr>
          <w:p w14:paraId="A000000C">
            <w:r>
              <w:rPr>
                <w:b/>
                <w:bCs/>
              </w:rPr>
              <w:t>用例描述</w:t>
            </w:r>
          </w:p>
        </w:tc>
        <w:tc>
          <w:tcPr>
            <w:tcW w:w="11659" w:type="dxa"/>
            <w:gridSpan w:val="5"/>
          </w:tcPr>
          <w:p w14:paraId="A000000D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验证年降比例和返利金额可导入</w:t>
            </w:r>
          </w:p>
        </w:tc>
      </w:tr>
      <w:tr w14:paraId="A0000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  <w:trHeight w:val="400" w:hRule="atLeast"/>
        </w:trPr>
        <w:tc>
          <w:tcPr>
            <w:tcW w:w="1021" w:type="dxa"/>
            <w:shd w:val="clear" w:color="auto" w:fill="AFABAB"/>
          </w:tcPr>
          <w:p w14:paraId="A000000F">
            <w:r>
              <w:rPr>
                <w:b/>
                <w:bCs/>
              </w:rPr>
              <w:t>体现环节</w:t>
            </w:r>
          </w:p>
        </w:tc>
        <w:tc>
          <w:tcPr>
            <w:tcW w:w="2410" w:type="dxa"/>
            <w:shd w:val="clear" w:color="auto" w:fill="AFABAB"/>
          </w:tcPr>
          <w:p w14:paraId="A0000010">
            <w:pPr>
              <w:rPr>
                <w:b/>
              </w:rPr>
            </w:pPr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3119" w:type="dxa"/>
            <w:shd w:val="clear" w:color="auto" w:fill="AFABAB"/>
          </w:tcPr>
          <w:p w14:paraId="A0000011">
            <w:r>
              <w:rPr>
                <w:b/>
                <w:bCs/>
              </w:rPr>
              <w:t>预期结果</w:t>
            </w:r>
          </w:p>
        </w:tc>
        <w:tc>
          <w:tcPr>
            <w:tcW w:w="4819" w:type="dxa"/>
            <w:shd w:val="clear" w:color="auto" w:fill="AFABAB"/>
          </w:tcPr>
          <w:p w14:paraId="A000001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图示</w:t>
            </w:r>
          </w:p>
        </w:tc>
        <w:tc>
          <w:tcPr>
            <w:tcW w:w="1275" w:type="dxa"/>
            <w:shd w:val="clear" w:color="auto" w:fill="AFABAB"/>
            <w:vAlign w:val="center"/>
          </w:tcPr>
          <w:p w14:paraId="A000001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测试结果</w:t>
            </w:r>
          </w:p>
        </w:tc>
      </w:tr>
      <w:tr w14:paraId="A000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15">
            <w:pPr>
              <w:jc w:val="center"/>
            </w:pPr>
            <w:r>
              <w:t>1</w:t>
            </w:r>
          </w:p>
        </w:tc>
        <w:tc>
          <w:tcPr>
            <w:tcW w:w="2410" w:type="dxa"/>
          </w:tcPr>
          <w:p w14:paraId="A000001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点击"导入"，下载模板</w:t>
            </w:r>
          </w:p>
        </w:tc>
        <w:tc>
          <w:tcPr>
            <w:tcW w:w="3119" w:type="dxa"/>
          </w:tcPr>
          <w:p w14:paraId="A000001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模板下载成功</w:t>
            </w:r>
          </w:p>
        </w:tc>
        <w:tc>
          <w:tcPr>
            <w:tcW w:w="4819" w:type="dxa"/>
          </w:tcPr>
          <w:p w14:paraId="A0000018">
            <w:pPr>
              <w:jc w:val="center"/>
            </w:pPr>
          </w:p>
        </w:tc>
        <w:tc>
          <w:tcPr>
            <w:tcW w:w="1275" w:type="dxa"/>
          </w:tcPr>
          <w:p w14:paraId="A0000019">
            <w:pPr/>
          </w:p>
        </w:tc>
      </w:tr>
      <w:tr w14:paraId="A000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15">
            <w:pPr>
              <w:jc w:val="center"/>
            </w:pPr>
            <w:r>
              <w:t>2</w:t>
            </w:r>
          </w:p>
        </w:tc>
        <w:tc>
          <w:tcPr>
            <w:tcW w:w="2410" w:type="dxa"/>
          </w:tcPr>
          <w:p w14:paraId="A000001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填写年降比例和返利金额上传</w:t>
            </w:r>
          </w:p>
        </w:tc>
        <w:tc>
          <w:tcPr>
            <w:tcW w:w="3119" w:type="dxa"/>
          </w:tcPr>
          <w:p w14:paraId="A000001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年降比例导入成功，年降金额自动计算</w:t>
            </w:r>
          </w:p>
        </w:tc>
        <w:tc>
          <w:tcPr>
            <w:tcW w:w="4819" w:type="dxa"/>
          </w:tcPr>
          <w:p w14:paraId="A0000018">
            <w:pPr>
              <w:jc w:val="center"/>
            </w:pPr>
          </w:p>
        </w:tc>
        <w:tc>
          <w:tcPr>
            <w:tcW w:w="1275" w:type="dxa"/>
          </w:tcPr>
          <w:p w14:paraId="A0000019">
            <w:pPr/>
          </w:p>
        </w:tc>
      </w:tr>
      <w:tr w14:paraId="A000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15">
            <w:pPr>
              <w:jc w:val="center"/>
            </w:pPr>
            <w:r>
              <w:t>3</w:t>
            </w:r>
          </w:p>
        </w:tc>
        <w:tc>
          <w:tcPr>
            <w:tcW w:w="2410" w:type="dxa"/>
          </w:tcPr>
          <w:p w14:paraId="A000001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检查返利金额</w:t>
            </w:r>
          </w:p>
        </w:tc>
        <w:tc>
          <w:tcPr>
            <w:tcW w:w="3119" w:type="dxa"/>
          </w:tcPr>
          <w:p w14:paraId="A000001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返利金额导入成功</w:t>
            </w:r>
          </w:p>
        </w:tc>
        <w:tc>
          <w:tcPr>
            <w:tcW w:w="4819" w:type="dxa"/>
          </w:tcPr>
          <w:p w14:paraId="A0000018">
            <w:pPr>
              <w:jc w:val="center"/>
            </w:pPr>
          </w:p>
        </w:tc>
        <w:tc>
          <w:tcPr>
            <w:tcW w:w="1275" w:type="dxa"/>
          </w:tcPr>
          <w:p w14:paraId="A0000019">
            <w:pPr/>
          </w:p>
        </w:tc>
      </w:tr>
    </w:tbl>
    <w:p>
      <w:pPr/>
    </w:p>
    <w:p>
      <w:pPr/>
    </w:p>
    <w:tbl>
      <w:tr w14:paraId="A0000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1">
            <w:r>
              <w:rPr>
                <w:b/>
                <w:bCs/>
              </w:rPr>
              <w:t>用例编号</w:t>
            </w:r>
          </w:p>
        </w:tc>
        <w:tc>
          <w:tcPr>
            <w:tcW w:w="11659" w:type="dxa"/>
            <w:gridSpan w:val="5"/>
          </w:tcPr>
          <w:p w14:paraId="A0000002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LINK-006</w:t>
            </w:r>
          </w:p>
        </w:tc>
      </w:tr>
      <w:tr w14:paraId="A0000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4">
            <w:r>
              <w:rPr>
                <w:b/>
                <w:bCs/>
              </w:rPr>
              <w:t>用例名称</w:t>
            </w:r>
          </w:p>
        </w:tc>
        <w:tc>
          <w:tcPr>
            <w:tcW w:w="11659" w:type="dxa"/>
            <w:gridSpan w:val="5"/>
          </w:tcPr>
          <w:p w14:paraId="A0000005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发起价格审批-校验通过</w:t>
            </w:r>
          </w:p>
        </w:tc>
      </w:tr>
      <w:tr w14:paraId="A0000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7">
            <w:r>
              <w:rPr>
                <w:b/>
                <w:bCs/>
              </w:rPr>
              <w:t>前置条件</w:t>
            </w:r>
          </w:p>
        </w:tc>
        <w:tc>
          <w:tcPr>
            <w:tcW w:w="11659" w:type="dxa"/>
            <w:gridSpan w:val="5"/>
          </w:tcPr>
          <w:p w14:paraId="A0000008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1.同上</w:t>
            </w:r>
            <w:r>
              <w:rPr/>
              <w:t xml:space="preserve">2.供应商、定价类型已填</w:t>
            </w:r>
            <w:r>
              <w:rPr/>
              <w:t xml:space="preserve">3.已报价零件已完成同步计算</w:t>
            </w:r>
          </w:p>
          <w:p w14:paraId="A0000009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/>
            </w:r>
          </w:p>
          <w:p w14:paraId="A000000A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/>
            </w:r>
          </w:p>
        </w:tc>
      </w:tr>
      <w:tr w14:paraId="A0000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021" w:type="dxa"/>
            <w:shd w:val="clear" w:color="auto" w:fill="AFABAB"/>
          </w:tcPr>
          <w:p w14:paraId="A000000C">
            <w:r>
              <w:rPr>
                <w:b/>
                <w:bCs/>
              </w:rPr>
              <w:t>用例描述</w:t>
            </w:r>
          </w:p>
        </w:tc>
        <w:tc>
          <w:tcPr>
            <w:tcW w:w="11659" w:type="dxa"/>
            <w:gridSpan w:val="5"/>
          </w:tcPr>
          <w:p w14:paraId="A000000D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验证满足条件时可发起审批</w:t>
            </w:r>
          </w:p>
        </w:tc>
      </w:tr>
      <w:tr w14:paraId="A0000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  <w:trHeight w:val="400" w:hRule="atLeast"/>
        </w:trPr>
        <w:tc>
          <w:tcPr>
            <w:tcW w:w="1021" w:type="dxa"/>
            <w:shd w:val="clear" w:color="auto" w:fill="AFABAB"/>
          </w:tcPr>
          <w:p w14:paraId="A000000F">
            <w:r>
              <w:rPr>
                <w:b/>
                <w:bCs/>
              </w:rPr>
              <w:t>体现环节</w:t>
            </w:r>
          </w:p>
        </w:tc>
        <w:tc>
          <w:tcPr>
            <w:tcW w:w="2410" w:type="dxa"/>
            <w:shd w:val="clear" w:color="auto" w:fill="AFABAB"/>
          </w:tcPr>
          <w:p w14:paraId="A0000010">
            <w:pPr>
              <w:rPr>
                <w:b/>
              </w:rPr>
            </w:pPr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3119" w:type="dxa"/>
            <w:shd w:val="clear" w:color="auto" w:fill="AFABAB"/>
          </w:tcPr>
          <w:p w14:paraId="A0000011">
            <w:r>
              <w:rPr>
                <w:b/>
                <w:bCs/>
              </w:rPr>
              <w:t>预期结果</w:t>
            </w:r>
          </w:p>
        </w:tc>
        <w:tc>
          <w:tcPr>
            <w:tcW w:w="4819" w:type="dxa"/>
            <w:shd w:val="clear" w:color="auto" w:fill="AFABAB"/>
          </w:tcPr>
          <w:p w14:paraId="A000001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图示</w:t>
            </w:r>
          </w:p>
        </w:tc>
        <w:tc>
          <w:tcPr>
            <w:tcW w:w="1275" w:type="dxa"/>
            <w:shd w:val="clear" w:color="auto" w:fill="AFABAB"/>
            <w:vAlign w:val="center"/>
          </w:tcPr>
          <w:p w14:paraId="A000001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测试结果</w:t>
            </w:r>
          </w:p>
        </w:tc>
      </w:tr>
      <w:tr w14:paraId="A000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15">
            <w:pPr>
              <w:jc w:val="center"/>
            </w:pPr>
            <w:r>
              <w:t>1</w:t>
            </w:r>
          </w:p>
        </w:tc>
        <w:tc>
          <w:tcPr>
            <w:tcW w:w="2410" w:type="dxa"/>
          </w:tcPr>
          <w:p w14:paraId="A000001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确认已报价零件已计算</w:t>
            </w:r>
          </w:p>
        </w:tc>
        <w:tc>
          <w:tcPr>
            <w:tcW w:w="3119" w:type="dxa"/>
          </w:tcPr>
          <w:p w14:paraId="A000001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全部已计算</w:t>
            </w:r>
          </w:p>
        </w:tc>
        <w:tc>
          <w:tcPr>
            <w:tcW w:w="4819" w:type="dxa"/>
          </w:tcPr>
          <w:p w14:paraId="A0000018">
            <w:pPr>
              <w:jc w:val="center"/>
            </w:pPr>
          </w:p>
        </w:tc>
        <w:tc>
          <w:tcPr>
            <w:tcW w:w="1275" w:type="dxa"/>
          </w:tcPr>
          <w:p w14:paraId="A0000019">
            <w:pPr/>
          </w:p>
        </w:tc>
      </w:tr>
      <w:tr w14:paraId="A000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15">
            <w:pPr>
              <w:jc w:val="center"/>
            </w:pPr>
            <w:r>
              <w:t>2</w:t>
            </w:r>
          </w:p>
        </w:tc>
        <w:tc>
          <w:tcPr>
            <w:tcW w:w="2410" w:type="dxa"/>
          </w:tcPr>
          <w:p w14:paraId="A000001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点击"发起价格审批"</w:t>
            </w:r>
          </w:p>
        </w:tc>
        <w:tc>
          <w:tcPr>
            <w:tcW w:w="3119" w:type="dxa"/>
          </w:tcPr>
          <w:p w14:paraId="A000001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系统创建审批单</w:t>
            </w:r>
          </w:p>
        </w:tc>
        <w:tc>
          <w:tcPr>
            <w:tcW w:w="4819" w:type="dxa"/>
          </w:tcPr>
          <w:p w14:paraId="A0000018">
            <w:pPr>
              <w:jc w:val="center"/>
            </w:pPr>
          </w:p>
        </w:tc>
        <w:tc>
          <w:tcPr>
            <w:tcW w:w="1275" w:type="dxa"/>
          </w:tcPr>
          <w:p w14:paraId="A0000019">
            <w:pPr/>
          </w:p>
        </w:tc>
      </w:tr>
      <w:tr w14:paraId="A000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15">
            <w:pPr>
              <w:jc w:val="center"/>
            </w:pPr>
            <w:r>
              <w:t>3</w:t>
            </w:r>
          </w:p>
        </w:tc>
        <w:tc>
          <w:tcPr>
            <w:tcW w:w="2410" w:type="dxa"/>
          </w:tcPr>
          <w:p w14:paraId="A000001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检查审批单</w:t>
            </w:r>
          </w:p>
        </w:tc>
        <w:tc>
          <w:tcPr>
            <w:tcW w:w="3119" w:type="dxa"/>
          </w:tcPr>
          <w:p w14:paraId="A000001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定价单状态变为"已生成价格审批单"，数据正确</w:t>
            </w:r>
          </w:p>
        </w:tc>
        <w:tc>
          <w:tcPr>
            <w:tcW w:w="4819" w:type="dxa"/>
          </w:tcPr>
          <w:p w14:paraId="A0000018">
            <w:pPr>
              <w:jc w:val="center"/>
            </w:pPr>
          </w:p>
        </w:tc>
        <w:tc>
          <w:tcPr>
            <w:tcW w:w="1275" w:type="dxa"/>
          </w:tcPr>
          <w:p w14:paraId="A0000019">
            <w:pPr/>
          </w:p>
        </w:tc>
      </w:tr>
    </w:tbl>
    <w:p>
      <w:pPr/>
    </w:p>
    <w:p>
      <w:pPr/>
    </w:p>
    <w:tbl>
      <w:tr w14:paraId="A0000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1">
            <w:r>
              <w:rPr>
                <w:b/>
                <w:bCs/>
              </w:rPr>
              <w:t>用例编号</w:t>
            </w:r>
          </w:p>
        </w:tc>
        <w:tc>
          <w:tcPr>
            <w:tcW w:w="11659" w:type="dxa"/>
            <w:gridSpan w:val="5"/>
          </w:tcPr>
          <w:p w14:paraId="A0000002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LINK-007</w:t>
            </w:r>
          </w:p>
        </w:tc>
      </w:tr>
      <w:tr w14:paraId="A0000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4">
            <w:r>
              <w:rPr>
                <w:b/>
                <w:bCs/>
              </w:rPr>
              <w:t>用例名称</w:t>
            </w:r>
          </w:p>
        </w:tc>
        <w:tc>
          <w:tcPr>
            <w:tcW w:w="11659" w:type="dxa"/>
            <w:gridSpan w:val="5"/>
          </w:tcPr>
          <w:p w14:paraId="A0000005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发起价格审批-校验失败</w:t>
            </w:r>
          </w:p>
        </w:tc>
      </w:tr>
      <w:tr w14:paraId="A0000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7">
            <w:r>
              <w:rPr>
                <w:b/>
                <w:bCs/>
              </w:rPr>
              <w:t>前置条件</w:t>
            </w:r>
          </w:p>
        </w:tc>
        <w:tc>
          <w:tcPr>
            <w:tcW w:w="11659" w:type="dxa"/>
            <w:gridSpan w:val="5"/>
          </w:tcPr>
          <w:p w14:paraId="A0000008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1.同上</w:t>
            </w:r>
            <w:r>
              <w:rPr/>
              <w:t xml:space="preserve">2.有零件未完成同步计算</w:t>
            </w:r>
          </w:p>
          <w:p w14:paraId="A0000009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/>
            </w:r>
          </w:p>
          <w:p w14:paraId="A000000A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/>
            </w:r>
          </w:p>
        </w:tc>
      </w:tr>
      <w:tr w14:paraId="A0000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021" w:type="dxa"/>
            <w:shd w:val="clear" w:color="auto" w:fill="AFABAB"/>
          </w:tcPr>
          <w:p w14:paraId="A000000C">
            <w:r>
              <w:rPr>
                <w:b/>
                <w:bCs/>
              </w:rPr>
              <w:t>用例描述</w:t>
            </w:r>
          </w:p>
        </w:tc>
        <w:tc>
          <w:tcPr>
            <w:tcW w:w="11659" w:type="dxa"/>
            <w:gridSpan w:val="5"/>
          </w:tcPr>
          <w:p w14:paraId="A000000D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验证未完成计算时不允许提交</w:t>
            </w:r>
          </w:p>
        </w:tc>
      </w:tr>
      <w:tr w14:paraId="A0000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  <w:trHeight w:val="400" w:hRule="atLeast"/>
        </w:trPr>
        <w:tc>
          <w:tcPr>
            <w:tcW w:w="1021" w:type="dxa"/>
            <w:shd w:val="clear" w:color="auto" w:fill="AFABAB"/>
          </w:tcPr>
          <w:p w14:paraId="A000000F">
            <w:r>
              <w:rPr>
                <w:b/>
                <w:bCs/>
              </w:rPr>
              <w:t>体现环节</w:t>
            </w:r>
          </w:p>
        </w:tc>
        <w:tc>
          <w:tcPr>
            <w:tcW w:w="2410" w:type="dxa"/>
            <w:shd w:val="clear" w:color="auto" w:fill="AFABAB"/>
          </w:tcPr>
          <w:p w14:paraId="A0000010">
            <w:pPr>
              <w:rPr>
                <w:b/>
              </w:rPr>
            </w:pPr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3119" w:type="dxa"/>
            <w:shd w:val="clear" w:color="auto" w:fill="AFABAB"/>
          </w:tcPr>
          <w:p w14:paraId="A0000011">
            <w:r>
              <w:rPr>
                <w:b/>
                <w:bCs/>
              </w:rPr>
              <w:t>预期结果</w:t>
            </w:r>
          </w:p>
        </w:tc>
        <w:tc>
          <w:tcPr>
            <w:tcW w:w="4819" w:type="dxa"/>
            <w:shd w:val="clear" w:color="auto" w:fill="AFABAB"/>
          </w:tcPr>
          <w:p w14:paraId="A000001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图示</w:t>
            </w:r>
          </w:p>
        </w:tc>
        <w:tc>
          <w:tcPr>
            <w:tcW w:w="1275" w:type="dxa"/>
            <w:shd w:val="clear" w:color="auto" w:fill="AFABAB"/>
            <w:vAlign w:val="center"/>
          </w:tcPr>
          <w:p w14:paraId="A000001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测试结果</w:t>
            </w:r>
          </w:p>
        </w:tc>
      </w:tr>
      <w:tr w14:paraId="A000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15">
            <w:pPr>
              <w:jc w:val="center"/>
            </w:pPr>
            <w:r>
              <w:t>1</w:t>
            </w:r>
          </w:p>
        </w:tc>
        <w:tc>
          <w:tcPr>
            <w:tcW w:w="2410" w:type="dxa"/>
          </w:tcPr>
          <w:p w14:paraId="A000001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不执行"同步市况&amp;计算"</w:t>
            </w:r>
          </w:p>
        </w:tc>
        <w:tc>
          <w:tcPr>
            <w:tcW w:w="3119" w:type="dxa"/>
          </w:tcPr>
          <w:p w14:paraId="A000001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有零件未计算</w:t>
            </w:r>
          </w:p>
        </w:tc>
        <w:tc>
          <w:tcPr>
            <w:tcW w:w="4819" w:type="dxa"/>
          </w:tcPr>
          <w:p w14:paraId="A0000018">
            <w:pPr>
              <w:jc w:val="center"/>
            </w:pPr>
          </w:p>
        </w:tc>
        <w:tc>
          <w:tcPr>
            <w:tcW w:w="1275" w:type="dxa"/>
          </w:tcPr>
          <w:p w14:paraId="A0000019">
            <w:pPr/>
          </w:p>
        </w:tc>
      </w:tr>
      <w:tr w14:paraId="A000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15">
            <w:pPr>
              <w:jc w:val="center"/>
            </w:pPr>
            <w:r>
              <w:t>2</w:t>
            </w:r>
          </w:p>
        </w:tc>
        <w:tc>
          <w:tcPr>
            <w:tcW w:w="2410" w:type="dxa"/>
          </w:tcPr>
          <w:p w14:paraId="A000001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点击"发起价格审批"</w:t>
            </w:r>
          </w:p>
        </w:tc>
        <w:tc>
          <w:tcPr>
            <w:tcW w:w="3119" w:type="dxa"/>
          </w:tcPr>
          <w:p w14:paraId="A000001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提交失败，提示"请完成市况同步及价格计算后再提交"</w:t>
            </w:r>
          </w:p>
        </w:tc>
        <w:tc>
          <w:tcPr>
            <w:tcW w:w="4819" w:type="dxa"/>
          </w:tcPr>
          <w:p w14:paraId="A0000018">
            <w:pPr>
              <w:jc w:val="center"/>
            </w:pPr>
          </w:p>
        </w:tc>
        <w:tc>
          <w:tcPr>
            <w:tcW w:w="1275" w:type="dxa"/>
          </w:tcPr>
          <w:p w14:paraId="A0000019">
            <w:pPr/>
          </w:p>
        </w:tc>
      </w:tr>
    </w:tbl>
    <w:p>
      <w:pPr/>
    </w:p>
    <w:p>
      <w:pPr/>
    </w:p>
    <w:tbl>
      <w:tr w14:paraId="A0000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1">
            <w:r>
              <w:rPr>
                <w:b/>
                <w:bCs/>
              </w:rPr>
              <w:t>用例编号</w:t>
            </w:r>
          </w:p>
        </w:tc>
        <w:tc>
          <w:tcPr>
            <w:tcW w:w="11659" w:type="dxa"/>
            <w:gridSpan w:val="5"/>
          </w:tcPr>
          <w:p w14:paraId="A0000002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APPR-001</w:t>
            </w:r>
          </w:p>
        </w:tc>
      </w:tr>
      <w:tr w14:paraId="A0000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4">
            <w:r>
              <w:rPr>
                <w:b/>
                <w:bCs/>
              </w:rPr>
              <w:t>用例名称</w:t>
            </w:r>
          </w:p>
        </w:tc>
        <w:tc>
          <w:tcPr>
            <w:tcW w:w="11659" w:type="dxa"/>
            <w:gridSpan w:val="5"/>
          </w:tcPr>
          <w:p w14:paraId="A0000005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审批通过后写入价格库</w:t>
            </w:r>
          </w:p>
        </w:tc>
      </w:tr>
      <w:tr w14:paraId="A0000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7">
            <w:r>
              <w:rPr>
                <w:b/>
                <w:bCs/>
              </w:rPr>
              <w:t>前置条件</w:t>
            </w:r>
          </w:p>
        </w:tc>
        <w:tc>
          <w:tcPr>
            <w:tcW w:w="11659" w:type="dxa"/>
            <w:gridSpan w:val="5"/>
          </w:tcPr>
          <w:p w14:paraId="A0000008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1.已登录（审批人员账号）</w:t>
            </w:r>
            <w:r>
              <w:rPr/>
              <w:t xml:space="preserve">2.已生成联动定价审批单</w:t>
            </w:r>
          </w:p>
          <w:p w14:paraId="A0000009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/>
            </w:r>
          </w:p>
          <w:p w14:paraId="A000000A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/>
            </w:r>
          </w:p>
        </w:tc>
      </w:tr>
      <w:tr w14:paraId="A0000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021" w:type="dxa"/>
            <w:shd w:val="clear" w:color="auto" w:fill="AFABAB"/>
          </w:tcPr>
          <w:p w14:paraId="A000000C">
            <w:r>
              <w:rPr>
                <w:b/>
                <w:bCs/>
              </w:rPr>
              <w:t>用例描述</w:t>
            </w:r>
          </w:p>
        </w:tc>
        <w:tc>
          <w:tcPr>
            <w:tcW w:w="11659" w:type="dxa"/>
            <w:gridSpan w:val="5"/>
          </w:tcPr>
          <w:p w14:paraId="A000000D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验证审批通过后联动价格写入价格库</w:t>
            </w:r>
          </w:p>
        </w:tc>
      </w:tr>
      <w:tr w14:paraId="A0000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  <w:trHeight w:val="400" w:hRule="atLeast"/>
        </w:trPr>
        <w:tc>
          <w:tcPr>
            <w:tcW w:w="1021" w:type="dxa"/>
            <w:shd w:val="clear" w:color="auto" w:fill="AFABAB"/>
          </w:tcPr>
          <w:p w14:paraId="A000000F">
            <w:r>
              <w:rPr>
                <w:b/>
                <w:bCs/>
              </w:rPr>
              <w:t>体现环节</w:t>
            </w:r>
          </w:p>
        </w:tc>
        <w:tc>
          <w:tcPr>
            <w:tcW w:w="2410" w:type="dxa"/>
            <w:shd w:val="clear" w:color="auto" w:fill="AFABAB"/>
          </w:tcPr>
          <w:p w14:paraId="A0000010">
            <w:pPr>
              <w:rPr>
                <w:b/>
              </w:rPr>
            </w:pPr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3119" w:type="dxa"/>
            <w:shd w:val="clear" w:color="auto" w:fill="AFABAB"/>
          </w:tcPr>
          <w:p w14:paraId="A0000011">
            <w:r>
              <w:rPr>
                <w:b/>
                <w:bCs/>
              </w:rPr>
              <w:t>预期结果</w:t>
            </w:r>
          </w:p>
        </w:tc>
        <w:tc>
          <w:tcPr>
            <w:tcW w:w="4819" w:type="dxa"/>
            <w:shd w:val="clear" w:color="auto" w:fill="AFABAB"/>
          </w:tcPr>
          <w:p w14:paraId="A000001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图示</w:t>
            </w:r>
          </w:p>
        </w:tc>
        <w:tc>
          <w:tcPr>
            <w:tcW w:w="1275" w:type="dxa"/>
            <w:shd w:val="clear" w:color="auto" w:fill="AFABAB"/>
            <w:vAlign w:val="center"/>
          </w:tcPr>
          <w:p w14:paraId="A000001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测试结果</w:t>
            </w:r>
          </w:p>
        </w:tc>
      </w:tr>
      <w:tr w14:paraId="A000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15">
            <w:pPr>
              <w:jc w:val="center"/>
            </w:pPr>
            <w:r>
              <w:t>1</w:t>
            </w:r>
          </w:p>
        </w:tc>
        <w:tc>
          <w:tcPr>
            <w:tcW w:w="2410" w:type="dxa"/>
          </w:tcPr>
          <w:p w14:paraId="A000001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核对定价零件及价格明细</w:t>
            </w:r>
          </w:p>
        </w:tc>
        <w:tc>
          <w:tcPr>
            <w:tcW w:w="3119" w:type="dxa"/>
          </w:tcPr>
          <w:p w14:paraId="A000001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数据正确</w:t>
            </w:r>
          </w:p>
        </w:tc>
        <w:tc>
          <w:tcPr>
            <w:tcW w:w="4819" w:type="dxa"/>
          </w:tcPr>
          <w:p w14:paraId="A0000018">
            <w:pPr>
              <w:jc w:val="center"/>
            </w:pPr>
          </w:p>
        </w:tc>
        <w:tc>
          <w:tcPr>
            <w:tcW w:w="1275" w:type="dxa"/>
          </w:tcPr>
          <w:p w14:paraId="A0000019">
            <w:pPr/>
          </w:p>
        </w:tc>
      </w:tr>
      <w:tr w14:paraId="A000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15">
            <w:pPr>
              <w:jc w:val="center"/>
            </w:pPr>
            <w:r>
              <w:t>2</w:t>
            </w:r>
          </w:p>
        </w:tc>
        <w:tc>
          <w:tcPr>
            <w:tcW w:w="2410" w:type="dxa"/>
          </w:tcPr>
          <w:p w14:paraId="A000001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审批通过</w:t>
            </w:r>
          </w:p>
        </w:tc>
        <w:tc>
          <w:tcPr>
            <w:tcW w:w="3119" w:type="dxa"/>
          </w:tcPr>
          <w:p w14:paraId="A000001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联动定价结果写入价格库</w:t>
            </w:r>
          </w:p>
        </w:tc>
        <w:tc>
          <w:tcPr>
            <w:tcW w:w="4819" w:type="dxa"/>
          </w:tcPr>
          <w:p w14:paraId="A0000018">
            <w:pPr>
              <w:jc w:val="center"/>
            </w:pPr>
          </w:p>
        </w:tc>
        <w:tc>
          <w:tcPr>
            <w:tcW w:w="1275" w:type="dxa"/>
          </w:tcPr>
          <w:p w14:paraId="A0000019">
            <w:pPr/>
          </w:p>
        </w:tc>
      </w:tr>
      <w:tr w14:paraId="A000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15">
            <w:pPr>
              <w:jc w:val="center"/>
            </w:pPr>
            <w:r>
              <w:t>3</w:t>
            </w:r>
          </w:p>
        </w:tc>
        <w:tc>
          <w:tcPr>
            <w:tcW w:w="2410" w:type="dxa"/>
          </w:tcPr>
          <w:p w14:paraId="A000001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检查价格目录</w:t>
            </w:r>
          </w:p>
        </w:tc>
        <w:tc>
          <w:tcPr>
            <w:tcW w:w="3119" w:type="dxa"/>
          </w:tcPr>
          <w:p w14:paraId="A000001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零件价格目录更新，市况变动按规则统计</w:t>
            </w:r>
          </w:p>
        </w:tc>
        <w:tc>
          <w:tcPr>
            <w:tcW w:w="4819" w:type="dxa"/>
          </w:tcPr>
          <w:p w14:paraId="A0000018">
            <w:pPr>
              <w:jc w:val="center"/>
            </w:pPr>
          </w:p>
        </w:tc>
        <w:tc>
          <w:tcPr>
            <w:tcW w:w="1275" w:type="dxa"/>
          </w:tcPr>
          <w:p w14:paraId="A0000019">
            <w:pPr/>
          </w:p>
        </w:tc>
      </w:tr>
    </w:tbl>
    <w:p>
      <w:pPr/>
    </w:p>
    <w:p>
      <w:pPr/>
    </w:p>
    <w:tbl>
      <w:tr w14:paraId="A0000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1">
            <w:r>
              <w:rPr>
                <w:b/>
                <w:bCs/>
              </w:rPr>
              <w:t>用例编号</w:t>
            </w:r>
          </w:p>
        </w:tc>
        <w:tc>
          <w:tcPr>
            <w:tcW w:w="11659" w:type="dxa"/>
            <w:gridSpan w:val="5"/>
          </w:tcPr>
          <w:p w14:paraId="A0000002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APPR-002</w:t>
            </w:r>
          </w:p>
        </w:tc>
      </w:tr>
      <w:tr w14:paraId="A0000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4">
            <w:r>
              <w:rPr>
                <w:b/>
                <w:bCs/>
              </w:rPr>
              <w:t>用例名称</w:t>
            </w:r>
          </w:p>
        </w:tc>
        <w:tc>
          <w:tcPr>
            <w:tcW w:w="11659" w:type="dxa"/>
            <w:gridSpan w:val="5"/>
          </w:tcPr>
          <w:p w14:paraId="A0000005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报价单终审后自动生成投料数据</w:t>
            </w:r>
          </w:p>
        </w:tc>
      </w:tr>
      <w:tr w14:paraId="A0000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7">
            <w:r>
              <w:rPr>
                <w:b/>
                <w:bCs/>
              </w:rPr>
              <w:t>前置条件</w:t>
            </w:r>
          </w:p>
        </w:tc>
        <w:tc>
          <w:tcPr>
            <w:tcW w:w="11659" w:type="dxa"/>
            <w:gridSpan w:val="5"/>
          </w:tcPr>
          <w:p w14:paraId="A0000008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1.同上</w:t>
            </w:r>
            <w:r>
              <w:rPr/>
              <w:t xml:space="preserve">2.报价单终审完成且已生成价格目录</w:t>
            </w:r>
          </w:p>
          <w:p w14:paraId="A0000009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/>
            </w:r>
          </w:p>
          <w:p w14:paraId="A000000A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/>
            </w:r>
          </w:p>
        </w:tc>
      </w:tr>
      <w:tr w14:paraId="A0000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021" w:type="dxa"/>
            <w:shd w:val="clear" w:color="auto" w:fill="AFABAB"/>
          </w:tcPr>
          <w:p w14:paraId="A000000C">
            <w:r>
              <w:rPr>
                <w:b/>
                <w:bCs/>
              </w:rPr>
              <w:t>用例描述</w:t>
            </w:r>
          </w:p>
        </w:tc>
        <w:tc>
          <w:tcPr>
            <w:tcW w:w="11659" w:type="dxa"/>
            <w:gridSpan w:val="5"/>
          </w:tcPr>
          <w:p w14:paraId="A000000D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验证报价终审后自动生成投料重量数据</w:t>
            </w:r>
          </w:p>
        </w:tc>
      </w:tr>
      <w:tr w14:paraId="A0000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  <w:trHeight w:val="400" w:hRule="atLeast"/>
        </w:trPr>
        <w:tc>
          <w:tcPr>
            <w:tcW w:w="1021" w:type="dxa"/>
            <w:shd w:val="clear" w:color="auto" w:fill="AFABAB"/>
          </w:tcPr>
          <w:p w14:paraId="A000000F">
            <w:r>
              <w:rPr>
                <w:b/>
                <w:bCs/>
              </w:rPr>
              <w:t>体现环节</w:t>
            </w:r>
          </w:p>
        </w:tc>
        <w:tc>
          <w:tcPr>
            <w:tcW w:w="2410" w:type="dxa"/>
            <w:shd w:val="clear" w:color="auto" w:fill="AFABAB"/>
          </w:tcPr>
          <w:p w14:paraId="A0000010">
            <w:pPr>
              <w:rPr>
                <w:b/>
              </w:rPr>
            </w:pPr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3119" w:type="dxa"/>
            <w:shd w:val="clear" w:color="auto" w:fill="AFABAB"/>
          </w:tcPr>
          <w:p w14:paraId="A0000011">
            <w:r>
              <w:rPr>
                <w:b/>
                <w:bCs/>
              </w:rPr>
              <w:t>预期结果</w:t>
            </w:r>
          </w:p>
        </w:tc>
        <w:tc>
          <w:tcPr>
            <w:tcW w:w="4819" w:type="dxa"/>
            <w:shd w:val="clear" w:color="auto" w:fill="AFABAB"/>
          </w:tcPr>
          <w:p w14:paraId="A000001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图示</w:t>
            </w:r>
          </w:p>
        </w:tc>
        <w:tc>
          <w:tcPr>
            <w:tcW w:w="1275" w:type="dxa"/>
            <w:shd w:val="clear" w:color="auto" w:fill="AFABAB"/>
            <w:vAlign w:val="center"/>
          </w:tcPr>
          <w:p w14:paraId="A000001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测试结果</w:t>
            </w:r>
          </w:p>
        </w:tc>
      </w:tr>
      <w:tr w14:paraId="A000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15">
            <w:pPr>
              <w:jc w:val="center"/>
            </w:pPr>
            <w:r>
              <w:t>1</w:t>
            </w:r>
          </w:p>
        </w:tc>
        <w:tc>
          <w:tcPr>
            <w:tcW w:w="2410" w:type="dxa"/>
          </w:tcPr>
          <w:p w14:paraId="A000001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查询对应零件</w:t>
            </w:r>
          </w:p>
        </w:tc>
        <w:tc>
          <w:tcPr>
            <w:tcW w:w="3119" w:type="dxa"/>
          </w:tcPr>
          <w:p w14:paraId="A000001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查询成功</w:t>
            </w:r>
          </w:p>
        </w:tc>
        <w:tc>
          <w:tcPr>
            <w:tcW w:w="4819" w:type="dxa"/>
          </w:tcPr>
          <w:p w14:paraId="A0000018">
            <w:pPr>
              <w:jc w:val="center"/>
            </w:pPr>
          </w:p>
        </w:tc>
        <w:tc>
          <w:tcPr>
            <w:tcW w:w="1275" w:type="dxa"/>
          </w:tcPr>
          <w:p w14:paraId="A0000019">
            <w:pPr/>
          </w:p>
        </w:tc>
      </w:tr>
      <w:tr w14:paraId="A000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15">
            <w:pPr>
              <w:jc w:val="center"/>
            </w:pPr>
            <w:r>
              <w:t>2</w:t>
            </w:r>
          </w:p>
        </w:tc>
        <w:tc>
          <w:tcPr>
            <w:tcW w:w="2410" w:type="dxa"/>
          </w:tcPr>
          <w:p w14:paraId="A000001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查看投料重量数据</w:t>
            </w:r>
          </w:p>
        </w:tc>
        <w:tc>
          <w:tcPr>
            <w:tcW w:w="3119" w:type="dxa"/>
          </w:tcPr>
          <w:p w14:paraId="A000001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自动生成新生效数据，原数据失效</w:t>
            </w:r>
          </w:p>
        </w:tc>
        <w:tc>
          <w:tcPr>
            <w:tcW w:w="4819" w:type="dxa"/>
          </w:tcPr>
          <w:p w14:paraId="A0000018">
            <w:pPr>
              <w:jc w:val="center"/>
            </w:pPr>
          </w:p>
        </w:tc>
        <w:tc>
          <w:tcPr>
            <w:tcW w:w="1275" w:type="dxa"/>
          </w:tcPr>
          <w:p w14:paraId="A0000019">
            <w:pPr/>
          </w:p>
        </w:tc>
      </w:tr>
      <w:tr w14:paraId="A000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15">
            <w:pPr>
              <w:jc w:val="center"/>
            </w:pPr>
            <w:r>
              <w:t>3</w:t>
            </w:r>
          </w:p>
        </w:tc>
        <w:tc>
          <w:tcPr>
            <w:tcW w:w="2410" w:type="dxa"/>
          </w:tcPr>
          <w:p w14:paraId="A000001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检查生效时间</w:t>
            </w:r>
          </w:p>
        </w:tc>
        <w:tc>
          <w:tcPr>
            <w:tcW w:w="3119" w:type="dxa"/>
          </w:tcPr>
          <w:p w14:paraId="A000001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生效时间为终审完成时间</w:t>
            </w:r>
          </w:p>
        </w:tc>
        <w:tc>
          <w:tcPr>
            <w:tcW w:w="4819" w:type="dxa"/>
          </w:tcPr>
          <w:p w14:paraId="A0000018">
            <w:pPr>
              <w:jc w:val="center"/>
            </w:pPr>
          </w:p>
        </w:tc>
        <w:tc>
          <w:tcPr>
            <w:tcW w:w="1275" w:type="dxa"/>
          </w:tcPr>
          <w:p w14:paraId="A0000019">
            <w:pPr/>
          </w:p>
        </w:tc>
      </w:tr>
    </w:tbl>
    <w:p>
      <w:pPr/>
    </w:p>
    <w:p>
      <w:pPr/>
    </w:p>
    <w:tbl>
      <w:tr w14:paraId="A0000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1">
            <w:r>
              <w:rPr>
                <w:b/>
                <w:bCs/>
              </w:rPr>
              <w:t>用例编号</w:t>
            </w:r>
          </w:p>
        </w:tc>
        <w:tc>
          <w:tcPr>
            <w:tcW w:w="11659" w:type="dxa"/>
            <w:gridSpan w:val="5"/>
          </w:tcPr>
          <w:p w14:paraId="A0000002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APPR-003</w:t>
            </w:r>
          </w:p>
        </w:tc>
      </w:tr>
      <w:tr w14:paraId="A00000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4">
            <w:r>
              <w:rPr>
                <w:b/>
                <w:bCs/>
              </w:rPr>
              <w:t>用例名称</w:t>
            </w:r>
          </w:p>
        </w:tc>
        <w:tc>
          <w:tcPr>
            <w:tcW w:w="11659" w:type="dxa"/>
            <w:gridSpan w:val="5"/>
          </w:tcPr>
          <w:p w14:paraId="A0000005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报价单作废后投料数据作废</w:t>
            </w:r>
          </w:p>
        </w:tc>
      </w:tr>
      <w:tr w14:paraId="A00000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021" w:type="dxa"/>
            <w:shd w:val="clear" w:color="auto" w:fill="AFABAB"/>
          </w:tcPr>
          <w:p w14:paraId="A0000007">
            <w:r>
              <w:rPr>
                <w:b/>
                <w:bCs/>
              </w:rPr>
              <w:t>前置条件</w:t>
            </w:r>
          </w:p>
        </w:tc>
        <w:tc>
          <w:tcPr>
            <w:tcW w:w="11659" w:type="dxa"/>
            <w:gridSpan w:val="5"/>
          </w:tcPr>
          <w:p w14:paraId="A0000008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1.同上</w:t>
            </w:r>
            <w:r>
              <w:rPr/>
              <w:t xml:space="preserve">2.已有自动生成的投料数据</w:t>
            </w:r>
          </w:p>
          <w:p w14:paraId="A0000009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/>
            </w:r>
          </w:p>
          <w:p w14:paraId="A000000A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/>
            </w:r>
          </w:p>
        </w:tc>
      </w:tr>
      <w:tr w14:paraId="A0000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0" w:hRule="atLeast"/>
        </w:trPr>
        <w:tc>
          <w:tcPr>
            <w:tcW w:w="1021" w:type="dxa"/>
            <w:shd w:val="clear" w:color="auto" w:fill="AFABAB"/>
          </w:tcPr>
          <w:p w14:paraId="A000000C">
            <w:r>
              <w:rPr>
                <w:b/>
                <w:bCs/>
              </w:rPr>
              <w:t>用例描述</w:t>
            </w:r>
          </w:p>
        </w:tc>
        <w:tc>
          <w:tcPr>
            <w:tcW w:w="11659" w:type="dxa"/>
            <w:gridSpan w:val="5"/>
          </w:tcPr>
          <w:p w14:paraId="A000000D"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6"/>
                <w:szCs w:val="16"/>
                <w:shd w:val="clear" w:fill="FFFFFF"/>
              </w:rPr>
              <w:t xml:space="preserve">验证报价单作废时投料数据自动作废</w:t>
            </w:r>
          </w:p>
        </w:tc>
      </w:tr>
      <w:tr w14:paraId="A00000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  <w:trHeight w:val="400" w:hRule="atLeast"/>
        </w:trPr>
        <w:tc>
          <w:tcPr>
            <w:tcW w:w="1021" w:type="dxa"/>
            <w:shd w:val="clear" w:color="auto" w:fill="AFABAB"/>
          </w:tcPr>
          <w:p w14:paraId="A000000F">
            <w:r>
              <w:rPr>
                <w:b/>
                <w:bCs/>
              </w:rPr>
              <w:t>体现环节</w:t>
            </w:r>
          </w:p>
        </w:tc>
        <w:tc>
          <w:tcPr>
            <w:tcW w:w="2410" w:type="dxa"/>
            <w:shd w:val="clear" w:color="auto" w:fill="AFABAB"/>
          </w:tcPr>
          <w:p w14:paraId="A0000010">
            <w:pPr>
              <w:rPr>
                <w:b/>
              </w:rPr>
            </w:pPr>
            <w:r>
              <w:rPr>
                <w:rFonts w:hint="eastAsia"/>
                <w:b/>
              </w:rPr>
              <w:t>操作步骤</w:t>
            </w:r>
          </w:p>
        </w:tc>
        <w:tc>
          <w:tcPr>
            <w:tcW w:w="3119" w:type="dxa"/>
            <w:shd w:val="clear" w:color="auto" w:fill="AFABAB"/>
          </w:tcPr>
          <w:p w14:paraId="A0000011">
            <w:r>
              <w:rPr>
                <w:b/>
                <w:bCs/>
              </w:rPr>
              <w:t>预期结果</w:t>
            </w:r>
          </w:p>
        </w:tc>
        <w:tc>
          <w:tcPr>
            <w:tcW w:w="4819" w:type="dxa"/>
            <w:shd w:val="clear" w:color="auto" w:fill="AFABAB"/>
          </w:tcPr>
          <w:p w14:paraId="A0000012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图示</w:t>
            </w:r>
          </w:p>
        </w:tc>
        <w:tc>
          <w:tcPr>
            <w:tcW w:w="1275" w:type="dxa"/>
            <w:shd w:val="clear" w:color="auto" w:fill="AFABAB"/>
            <w:vAlign w:val="center"/>
          </w:tcPr>
          <w:p w14:paraId="A0000013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测试结果</w:t>
            </w:r>
          </w:p>
        </w:tc>
      </w:tr>
      <w:tr w14:paraId="A000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15">
            <w:pPr>
              <w:jc w:val="center"/>
            </w:pPr>
            <w:r>
              <w:t>1</w:t>
            </w:r>
          </w:p>
        </w:tc>
        <w:tc>
          <w:tcPr>
            <w:tcW w:w="2410" w:type="dxa"/>
          </w:tcPr>
          <w:p w14:paraId="A000001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作废已终审报价单</w:t>
            </w:r>
          </w:p>
        </w:tc>
        <w:tc>
          <w:tcPr>
            <w:tcW w:w="3119" w:type="dxa"/>
          </w:tcPr>
          <w:p w14:paraId="A000001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作废成功</w:t>
            </w:r>
          </w:p>
        </w:tc>
        <w:tc>
          <w:tcPr>
            <w:tcW w:w="4819" w:type="dxa"/>
          </w:tcPr>
          <w:p w14:paraId="A0000018">
            <w:pPr>
              <w:jc w:val="center"/>
            </w:pPr>
          </w:p>
        </w:tc>
        <w:tc>
          <w:tcPr>
            <w:tcW w:w="1275" w:type="dxa"/>
          </w:tcPr>
          <w:p w14:paraId="A0000019">
            <w:pPr/>
          </w:p>
        </w:tc>
      </w:tr>
      <w:tr w14:paraId="A00000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6" w:type="dxa"/>
        </w:trPr>
        <w:tc>
          <w:tcPr>
            <w:tcW w:w="1021" w:type="dxa"/>
          </w:tcPr>
          <w:p w14:paraId="A0000015">
            <w:pPr>
              <w:jc w:val="center"/>
            </w:pPr>
            <w:r>
              <w:t>2</w:t>
            </w:r>
          </w:p>
        </w:tc>
        <w:tc>
          <w:tcPr>
            <w:tcW w:w="2410" w:type="dxa"/>
          </w:tcPr>
          <w:p w14:paraId="A0000016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查看投料重量维护</w:t>
            </w:r>
          </w:p>
        </w:tc>
        <w:tc>
          <w:tcPr>
            <w:tcW w:w="3119" w:type="dxa"/>
          </w:tcPr>
          <w:p w14:paraId="A0000017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对应批次投料数据自动作废</w:t>
            </w:r>
          </w:p>
        </w:tc>
        <w:tc>
          <w:tcPr>
            <w:tcW w:w="4819" w:type="dxa"/>
          </w:tcPr>
          <w:p w14:paraId="A0000018">
            <w:pPr>
              <w:jc w:val="center"/>
            </w:pPr>
          </w:p>
        </w:tc>
        <w:tc>
          <w:tcPr>
            <w:tcW w:w="1275" w:type="dxa"/>
          </w:tcPr>
          <w:p w14:paraId="A0000019">
            <w:pPr/>
          </w:p>
        </w:tc>
      </w:tr>
    </w:tbl>
    <w:p w14:paraId="3B447C47"/>
    <w:p w14:paraId="68303BDB">
      <w:pPr>
        <w:rPr>
          <w:rFonts w:hint="eastAsia"/>
          <w:lang w:val="zh-CN"/>
        </w:rPr>
      </w:pPr>
    </w:p>
    <w:sectPr>
      <w:headerReference r:id="rId8" w:type="first"/>
      <w:footerReference r:id="rId10" w:type="first"/>
      <w:headerReference r:id="rId7" w:type="default"/>
      <w:footerReference r:id="rId9" w:type="default"/>
      <w:pgSz w:w="16840" w:h="11907" w:orient="landscape"/>
      <w:pgMar w:top="1080" w:right="1440" w:bottom="1080" w:left="1440" w:header="737" w:footer="363" w:gutter="0"/>
      <w:pgNumType w:start="1"/>
      <w:cols w:space="720" w:num="1"/>
      <w:docGrid w:type="lines" w:linePitch="27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34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MS Mincho">
    <w:altName w:val="Times New Roman"/>
    <w:panose1 w:val="02020609040205080304"/>
    <w:charset w:val="80"/>
    <w:family w:val="roman"/>
    <w:pitch w:val="default"/>
    <w:sig w:usb0="00000000" w:usb1="00000000" w:usb2="08000012" w:usb3="00000000" w:csb0="000200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CorpoS">
    <w:altName w:val="Times New Roman"/>
    <w:panose1 w:val="00000000000000000000"/>
    <w:charset w:val="00"/>
    <w:family w:val="auto"/>
    <w:pitch w:val="default"/>
    <w:sig w:usb0="00000000" w:usb1="00000000" w:usb2="00000000" w:usb3="00000000" w:csb0="00000093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entury Schoolbook">
    <w:panose1 w:val="02040604050505020304"/>
    <w:charset w:val="00"/>
    <w:family w:val="roman"/>
    <w:pitch w:val="default"/>
    <w:sig w:usb0="00000287" w:usb1="000000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191C12">
    <w:pPr>
      <w:pStyle w:val="46"/>
      <w:spacing w:before="120" w:after="12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9EE79B">
    <w:pPr>
      <w:pStyle w:val="46"/>
      <w:spacing w:before="120" w:after="12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7BE337">
    <w:pPr>
      <w:pStyle w:val="46"/>
      <w:jc w:val="center"/>
      <w:rPr>
        <w:rFonts w:ascii="Calibri" w:hAnsi="Calibri" w:eastAsia="微软雅黑" w:cs="Calibri"/>
      </w:rPr>
    </w:pPr>
    <w:r>
      <w:rPr>
        <w:rFonts w:ascii="Calibri" w:hAnsi="Calibri" w:eastAsia="微软雅黑" w:cs="Calibri"/>
      </w:rPr>
      <w:t xml:space="preserve"> </w:t>
    </w:r>
    <w:r>
      <w:rPr>
        <w:rFonts w:ascii="Calibri" w:hAnsi="Calibri" w:eastAsia="微软雅黑" w:cs="Calibri"/>
        <w:sz w:val="24"/>
        <w:szCs w:val="24"/>
      </w:rPr>
      <w:fldChar w:fldCharType="begin"/>
    </w:r>
    <w:r>
      <w:rPr>
        <w:rFonts w:ascii="Calibri" w:hAnsi="Calibri" w:eastAsia="微软雅黑" w:cs="Calibri"/>
      </w:rPr>
      <w:instrText xml:space="preserve">PAGE</w:instrText>
    </w:r>
    <w:r>
      <w:rPr>
        <w:rFonts w:ascii="Calibri" w:hAnsi="Calibri" w:eastAsia="微软雅黑" w:cs="Calibri"/>
        <w:sz w:val="24"/>
        <w:szCs w:val="24"/>
      </w:rPr>
      <w:fldChar w:fldCharType="separate"/>
    </w:r>
    <w:r>
      <w:rPr>
        <w:rFonts w:ascii="Calibri" w:hAnsi="Calibri" w:eastAsia="微软雅黑" w:cs="Calibri"/>
      </w:rPr>
      <w:t>5</w:t>
    </w:r>
    <w:r>
      <w:rPr>
        <w:rFonts w:ascii="Calibri" w:hAnsi="Calibri" w:eastAsia="微软雅黑" w:cs="Calibri"/>
        <w:sz w:val="24"/>
        <w:szCs w:val="24"/>
      </w:rPr>
      <w:fldChar w:fldCharType="end"/>
    </w:r>
    <w:r>
      <w:rPr>
        <w:rFonts w:ascii="Calibri" w:hAnsi="Calibri" w:eastAsia="微软雅黑" w:cs="Calibri"/>
      </w:rPr>
      <w:t xml:space="preserve"> / </w:t>
    </w:r>
    <w:r>
      <w:rPr>
        <w:rFonts w:ascii="Calibri" w:hAnsi="Calibri" w:eastAsia="微软雅黑" w:cs="Calibri"/>
      </w:rPr>
      <w:fldChar w:fldCharType="begin"/>
    </w:r>
    <w:r>
      <w:rPr>
        <w:rFonts w:ascii="Calibri" w:hAnsi="Calibri" w:eastAsia="微软雅黑" w:cs="Calibri"/>
      </w:rPr>
      <w:instrText xml:space="preserve"> =</w:instrText>
    </w:r>
    <w:r>
      <w:rPr>
        <w:rFonts w:ascii="Calibri" w:hAnsi="Calibri" w:eastAsia="微软雅黑" w:cs="Calibri"/>
      </w:rPr>
      <w:fldChar w:fldCharType="begin"/>
    </w:r>
    <w:r>
      <w:rPr>
        <w:rFonts w:ascii="Calibri" w:hAnsi="Calibri" w:eastAsia="微软雅黑" w:cs="Calibri"/>
      </w:rPr>
      <w:instrText xml:space="preserve">NUMPAGES</w:instrText>
    </w:r>
    <w:r>
      <w:rPr>
        <w:rFonts w:ascii="Calibri" w:hAnsi="Calibri" w:eastAsia="微软雅黑" w:cs="Calibri"/>
      </w:rPr>
      <w:fldChar w:fldCharType="separate"/>
    </w:r>
    <w:r>
      <w:rPr>
        <w:rFonts w:ascii="Calibri" w:hAnsi="Calibri" w:eastAsia="微软雅黑" w:cs="Calibri"/>
      </w:rPr>
      <w:instrText xml:space="preserve">7</w:instrText>
    </w:r>
    <w:r>
      <w:rPr>
        <w:rFonts w:ascii="Calibri" w:hAnsi="Calibri" w:eastAsia="微软雅黑" w:cs="Calibri"/>
      </w:rPr>
      <w:fldChar w:fldCharType="end"/>
    </w:r>
    <w:r>
      <w:rPr>
        <w:rFonts w:ascii="Calibri" w:hAnsi="Calibri" w:eastAsia="微软雅黑" w:cs="Calibri"/>
      </w:rPr>
      <w:instrText xml:space="preserve">-3 </w:instrText>
    </w:r>
    <w:r>
      <w:rPr>
        <w:rFonts w:ascii="Calibri" w:hAnsi="Calibri" w:eastAsia="微软雅黑" w:cs="Calibri"/>
      </w:rPr>
      <w:fldChar w:fldCharType="separate"/>
    </w:r>
    <w:r>
      <w:rPr>
        <w:rFonts w:ascii="Calibri" w:hAnsi="Calibri" w:eastAsia="微软雅黑" w:cs="Calibri"/>
      </w:rPr>
      <w:t>4</w:t>
    </w:r>
    <w:r>
      <w:rPr>
        <w:rFonts w:ascii="Calibri" w:hAnsi="Calibri" w:eastAsia="微软雅黑" w:cs="Calibri"/>
      </w:rPr>
      <w:fldChar w:fldCharType="end"/>
    </w:r>
  </w:p>
  <w:p w14:paraId="04DF570F">
    <w:pPr>
      <w:pStyle w:val="46"/>
      <w:spacing w:before="120" w:after="120"/>
      <w:rPr>
        <w:sz w:val="2"/>
        <w:szCs w:val="4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839EF0E">
    <w:pPr>
      <w:pStyle w:val="46"/>
      <w:jc w:val="center"/>
      <w:rPr>
        <w:rFonts w:ascii="宋体" w:hAnsi="宋体"/>
        <w:szCs w:val="16"/>
      </w:rPr>
    </w:pPr>
    <w:r>
      <w:rPr>
        <w:rFonts w:ascii="宋体" w:hAnsi="宋体"/>
        <w:sz w:val="13"/>
        <w:szCs w:val="16"/>
      </w:rPr>
      <w:t xml:space="preserve"> </w:t>
    </w:r>
    <w:r>
      <w:rPr>
        <w:rFonts w:ascii="宋体" w:hAnsi="宋体"/>
        <w:szCs w:val="16"/>
      </w:rPr>
      <w:fldChar w:fldCharType="begin"/>
    </w:r>
    <w:r>
      <w:rPr>
        <w:rFonts w:ascii="宋体" w:hAnsi="宋体"/>
        <w:szCs w:val="16"/>
      </w:rPr>
      <w:instrText xml:space="preserve">PAGE</w:instrText>
    </w:r>
    <w:r>
      <w:rPr>
        <w:rFonts w:ascii="宋体" w:hAnsi="宋体"/>
        <w:szCs w:val="16"/>
      </w:rPr>
      <w:fldChar w:fldCharType="separate"/>
    </w:r>
    <w:r>
      <w:rPr>
        <w:rFonts w:ascii="宋体" w:hAnsi="宋体"/>
        <w:szCs w:val="16"/>
      </w:rPr>
      <w:t>1</w:t>
    </w:r>
    <w:r>
      <w:rPr>
        <w:rFonts w:ascii="宋体" w:hAnsi="宋体"/>
        <w:szCs w:val="16"/>
      </w:rPr>
      <w:fldChar w:fldCharType="end"/>
    </w:r>
    <w:r>
      <w:rPr>
        <w:rFonts w:ascii="宋体" w:hAnsi="宋体"/>
        <w:szCs w:val="16"/>
      </w:rPr>
      <w:t xml:space="preserve"> / </w:t>
    </w:r>
    <w:r>
      <w:rPr>
        <w:rFonts w:ascii="宋体" w:hAnsi="宋体"/>
        <w:szCs w:val="16"/>
      </w:rPr>
      <w:fldChar w:fldCharType="begin"/>
    </w:r>
    <w:r>
      <w:rPr>
        <w:rFonts w:ascii="宋体" w:hAnsi="宋体"/>
        <w:szCs w:val="16"/>
      </w:rPr>
      <w:instrText xml:space="preserve"> =</w:instrText>
    </w:r>
    <w:r>
      <w:rPr>
        <w:rFonts w:ascii="宋体" w:hAnsi="宋体"/>
        <w:szCs w:val="16"/>
      </w:rPr>
      <w:fldChar w:fldCharType="begin"/>
    </w:r>
    <w:r>
      <w:rPr>
        <w:rFonts w:ascii="宋体" w:hAnsi="宋体"/>
        <w:szCs w:val="16"/>
      </w:rPr>
      <w:instrText xml:space="preserve">NUMPAGES</w:instrText>
    </w:r>
    <w:r>
      <w:rPr>
        <w:rFonts w:ascii="宋体" w:hAnsi="宋体"/>
        <w:szCs w:val="16"/>
      </w:rPr>
      <w:fldChar w:fldCharType="separate"/>
    </w:r>
    <w:r>
      <w:rPr>
        <w:rFonts w:ascii="宋体" w:hAnsi="宋体"/>
        <w:szCs w:val="16"/>
      </w:rPr>
      <w:instrText xml:space="preserve">7</w:instrText>
    </w:r>
    <w:r>
      <w:rPr>
        <w:rFonts w:ascii="宋体" w:hAnsi="宋体"/>
        <w:szCs w:val="16"/>
      </w:rPr>
      <w:fldChar w:fldCharType="end"/>
    </w:r>
    <w:r>
      <w:rPr>
        <w:rFonts w:ascii="宋体" w:hAnsi="宋体"/>
        <w:szCs w:val="16"/>
      </w:rPr>
      <w:instrText xml:space="preserve">-3 </w:instrText>
    </w:r>
    <w:r>
      <w:rPr>
        <w:rFonts w:ascii="宋体" w:hAnsi="宋体"/>
        <w:szCs w:val="16"/>
      </w:rPr>
      <w:fldChar w:fldCharType="separate"/>
    </w:r>
    <w:r>
      <w:rPr>
        <w:rFonts w:ascii="宋体" w:hAnsi="宋体"/>
        <w:szCs w:val="16"/>
      </w:rPr>
      <w:t>4</w:t>
    </w:r>
    <w:r>
      <w:rPr>
        <w:rFonts w:ascii="宋体" w:hAnsi="宋体"/>
        <w:szCs w:val="16"/>
      </w:rPr>
      <w:fldChar w:fldCharType="end"/>
    </w:r>
  </w:p>
  <w:p w14:paraId="05B60B1D">
    <w:pPr>
      <w:pStyle w:val="46"/>
      <w:spacing w:before="120" w:after="120"/>
      <w:rPr>
        <w:sz w:val="2"/>
        <w:szCs w:val="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9"/>
      <w:tblW w:w="14033" w:type="dxa"/>
      <w:tblInd w:w="0" w:type="dxa"/>
      <w:tblBorders>
        <w:top w:val="none" w:color="auto" w:sz="0" w:space="0"/>
        <w:left w:val="none" w:color="auto" w:sz="0" w:space="0"/>
        <w:bottom w:val="single" w:color="7F7F7F" w:sz="4" w:space="0"/>
        <w:right w:val="none" w:color="auto" w:sz="0" w:space="0"/>
        <w:insideH w:val="single" w:color="auto" w:sz="4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4860"/>
      <w:gridCol w:w="9173"/>
    </w:tblGrid>
    <w:tr w14:paraId="451B6720">
      <w:tblPrEx>
        <w:tblBorders>
          <w:top w:val="none" w:color="auto" w:sz="0" w:space="0"/>
          <w:left w:val="none" w:color="auto" w:sz="0" w:space="0"/>
          <w:bottom w:val="single" w:color="7F7F7F" w:sz="4" w:space="0"/>
          <w:right w:val="none" w:color="auto" w:sz="0" w:space="0"/>
          <w:insideH w:val="single" w:color="auto" w:sz="4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34" w:hRule="atLeast"/>
      </w:trPr>
      <w:tc>
        <w:tcPr>
          <w:tcW w:w="4860" w:type="dxa"/>
          <w:shd w:val="clear" w:color="auto" w:fill="auto"/>
          <w:vAlign w:val="center"/>
        </w:tcPr>
        <w:p w14:paraId="5B1F80EE">
          <w:pPr>
            <w:pStyle w:val="47"/>
            <w:spacing w:line="276" w:lineRule="auto"/>
            <w:rPr>
              <w:rFonts w:ascii="Century Schoolbook" w:hAnsi="Century Schoolbook" w:eastAsia="微软雅黑" w:cs="Arial"/>
              <w:lang w:val="en-US"/>
            </w:rPr>
          </w:pPr>
        </w:p>
      </w:tc>
      <w:tc>
        <w:tcPr>
          <w:tcW w:w="9173" w:type="dxa"/>
          <w:shd w:val="clear" w:color="auto" w:fill="auto"/>
          <w:vAlign w:val="center"/>
        </w:tcPr>
        <w:p w14:paraId="36E0D5C2">
          <w:pPr>
            <w:pStyle w:val="47"/>
            <w:spacing w:line="276" w:lineRule="auto"/>
            <w:ind w:right="900"/>
            <w:jc w:val="right"/>
            <w:rPr>
              <w:rFonts w:ascii="宋体" w:hAnsi="宋体" w:cs="Arial"/>
              <w:lang w:val="en-US"/>
            </w:rPr>
          </w:pPr>
          <w:r>
            <w:rPr>
              <w:rFonts w:ascii="宋体" w:hAnsi="宋体" w:cs="Arial"/>
              <w:lang w:val="en-US"/>
            </w:rPr>
            <w:t xml:space="preserve">                           </w:t>
          </w:r>
          <w:r>
            <w:rPr>
              <w:rFonts w:hint="eastAsia" w:ascii="宋体" w:hAnsi="宋体" w:cs="Arial"/>
              <w:lang w:val="en-US"/>
            </w:rPr>
            <w:t>测试用例</w:t>
          </w:r>
        </w:p>
      </w:tc>
    </w:tr>
  </w:tbl>
  <w:p w14:paraId="6A8F6EB5">
    <w:pPr>
      <w:pStyle w:val="47"/>
      <w:spacing w:line="240" w:lineRule="auto"/>
      <w:rPr>
        <w:rFonts w:ascii="Century Schoolbook" w:hAnsi="Century Schoolbook" w:eastAsia="微软雅黑" w:cs="Arial"/>
        <w:lang w:val="en-US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9"/>
      <w:tblW w:w="0" w:type="auto"/>
      <w:tblInd w:w="0" w:type="dxa"/>
      <w:tblBorders>
        <w:top w:val="none" w:color="auto" w:sz="0" w:space="0"/>
        <w:left w:val="none" w:color="auto" w:sz="0" w:space="0"/>
        <w:bottom w:val="single" w:color="7F7F7F" w:sz="4" w:space="0"/>
        <w:right w:val="none" w:color="auto" w:sz="0" w:space="0"/>
        <w:insideH w:val="single" w:color="auto" w:sz="4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5070"/>
      <w:gridCol w:w="4893"/>
    </w:tblGrid>
    <w:tr w14:paraId="28884AC9">
      <w:tblPrEx>
        <w:tblBorders>
          <w:top w:val="none" w:color="auto" w:sz="0" w:space="0"/>
          <w:left w:val="none" w:color="auto" w:sz="0" w:space="0"/>
          <w:bottom w:val="single" w:color="7F7F7F" w:sz="4" w:space="0"/>
          <w:right w:val="none" w:color="auto" w:sz="0" w:space="0"/>
          <w:insideH w:val="single" w:color="auto" w:sz="4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5070" w:type="dxa"/>
          <w:shd w:val="clear" w:color="auto" w:fill="auto"/>
          <w:vAlign w:val="center"/>
        </w:tcPr>
        <w:p w14:paraId="43A4F84F">
          <w:pPr>
            <w:pStyle w:val="47"/>
            <w:spacing w:line="276" w:lineRule="auto"/>
            <w:rPr>
              <w:rFonts w:ascii="Century Schoolbook" w:hAnsi="Century Schoolbook" w:eastAsia="微软雅黑" w:cs="Arial"/>
              <w:lang w:val="en-US"/>
            </w:rPr>
          </w:pPr>
        </w:p>
      </w:tc>
      <w:tc>
        <w:tcPr>
          <w:tcW w:w="4893" w:type="dxa"/>
          <w:shd w:val="clear" w:color="auto" w:fill="auto"/>
          <w:vAlign w:val="center"/>
        </w:tcPr>
        <w:p w14:paraId="255B7B5D">
          <w:pPr>
            <w:pStyle w:val="47"/>
            <w:spacing w:line="240" w:lineRule="auto"/>
            <w:jc w:val="right"/>
            <w:rPr>
              <w:rFonts w:ascii="宋体" w:hAnsi="宋体" w:cs="Arial"/>
              <w:lang w:val="en-US"/>
            </w:rPr>
          </w:pPr>
        </w:p>
        <w:p w14:paraId="096412F6">
          <w:pPr>
            <w:pStyle w:val="47"/>
            <w:spacing w:line="240" w:lineRule="auto"/>
            <w:jc w:val="right"/>
            <w:rPr>
              <w:rFonts w:ascii="宋体" w:hAnsi="宋体" w:cs="Arial"/>
              <w:lang w:val="en-US"/>
            </w:rPr>
          </w:pPr>
        </w:p>
        <w:p w14:paraId="3ABE845F">
          <w:pPr>
            <w:pStyle w:val="47"/>
            <w:spacing w:line="240" w:lineRule="auto"/>
            <w:jc w:val="right"/>
            <w:rPr>
              <w:rFonts w:ascii="宋体" w:hAnsi="宋体" w:cs="Arial"/>
              <w:lang w:val="en-US"/>
            </w:rPr>
          </w:pPr>
          <w:r>
            <w:rPr>
              <w:rFonts w:hint="eastAsia" w:ascii="宋体" w:hAnsi="宋体" w:cs="Arial"/>
              <w:lang w:val="en-US"/>
            </w:rPr>
            <w:t>测试用例</w:t>
          </w:r>
        </w:p>
      </w:tc>
    </w:tr>
  </w:tbl>
  <w:p w14:paraId="6867DAFB">
    <w:pPr>
      <w:pStyle w:val="47"/>
      <w:spacing w:line="240" w:lineRule="aut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306106F"/>
    <w:multiLevelType w:val="multilevel"/>
    <w:tmpl w:val="7306106F"/>
    <w:lvl w:ilvl="0" w:tentative="0">
      <w:start w:val="1"/>
      <w:numFmt w:val="decimal"/>
      <w:pStyle w:val="2"/>
      <w:suff w:val="space"/>
      <w:lvlText w:val="%1."/>
      <w:lvlJc w:val="left"/>
      <w:pPr>
        <w:ind w:left="567" w:firstLine="0"/>
      </w:pPr>
      <w:rPr>
        <w:rFonts w:hint="default" w:ascii="宋体" w:hAnsi="宋体" w:eastAsia="宋体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0" w:firstLine="0"/>
      </w:pPr>
      <w:rPr>
        <w:rFonts w:hint="default" w:ascii="宋体" w:hAnsi="宋体" w:eastAsia="宋体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ind w:left="142" w:firstLine="0"/>
      </w:pPr>
      <w:rPr>
        <w:rFonts w:hint="default" w:ascii="宋体" w:hAnsi="宋体" w:eastAsia="宋体"/>
      </w:rPr>
    </w:lvl>
    <w:lvl w:ilvl="3" w:tentative="0">
      <w:start w:val="1"/>
      <w:numFmt w:val="decimal"/>
      <w:pStyle w:val="5"/>
      <w:suff w:val="space"/>
      <w:lvlText w:val="%1.%2.%3.%4"/>
      <w:lvlJc w:val="left"/>
      <w:pPr>
        <w:ind w:left="0" w:firstLine="0"/>
      </w:pPr>
      <w:rPr>
        <w:rFonts w:hint="eastAsia" w:ascii="宋体" w:hAnsi="宋体" w:eastAsia="宋体"/>
        <w:b/>
        <w:bCs/>
        <w:color w:val="auto"/>
        <w:sz w:val="21"/>
        <w:szCs w:val="21"/>
      </w:rPr>
    </w:lvl>
    <w:lvl w:ilvl="4" w:tentative="0">
      <w:start w:val="1"/>
      <w:numFmt w:val="decimal"/>
      <w:pStyle w:val="6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 w:tentative="0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3"/>
  <w:bordersDoNotSurroundHeader w:val="0"/>
  <w:bordersDoNotSurroundFooter w:val="0"/>
  <w:documentProtection w:enforcement="0"/>
  <w:defaultTabStop w:val="320"/>
  <w:doNotHyphenateCaps/>
  <w:drawingGridHorizontalSpacing w:val="100"/>
  <w:drawingGridVerticalSpacing w:val="13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Y4ZGZmNWE0NjZjMGU5MjI0ODZkYWEzNmUzNjI0YjkifQ=="/>
  </w:docVars>
  <w:rsids>
    <w:rsidRoot w:val="00000EB6"/>
    <w:rsid w:val="00000456"/>
    <w:rsid w:val="00000777"/>
    <w:rsid w:val="00000EB6"/>
    <w:rsid w:val="00001594"/>
    <w:rsid w:val="000015F3"/>
    <w:rsid w:val="00001B1D"/>
    <w:rsid w:val="00003EEC"/>
    <w:rsid w:val="0000404B"/>
    <w:rsid w:val="000048E3"/>
    <w:rsid w:val="0000567C"/>
    <w:rsid w:val="00006A10"/>
    <w:rsid w:val="00007183"/>
    <w:rsid w:val="000073BC"/>
    <w:rsid w:val="00010F61"/>
    <w:rsid w:val="00012ACE"/>
    <w:rsid w:val="00013BA6"/>
    <w:rsid w:val="00014563"/>
    <w:rsid w:val="000155A6"/>
    <w:rsid w:val="00016EF0"/>
    <w:rsid w:val="00017A05"/>
    <w:rsid w:val="00017D62"/>
    <w:rsid w:val="00017D80"/>
    <w:rsid w:val="00021C61"/>
    <w:rsid w:val="00022623"/>
    <w:rsid w:val="00022D47"/>
    <w:rsid w:val="00023FD4"/>
    <w:rsid w:val="000259A1"/>
    <w:rsid w:val="00025D03"/>
    <w:rsid w:val="0002655D"/>
    <w:rsid w:val="00026E84"/>
    <w:rsid w:val="00030B43"/>
    <w:rsid w:val="00030C13"/>
    <w:rsid w:val="00031212"/>
    <w:rsid w:val="000318DE"/>
    <w:rsid w:val="00031C84"/>
    <w:rsid w:val="0003299D"/>
    <w:rsid w:val="000330C9"/>
    <w:rsid w:val="00033242"/>
    <w:rsid w:val="00033971"/>
    <w:rsid w:val="00034269"/>
    <w:rsid w:val="000347A4"/>
    <w:rsid w:val="00034F32"/>
    <w:rsid w:val="000351C7"/>
    <w:rsid w:val="00035A78"/>
    <w:rsid w:val="00035B6D"/>
    <w:rsid w:val="00035F5C"/>
    <w:rsid w:val="00040720"/>
    <w:rsid w:val="0004288E"/>
    <w:rsid w:val="00042940"/>
    <w:rsid w:val="00042FD4"/>
    <w:rsid w:val="00042FE0"/>
    <w:rsid w:val="000432F4"/>
    <w:rsid w:val="000435B4"/>
    <w:rsid w:val="0004366A"/>
    <w:rsid w:val="00043FA5"/>
    <w:rsid w:val="000445B6"/>
    <w:rsid w:val="00044648"/>
    <w:rsid w:val="0004676C"/>
    <w:rsid w:val="00051419"/>
    <w:rsid w:val="000521E7"/>
    <w:rsid w:val="00052743"/>
    <w:rsid w:val="000529CB"/>
    <w:rsid w:val="00054027"/>
    <w:rsid w:val="00054382"/>
    <w:rsid w:val="000552FA"/>
    <w:rsid w:val="00056679"/>
    <w:rsid w:val="00056C7F"/>
    <w:rsid w:val="00060788"/>
    <w:rsid w:val="000607E9"/>
    <w:rsid w:val="0006088B"/>
    <w:rsid w:val="00061D96"/>
    <w:rsid w:val="0006213D"/>
    <w:rsid w:val="0006260E"/>
    <w:rsid w:val="00062A18"/>
    <w:rsid w:val="00062A57"/>
    <w:rsid w:val="00062CE2"/>
    <w:rsid w:val="00064062"/>
    <w:rsid w:val="00064786"/>
    <w:rsid w:val="00064E82"/>
    <w:rsid w:val="000650BB"/>
    <w:rsid w:val="000650FE"/>
    <w:rsid w:val="00065F73"/>
    <w:rsid w:val="00066574"/>
    <w:rsid w:val="00066721"/>
    <w:rsid w:val="000709BE"/>
    <w:rsid w:val="000725C9"/>
    <w:rsid w:val="00072A12"/>
    <w:rsid w:val="0007320A"/>
    <w:rsid w:val="000732CA"/>
    <w:rsid w:val="00073413"/>
    <w:rsid w:val="00073D0C"/>
    <w:rsid w:val="000741F4"/>
    <w:rsid w:val="00075520"/>
    <w:rsid w:val="00075AC6"/>
    <w:rsid w:val="0007603F"/>
    <w:rsid w:val="00076314"/>
    <w:rsid w:val="00076329"/>
    <w:rsid w:val="00076CBD"/>
    <w:rsid w:val="000770BD"/>
    <w:rsid w:val="000801E5"/>
    <w:rsid w:val="00080464"/>
    <w:rsid w:val="00081598"/>
    <w:rsid w:val="00082E82"/>
    <w:rsid w:val="00083099"/>
    <w:rsid w:val="000831AA"/>
    <w:rsid w:val="0008323E"/>
    <w:rsid w:val="00083312"/>
    <w:rsid w:val="00087326"/>
    <w:rsid w:val="00091108"/>
    <w:rsid w:val="00091843"/>
    <w:rsid w:val="00091B2B"/>
    <w:rsid w:val="00094045"/>
    <w:rsid w:val="00094769"/>
    <w:rsid w:val="00094EA3"/>
    <w:rsid w:val="00095015"/>
    <w:rsid w:val="00095F09"/>
    <w:rsid w:val="000970E5"/>
    <w:rsid w:val="0009716C"/>
    <w:rsid w:val="000A122D"/>
    <w:rsid w:val="000A1A0B"/>
    <w:rsid w:val="000A2029"/>
    <w:rsid w:val="000A2C72"/>
    <w:rsid w:val="000A3791"/>
    <w:rsid w:val="000A3DDD"/>
    <w:rsid w:val="000A414E"/>
    <w:rsid w:val="000A44B8"/>
    <w:rsid w:val="000A456D"/>
    <w:rsid w:val="000A484F"/>
    <w:rsid w:val="000A4B3D"/>
    <w:rsid w:val="000A58EE"/>
    <w:rsid w:val="000A6BBB"/>
    <w:rsid w:val="000A6EB6"/>
    <w:rsid w:val="000A752A"/>
    <w:rsid w:val="000A7D99"/>
    <w:rsid w:val="000B19FC"/>
    <w:rsid w:val="000B1DE5"/>
    <w:rsid w:val="000B386E"/>
    <w:rsid w:val="000B4F35"/>
    <w:rsid w:val="000B581A"/>
    <w:rsid w:val="000B59A2"/>
    <w:rsid w:val="000B5C54"/>
    <w:rsid w:val="000B6650"/>
    <w:rsid w:val="000B66F0"/>
    <w:rsid w:val="000C00EB"/>
    <w:rsid w:val="000C139A"/>
    <w:rsid w:val="000C2710"/>
    <w:rsid w:val="000C2B74"/>
    <w:rsid w:val="000C2DD6"/>
    <w:rsid w:val="000C2FB0"/>
    <w:rsid w:val="000C39D6"/>
    <w:rsid w:val="000C4922"/>
    <w:rsid w:val="000C4B30"/>
    <w:rsid w:val="000C4FB8"/>
    <w:rsid w:val="000C5358"/>
    <w:rsid w:val="000C6AD1"/>
    <w:rsid w:val="000C70A8"/>
    <w:rsid w:val="000C7994"/>
    <w:rsid w:val="000D036A"/>
    <w:rsid w:val="000D0420"/>
    <w:rsid w:val="000D1321"/>
    <w:rsid w:val="000D1E5D"/>
    <w:rsid w:val="000D2695"/>
    <w:rsid w:val="000D29C7"/>
    <w:rsid w:val="000D319D"/>
    <w:rsid w:val="000D3832"/>
    <w:rsid w:val="000D3EB6"/>
    <w:rsid w:val="000D687B"/>
    <w:rsid w:val="000D6905"/>
    <w:rsid w:val="000D742F"/>
    <w:rsid w:val="000E1082"/>
    <w:rsid w:val="000E1CC0"/>
    <w:rsid w:val="000E2AD4"/>
    <w:rsid w:val="000E2B4C"/>
    <w:rsid w:val="000E2BDC"/>
    <w:rsid w:val="000E2CEA"/>
    <w:rsid w:val="000E3A4D"/>
    <w:rsid w:val="000E3C77"/>
    <w:rsid w:val="000E3CB3"/>
    <w:rsid w:val="000E49AD"/>
    <w:rsid w:val="000E4D3B"/>
    <w:rsid w:val="000E64D2"/>
    <w:rsid w:val="000E6A75"/>
    <w:rsid w:val="000E6BDE"/>
    <w:rsid w:val="000E6E67"/>
    <w:rsid w:val="000E75B7"/>
    <w:rsid w:val="000E7A41"/>
    <w:rsid w:val="000F196D"/>
    <w:rsid w:val="000F2531"/>
    <w:rsid w:val="000F37A4"/>
    <w:rsid w:val="000F479C"/>
    <w:rsid w:val="000F4824"/>
    <w:rsid w:val="000F489F"/>
    <w:rsid w:val="000F4BE2"/>
    <w:rsid w:val="000F5FED"/>
    <w:rsid w:val="000F6B10"/>
    <w:rsid w:val="000F6C73"/>
    <w:rsid w:val="000F6E0F"/>
    <w:rsid w:val="000F7A30"/>
    <w:rsid w:val="0010028B"/>
    <w:rsid w:val="00100DD8"/>
    <w:rsid w:val="001043C0"/>
    <w:rsid w:val="00106B8D"/>
    <w:rsid w:val="0010718D"/>
    <w:rsid w:val="001076C9"/>
    <w:rsid w:val="00110A5A"/>
    <w:rsid w:val="00111C8E"/>
    <w:rsid w:val="00111DD4"/>
    <w:rsid w:val="00113267"/>
    <w:rsid w:val="00113A9A"/>
    <w:rsid w:val="00113B9C"/>
    <w:rsid w:val="00114301"/>
    <w:rsid w:val="00114D6D"/>
    <w:rsid w:val="00117330"/>
    <w:rsid w:val="00120513"/>
    <w:rsid w:val="00120C20"/>
    <w:rsid w:val="00121BF3"/>
    <w:rsid w:val="001224E5"/>
    <w:rsid w:val="00122939"/>
    <w:rsid w:val="00123290"/>
    <w:rsid w:val="00123B29"/>
    <w:rsid w:val="00123DA5"/>
    <w:rsid w:val="0012430C"/>
    <w:rsid w:val="00124BE3"/>
    <w:rsid w:val="00126204"/>
    <w:rsid w:val="00126D08"/>
    <w:rsid w:val="00126FF0"/>
    <w:rsid w:val="0012750D"/>
    <w:rsid w:val="00127790"/>
    <w:rsid w:val="001278FB"/>
    <w:rsid w:val="00130B1C"/>
    <w:rsid w:val="00131244"/>
    <w:rsid w:val="001319A8"/>
    <w:rsid w:val="00132AEC"/>
    <w:rsid w:val="00132E03"/>
    <w:rsid w:val="00134E31"/>
    <w:rsid w:val="00136034"/>
    <w:rsid w:val="0013626A"/>
    <w:rsid w:val="0013705B"/>
    <w:rsid w:val="0013750B"/>
    <w:rsid w:val="00137935"/>
    <w:rsid w:val="00137D3F"/>
    <w:rsid w:val="001409A9"/>
    <w:rsid w:val="0014122F"/>
    <w:rsid w:val="00141BA2"/>
    <w:rsid w:val="0014246D"/>
    <w:rsid w:val="00142B4F"/>
    <w:rsid w:val="00142C3E"/>
    <w:rsid w:val="00143139"/>
    <w:rsid w:val="00143520"/>
    <w:rsid w:val="00143ED2"/>
    <w:rsid w:val="00144196"/>
    <w:rsid w:val="00144349"/>
    <w:rsid w:val="0014460E"/>
    <w:rsid w:val="00145877"/>
    <w:rsid w:val="00146463"/>
    <w:rsid w:val="00146C31"/>
    <w:rsid w:val="00147BA6"/>
    <w:rsid w:val="00150280"/>
    <w:rsid w:val="00150CFE"/>
    <w:rsid w:val="00150EF5"/>
    <w:rsid w:val="001521D0"/>
    <w:rsid w:val="001527EB"/>
    <w:rsid w:val="00152D26"/>
    <w:rsid w:val="001530A1"/>
    <w:rsid w:val="00153ED5"/>
    <w:rsid w:val="001541D0"/>
    <w:rsid w:val="001574DA"/>
    <w:rsid w:val="001576F1"/>
    <w:rsid w:val="00157D62"/>
    <w:rsid w:val="00160662"/>
    <w:rsid w:val="00161319"/>
    <w:rsid w:val="00163169"/>
    <w:rsid w:val="00163A12"/>
    <w:rsid w:val="00164C28"/>
    <w:rsid w:val="00165235"/>
    <w:rsid w:val="00166013"/>
    <w:rsid w:val="00167C30"/>
    <w:rsid w:val="00171580"/>
    <w:rsid w:val="00171AB0"/>
    <w:rsid w:val="0017206B"/>
    <w:rsid w:val="00172117"/>
    <w:rsid w:val="001725E7"/>
    <w:rsid w:val="001739E9"/>
    <w:rsid w:val="001740E4"/>
    <w:rsid w:val="00176450"/>
    <w:rsid w:val="00177032"/>
    <w:rsid w:val="001776C9"/>
    <w:rsid w:val="00177CA9"/>
    <w:rsid w:val="001808FF"/>
    <w:rsid w:val="00181F9F"/>
    <w:rsid w:val="00182420"/>
    <w:rsid w:val="001826CC"/>
    <w:rsid w:val="00182AEE"/>
    <w:rsid w:val="00183963"/>
    <w:rsid w:val="00183F87"/>
    <w:rsid w:val="00184D74"/>
    <w:rsid w:val="001854D1"/>
    <w:rsid w:val="001858A7"/>
    <w:rsid w:val="001859CC"/>
    <w:rsid w:val="00185D0B"/>
    <w:rsid w:val="00185DF3"/>
    <w:rsid w:val="00187031"/>
    <w:rsid w:val="0018751A"/>
    <w:rsid w:val="001875D9"/>
    <w:rsid w:val="0019117A"/>
    <w:rsid w:val="001915D8"/>
    <w:rsid w:val="00191EC0"/>
    <w:rsid w:val="00191F51"/>
    <w:rsid w:val="00192E16"/>
    <w:rsid w:val="001938A9"/>
    <w:rsid w:val="00194CD9"/>
    <w:rsid w:val="00195117"/>
    <w:rsid w:val="00195238"/>
    <w:rsid w:val="001A3BEC"/>
    <w:rsid w:val="001A3F95"/>
    <w:rsid w:val="001A4229"/>
    <w:rsid w:val="001A43BE"/>
    <w:rsid w:val="001A4D14"/>
    <w:rsid w:val="001A5356"/>
    <w:rsid w:val="001A5D4F"/>
    <w:rsid w:val="001A634F"/>
    <w:rsid w:val="001A7BC2"/>
    <w:rsid w:val="001B0B7C"/>
    <w:rsid w:val="001B1AEA"/>
    <w:rsid w:val="001B3E12"/>
    <w:rsid w:val="001B410D"/>
    <w:rsid w:val="001B42A1"/>
    <w:rsid w:val="001B43E4"/>
    <w:rsid w:val="001B4632"/>
    <w:rsid w:val="001B464A"/>
    <w:rsid w:val="001B47CC"/>
    <w:rsid w:val="001B6078"/>
    <w:rsid w:val="001B640F"/>
    <w:rsid w:val="001B6720"/>
    <w:rsid w:val="001B6BAD"/>
    <w:rsid w:val="001B6D95"/>
    <w:rsid w:val="001B7B54"/>
    <w:rsid w:val="001B7CA6"/>
    <w:rsid w:val="001C1264"/>
    <w:rsid w:val="001C19B8"/>
    <w:rsid w:val="001C1AFB"/>
    <w:rsid w:val="001C1DED"/>
    <w:rsid w:val="001C1EEE"/>
    <w:rsid w:val="001C244B"/>
    <w:rsid w:val="001C28E7"/>
    <w:rsid w:val="001C342C"/>
    <w:rsid w:val="001C45DE"/>
    <w:rsid w:val="001C46C6"/>
    <w:rsid w:val="001C472E"/>
    <w:rsid w:val="001C4982"/>
    <w:rsid w:val="001C5447"/>
    <w:rsid w:val="001C6422"/>
    <w:rsid w:val="001C6FE3"/>
    <w:rsid w:val="001C7000"/>
    <w:rsid w:val="001C7B4F"/>
    <w:rsid w:val="001C7DCB"/>
    <w:rsid w:val="001D0BFB"/>
    <w:rsid w:val="001D0CAA"/>
    <w:rsid w:val="001D1141"/>
    <w:rsid w:val="001D1837"/>
    <w:rsid w:val="001D288D"/>
    <w:rsid w:val="001D2A4F"/>
    <w:rsid w:val="001D2A79"/>
    <w:rsid w:val="001D341F"/>
    <w:rsid w:val="001D346F"/>
    <w:rsid w:val="001D4265"/>
    <w:rsid w:val="001D5302"/>
    <w:rsid w:val="001D53CF"/>
    <w:rsid w:val="001D679A"/>
    <w:rsid w:val="001D6D8E"/>
    <w:rsid w:val="001D6ED4"/>
    <w:rsid w:val="001D71C0"/>
    <w:rsid w:val="001E03C8"/>
    <w:rsid w:val="001E1286"/>
    <w:rsid w:val="001E16D2"/>
    <w:rsid w:val="001E1DE3"/>
    <w:rsid w:val="001E2C8A"/>
    <w:rsid w:val="001E2DDB"/>
    <w:rsid w:val="001E44D9"/>
    <w:rsid w:val="001E5E19"/>
    <w:rsid w:val="001E6B29"/>
    <w:rsid w:val="001E6CF7"/>
    <w:rsid w:val="001E7BEE"/>
    <w:rsid w:val="001E7D41"/>
    <w:rsid w:val="001F1A79"/>
    <w:rsid w:val="001F24AC"/>
    <w:rsid w:val="001F2790"/>
    <w:rsid w:val="001F2E83"/>
    <w:rsid w:val="001F39EE"/>
    <w:rsid w:val="001F4074"/>
    <w:rsid w:val="001F5B57"/>
    <w:rsid w:val="001F7448"/>
    <w:rsid w:val="001F76F6"/>
    <w:rsid w:val="00201170"/>
    <w:rsid w:val="002015D7"/>
    <w:rsid w:val="002024A1"/>
    <w:rsid w:val="0020268D"/>
    <w:rsid w:val="00203C04"/>
    <w:rsid w:val="00203C67"/>
    <w:rsid w:val="00205FF2"/>
    <w:rsid w:val="00206BC9"/>
    <w:rsid w:val="0021038D"/>
    <w:rsid w:val="00210D5B"/>
    <w:rsid w:val="002137E0"/>
    <w:rsid w:val="00214450"/>
    <w:rsid w:val="0021450A"/>
    <w:rsid w:val="00215B99"/>
    <w:rsid w:val="00216A42"/>
    <w:rsid w:val="002179D4"/>
    <w:rsid w:val="002179ED"/>
    <w:rsid w:val="00220022"/>
    <w:rsid w:val="00220054"/>
    <w:rsid w:val="00220618"/>
    <w:rsid w:val="00221B63"/>
    <w:rsid w:val="00222113"/>
    <w:rsid w:val="00222AAC"/>
    <w:rsid w:val="002234BB"/>
    <w:rsid w:val="0022377F"/>
    <w:rsid w:val="002247FA"/>
    <w:rsid w:val="00225697"/>
    <w:rsid w:val="00225AA7"/>
    <w:rsid w:val="00226211"/>
    <w:rsid w:val="00227004"/>
    <w:rsid w:val="002275C8"/>
    <w:rsid w:val="00227C04"/>
    <w:rsid w:val="00230D19"/>
    <w:rsid w:val="00232F98"/>
    <w:rsid w:val="0023359F"/>
    <w:rsid w:val="0023424A"/>
    <w:rsid w:val="00236B9A"/>
    <w:rsid w:val="00240397"/>
    <w:rsid w:val="00240894"/>
    <w:rsid w:val="00241332"/>
    <w:rsid w:val="00241644"/>
    <w:rsid w:val="00241D4E"/>
    <w:rsid w:val="00242226"/>
    <w:rsid w:val="00244053"/>
    <w:rsid w:val="00244499"/>
    <w:rsid w:val="0024470A"/>
    <w:rsid w:val="00244827"/>
    <w:rsid w:val="00244E69"/>
    <w:rsid w:val="002451AA"/>
    <w:rsid w:val="00245E85"/>
    <w:rsid w:val="00245F63"/>
    <w:rsid w:val="00246494"/>
    <w:rsid w:val="002465C2"/>
    <w:rsid w:val="00246D53"/>
    <w:rsid w:val="00250402"/>
    <w:rsid w:val="0025092E"/>
    <w:rsid w:val="002509B6"/>
    <w:rsid w:val="002511AA"/>
    <w:rsid w:val="002518BC"/>
    <w:rsid w:val="00251DCF"/>
    <w:rsid w:val="00251E6A"/>
    <w:rsid w:val="0025223C"/>
    <w:rsid w:val="00252538"/>
    <w:rsid w:val="00252DD3"/>
    <w:rsid w:val="002541CE"/>
    <w:rsid w:val="002548D5"/>
    <w:rsid w:val="00254C06"/>
    <w:rsid w:val="00254CE6"/>
    <w:rsid w:val="002559BD"/>
    <w:rsid w:val="00256105"/>
    <w:rsid w:val="00256DA9"/>
    <w:rsid w:val="00257EB4"/>
    <w:rsid w:val="0026275C"/>
    <w:rsid w:val="00262F7C"/>
    <w:rsid w:val="00263A43"/>
    <w:rsid w:val="00265205"/>
    <w:rsid w:val="002657E7"/>
    <w:rsid w:val="00265C8E"/>
    <w:rsid w:val="00265D48"/>
    <w:rsid w:val="00266318"/>
    <w:rsid w:val="002666CF"/>
    <w:rsid w:val="00266F0C"/>
    <w:rsid w:val="0026724C"/>
    <w:rsid w:val="00267BC8"/>
    <w:rsid w:val="00267D2D"/>
    <w:rsid w:val="00270130"/>
    <w:rsid w:val="00270360"/>
    <w:rsid w:val="0027050E"/>
    <w:rsid w:val="0027084C"/>
    <w:rsid w:val="002708D9"/>
    <w:rsid w:val="00270CF5"/>
    <w:rsid w:val="002712BB"/>
    <w:rsid w:val="00273215"/>
    <w:rsid w:val="00273B2D"/>
    <w:rsid w:val="00274249"/>
    <w:rsid w:val="00274AF5"/>
    <w:rsid w:val="00274EBC"/>
    <w:rsid w:val="00275471"/>
    <w:rsid w:val="00275736"/>
    <w:rsid w:val="00275CA0"/>
    <w:rsid w:val="0027605C"/>
    <w:rsid w:val="00276AE8"/>
    <w:rsid w:val="00276D3D"/>
    <w:rsid w:val="00276DB1"/>
    <w:rsid w:val="0027748A"/>
    <w:rsid w:val="002778F0"/>
    <w:rsid w:val="0028053D"/>
    <w:rsid w:val="00280D8C"/>
    <w:rsid w:val="00280F0E"/>
    <w:rsid w:val="002836D0"/>
    <w:rsid w:val="00284094"/>
    <w:rsid w:val="00284999"/>
    <w:rsid w:val="00284AB3"/>
    <w:rsid w:val="00285581"/>
    <w:rsid w:val="00286B8D"/>
    <w:rsid w:val="002875AA"/>
    <w:rsid w:val="002922B1"/>
    <w:rsid w:val="0029247D"/>
    <w:rsid w:val="002925B9"/>
    <w:rsid w:val="00293C86"/>
    <w:rsid w:val="00293D21"/>
    <w:rsid w:val="00294441"/>
    <w:rsid w:val="00294896"/>
    <w:rsid w:val="0029579E"/>
    <w:rsid w:val="002957A1"/>
    <w:rsid w:val="002963EC"/>
    <w:rsid w:val="002A07B6"/>
    <w:rsid w:val="002A1254"/>
    <w:rsid w:val="002A2AB9"/>
    <w:rsid w:val="002A386C"/>
    <w:rsid w:val="002A3FE9"/>
    <w:rsid w:val="002A4529"/>
    <w:rsid w:val="002A53A3"/>
    <w:rsid w:val="002A55FF"/>
    <w:rsid w:val="002A5915"/>
    <w:rsid w:val="002B061F"/>
    <w:rsid w:val="002B123F"/>
    <w:rsid w:val="002B180C"/>
    <w:rsid w:val="002B1AC3"/>
    <w:rsid w:val="002B23E5"/>
    <w:rsid w:val="002B351B"/>
    <w:rsid w:val="002B3A40"/>
    <w:rsid w:val="002B3CA8"/>
    <w:rsid w:val="002B4FCF"/>
    <w:rsid w:val="002B5280"/>
    <w:rsid w:val="002B67CC"/>
    <w:rsid w:val="002B70B0"/>
    <w:rsid w:val="002B782F"/>
    <w:rsid w:val="002C1B22"/>
    <w:rsid w:val="002C4CF9"/>
    <w:rsid w:val="002C6FD8"/>
    <w:rsid w:val="002C7855"/>
    <w:rsid w:val="002D02A3"/>
    <w:rsid w:val="002D0742"/>
    <w:rsid w:val="002D1B76"/>
    <w:rsid w:val="002D20D4"/>
    <w:rsid w:val="002D2187"/>
    <w:rsid w:val="002D2346"/>
    <w:rsid w:val="002D3409"/>
    <w:rsid w:val="002D4A8E"/>
    <w:rsid w:val="002D56B5"/>
    <w:rsid w:val="002D59D9"/>
    <w:rsid w:val="002E081F"/>
    <w:rsid w:val="002E174A"/>
    <w:rsid w:val="002E22E0"/>
    <w:rsid w:val="002E28A1"/>
    <w:rsid w:val="002E3439"/>
    <w:rsid w:val="002E397A"/>
    <w:rsid w:val="002E4453"/>
    <w:rsid w:val="002E48F8"/>
    <w:rsid w:val="002E502D"/>
    <w:rsid w:val="002E53EC"/>
    <w:rsid w:val="002E618C"/>
    <w:rsid w:val="002E6394"/>
    <w:rsid w:val="002E78D8"/>
    <w:rsid w:val="002E7AE2"/>
    <w:rsid w:val="002F033C"/>
    <w:rsid w:val="002F038A"/>
    <w:rsid w:val="002F14A4"/>
    <w:rsid w:val="002F15A8"/>
    <w:rsid w:val="002F2986"/>
    <w:rsid w:val="002F37C6"/>
    <w:rsid w:val="002F4867"/>
    <w:rsid w:val="002F53ED"/>
    <w:rsid w:val="002F58E1"/>
    <w:rsid w:val="002F71B9"/>
    <w:rsid w:val="003020DD"/>
    <w:rsid w:val="0030241F"/>
    <w:rsid w:val="00302688"/>
    <w:rsid w:val="003028CE"/>
    <w:rsid w:val="00302E9B"/>
    <w:rsid w:val="003034EE"/>
    <w:rsid w:val="00303640"/>
    <w:rsid w:val="003036E0"/>
    <w:rsid w:val="00303BB6"/>
    <w:rsid w:val="00304A68"/>
    <w:rsid w:val="0031048D"/>
    <w:rsid w:val="003120D3"/>
    <w:rsid w:val="003124CB"/>
    <w:rsid w:val="003133F5"/>
    <w:rsid w:val="00313441"/>
    <w:rsid w:val="00313FBE"/>
    <w:rsid w:val="00314F70"/>
    <w:rsid w:val="00315A8C"/>
    <w:rsid w:val="003161AE"/>
    <w:rsid w:val="003175E8"/>
    <w:rsid w:val="003209D7"/>
    <w:rsid w:val="00321219"/>
    <w:rsid w:val="0032172D"/>
    <w:rsid w:val="00322022"/>
    <w:rsid w:val="003222B1"/>
    <w:rsid w:val="00322959"/>
    <w:rsid w:val="00322B0A"/>
    <w:rsid w:val="00323554"/>
    <w:rsid w:val="00324738"/>
    <w:rsid w:val="00324BF5"/>
    <w:rsid w:val="0032584B"/>
    <w:rsid w:val="00331079"/>
    <w:rsid w:val="00331E01"/>
    <w:rsid w:val="00332ADB"/>
    <w:rsid w:val="00334471"/>
    <w:rsid w:val="003349B7"/>
    <w:rsid w:val="0033512B"/>
    <w:rsid w:val="0033584C"/>
    <w:rsid w:val="003368A8"/>
    <w:rsid w:val="00337E21"/>
    <w:rsid w:val="003400AD"/>
    <w:rsid w:val="00340A77"/>
    <w:rsid w:val="00340B9F"/>
    <w:rsid w:val="00340FE1"/>
    <w:rsid w:val="00341E69"/>
    <w:rsid w:val="003429C4"/>
    <w:rsid w:val="0034435C"/>
    <w:rsid w:val="00344C54"/>
    <w:rsid w:val="00344FD2"/>
    <w:rsid w:val="00345E34"/>
    <w:rsid w:val="00346814"/>
    <w:rsid w:val="00346946"/>
    <w:rsid w:val="003504E6"/>
    <w:rsid w:val="00350859"/>
    <w:rsid w:val="00350FBF"/>
    <w:rsid w:val="00351397"/>
    <w:rsid w:val="0035144F"/>
    <w:rsid w:val="00352484"/>
    <w:rsid w:val="003555DA"/>
    <w:rsid w:val="00355E69"/>
    <w:rsid w:val="003566FF"/>
    <w:rsid w:val="00356F2C"/>
    <w:rsid w:val="003579EE"/>
    <w:rsid w:val="0036030A"/>
    <w:rsid w:val="00361404"/>
    <w:rsid w:val="0036178D"/>
    <w:rsid w:val="00362EF1"/>
    <w:rsid w:val="00363D58"/>
    <w:rsid w:val="0036436B"/>
    <w:rsid w:val="00364CFA"/>
    <w:rsid w:val="00365D94"/>
    <w:rsid w:val="00365E8B"/>
    <w:rsid w:val="0036624B"/>
    <w:rsid w:val="00367C70"/>
    <w:rsid w:val="00370733"/>
    <w:rsid w:val="00370813"/>
    <w:rsid w:val="0037119A"/>
    <w:rsid w:val="003716A0"/>
    <w:rsid w:val="00374181"/>
    <w:rsid w:val="003749F9"/>
    <w:rsid w:val="00374E0A"/>
    <w:rsid w:val="00375A44"/>
    <w:rsid w:val="00375AD9"/>
    <w:rsid w:val="003764F8"/>
    <w:rsid w:val="00377252"/>
    <w:rsid w:val="003779BA"/>
    <w:rsid w:val="00380A8E"/>
    <w:rsid w:val="00382389"/>
    <w:rsid w:val="003841CA"/>
    <w:rsid w:val="00384721"/>
    <w:rsid w:val="00384C9B"/>
    <w:rsid w:val="0038527E"/>
    <w:rsid w:val="00385FC1"/>
    <w:rsid w:val="00386A0E"/>
    <w:rsid w:val="00387AE4"/>
    <w:rsid w:val="0039046E"/>
    <w:rsid w:val="00390BD8"/>
    <w:rsid w:val="00390F8A"/>
    <w:rsid w:val="00391A20"/>
    <w:rsid w:val="00392929"/>
    <w:rsid w:val="00393538"/>
    <w:rsid w:val="00393614"/>
    <w:rsid w:val="00393CAD"/>
    <w:rsid w:val="0039426D"/>
    <w:rsid w:val="00394296"/>
    <w:rsid w:val="003946C4"/>
    <w:rsid w:val="003948D7"/>
    <w:rsid w:val="00395663"/>
    <w:rsid w:val="003956AD"/>
    <w:rsid w:val="00396A16"/>
    <w:rsid w:val="00397687"/>
    <w:rsid w:val="003A03C4"/>
    <w:rsid w:val="003A054E"/>
    <w:rsid w:val="003A0589"/>
    <w:rsid w:val="003A1590"/>
    <w:rsid w:val="003A163B"/>
    <w:rsid w:val="003A1F23"/>
    <w:rsid w:val="003A2FD8"/>
    <w:rsid w:val="003A47C1"/>
    <w:rsid w:val="003A5A5F"/>
    <w:rsid w:val="003A6259"/>
    <w:rsid w:val="003A64F8"/>
    <w:rsid w:val="003A746D"/>
    <w:rsid w:val="003B091A"/>
    <w:rsid w:val="003B0E64"/>
    <w:rsid w:val="003B0F1C"/>
    <w:rsid w:val="003B1175"/>
    <w:rsid w:val="003B19D3"/>
    <w:rsid w:val="003B1D52"/>
    <w:rsid w:val="003B2558"/>
    <w:rsid w:val="003B320A"/>
    <w:rsid w:val="003B423D"/>
    <w:rsid w:val="003B583B"/>
    <w:rsid w:val="003B59E5"/>
    <w:rsid w:val="003B6876"/>
    <w:rsid w:val="003B6B02"/>
    <w:rsid w:val="003B708A"/>
    <w:rsid w:val="003B70C1"/>
    <w:rsid w:val="003B72B1"/>
    <w:rsid w:val="003B7903"/>
    <w:rsid w:val="003B7969"/>
    <w:rsid w:val="003C03F5"/>
    <w:rsid w:val="003C059A"/>
    <w:rsid w:val="003C1824"/>
    <w:rsid w:val="003C1FFA"/>
    <w:rsid w:val="003C2C2C"/>
    <w:rsid w:val="003C2F24"/>
    <w:rsid w:val="003C38BB"/>
    <w:rsid w:val="003C3F22"/>
    <w:rsid w:val="003C42ED"/>
    <w:rsid w:val="003C7303"/>
    <w:rsid w:val="003C7C19"/>
    <w:rsid w:val="003D0E0A"/>
    <w:rsid w:val="003D1277"/>
    <w:rsid w:val="003D1676"/>
    <w:rsid w:val="003D1B2E"/>
    <w:rsid w:val="003D2530"/>
    <w:rsid w:val="003D3B62"/>
    <w:rsid w:val="003D4419"/>
    <w:rsid w:val="003D575A"/>
    <w:rsid w:val="003D58EC"/>
    <w:rsid w:val="003D6CD6"/>
    <w:rsid w:val="003D7A6F"/>
    <w:rsid w:val="003D7F3C"/>
    <w:rsid w:val="003E04C1"/>
    <w:rsid w:val="003E0941"/>
    <w:rsid w:val="003E0C6F"/>
    <w:rsid w:val="003E1413"/>
    <w:rsid w:val="003E1FDD"/>
    <w:rsid w:val="003E2E7A"/>
    <w:rsid w:val="003E3B41"/>
    <w:rsid w:val="003E3E78"/>
    <w:rsid w:val="003E44C8"/>
    <w:rsid w:val="003E5646"/>
    <w:rsid w:val="003E5C76"/>
    <w:rsid w:val="003E643F"/>
    <w:rsid w:val="003E7758"/>
    <w:rsid w:val="003E77D2"/>
    <w:rsid w:val="003F04E0"/>
    <w:rsid w:val="003F0BF6"/>
    <w:rsid w:val="003F13F9"/>
    <w:rsid w:val="003F21F3"/>
    <w:rsid w:val="003F2359"/>
    <w:rsid w:val="003F3C02"/>
    <w:rsid w:val="003F3F84"/>
    <w:rsid w:val="003F4712"/>
    <w:rsid w:val="003F52B3"/>
    <w:rsid w:val="003F54B6"/>
    <w:rsid w:val="003F5988"/>
    <w:rsid w:val="003F5C3E"/>
    <w:rsid w:val="003F6729"/>
    <w:rsid w:val="003F7CBB"/>
    <w:rsid w:val="003F7FBF"/>
    <w:rsid w:val="004003FA"/>
    <w:rsid w:val="00400811"/>
    <w:rsid w:val="00401224"/>
    <w:rsid w:val="00402EF2"/>
    <w:rsid w:val="004046A3"/>
    <w:rsid w:val="004054A5"/>
    <w:rsid w:val="004055E0"/>
    <w:rsid w:val="004066F3"/>
    <w:rsid w:val="00406E4B"/>
    <w:rsid w:val="00407B5D"/>
    <w:rsid w:val="0041013C"/>
    <w:rsid w:val="00410816"/>
    <w:rsid w:val="00410B81"/>
    <w:rsid w:val="004113B9"/>
    <w:rsid w:val="004117E5"/>
    <w:rsid w:val="00411D23"/>
    <w:rsid w:val="00412B8E"/>
    <w:rsid w:val="00412D10"/>
    <w:rsid w:val="00412FF8"/>
    <w:rsid w:val="00413C67"/>
    <w:rsid w:val="00414166"/>
    <w:rsid w:val="004142CD"/>
    <w:rsid w:val="00415578"/>
    <w:rsid w:val="00416159"/>
    <w:rsid w:val="00417146"/>
    <w:rsid w:val="00417ABE"/>
    <w:rsid w:val="00417AC3"/>
    <w:rsid w:val="00417B35"/>
    <w:rsid w:val="00417B9D"/>
    <w:rsid w:val="00417C25"/>
    <w:rsid w:val="00417F76"/>
    <w:rsid w:val="004209C0"/>
    <w:rsid w:val="00420D76"/>
    <w:rsid w:val="00421A38"/>
    <w:rsid w:val="00421D2C"/>
    <w:rsid w:val="00423DCB"/>
    <w:rsid w:val="00427D05"/>
    <w:rsid w:val="0043068B"/>
    <w:rsid w:val="004308A9"/>
    <w:rsid w:val="004325BB"/>
    <w:rsid w:val="0043307A"/>
    <w:rsid w:val="00434130"/>
    <w:rsid w:val="004344CF"/>
    <w:rsid w:val="0043639E"/>
    <w:rsid w:val="004365A7"/>
    <w:rsid w:val="00437637"/>
    <w:rsid w:val="00440809"/>
    <w:rsid w:val="004408E9"/>
    <w:rsid w:val="00441B6D"/>
    <w:rsid w:val="00442654"/>
    <w:rsid w:val="00442DB1"/>
    <w:rsid w:val="0044338E"/>
    <w:rsid w:val="0044360B"/>
    <w:rsid w:val="00444D00"/>
    <w:rsid w:val="00444F71"/>
    <w:rsid w:val="0044551D"/>
    <w:rsid w:val="00445574"/>
    <w:rsid w:val="0044570D"/>
    <w:rsid w:val="004459D2"/>
    <w:rsid w:val="00445ACA"/>
    <w:rsid w:val="004466A6"/>
    <w:rsid w:val="004468A1"/>
    <w:rsid w:val="00447B4E"/>
    <w:rsid w:val="00447CE0"/>
    <w:rsid w:val="00450F07"/>
    <w:rsid w:val="0045123D"/>
    <w:rsid w:val="004518D6"/>
    <w:rsid w:val="00451E94"/>
    <w:rsid w:val="004526F3"/>
    <w:rsid w:val="00454ABC"/>
    <w:rsid w:val="0045524D"/>
    <w:rsid w:val="00455253"/>
    <w:rsid w:val="00455946"/>
    <w:rsid w:val="004562FF"/>
    <w:rsid w:val="004564CF"/>
    <w:rsid w:val="004568DF"/>
    <w:rsid w:val="00457577"/>
    <w:rsid w:val="00460207"/>
    <w:rsid w:val="004609A6"/>
    <w:rsid w:val="00461093"/>
    <w:rsid w:val="004616DC"/>
    <w:rsid w:val="00461B48"/>
    <w:rsid w:val="00461CDB"/>
    <w:rsid w:val="00463668"/>
    <w:rsid w:val="004640EE"/>
    <w:rsid w:val="00464631"/>
    <w:rsid w:val="00465F55"/>
    <w:rsid w:val="004660CB"/>
    <w:rsid w:val="004663DE"/>
    <w:rsid w:val="00466CE9"/>
    <w:rsid w:val="00466DBE"/>
    <w:rsid w:val="00466EE2"/>
    <w:rsid w:val="004674C4"/>
    <w:rsid w:val="00467D56"/>
    <w:rsid w:val="0047083B"/>
    <w:rsid w:val="00471044"/>
    <w:rsid w:val="004714BA"/>
    <w:rsid w:val="00472F6A"/>
    <w:rsid w:val="00473A95"/>
    <w:rsid w:val="00473F38"/>
    <w:rsid w:val="0047410A"/>
    <w:rsid w:val="0047430E"/>
    <w:rsid w:val="004748FD"/>
    <w:rsid w:val="00475C64"/>
    <w:rsid w:val="00477458"/>
    <w:rsid w:val="00477986"/>
    <w:rsid w:val="00480004"/>
    <w:rsid w:val="00480095"/>
    <w:rsid w:val="0048033B"/>
    <w:rsid w:val="00480517"/>
    <w:rsid w:val="00481040"/>
    <w:rsid w:val="0048125E"/>
    <w:rsid w:val="004818EA"/>
    <w:rsid w:val="004819F6"/>
    <w:rsid w:val="00481F58"/>
    <w:rsid w:val="004823D6"/>
    <w:rsid w:val="0048315F"/>
    <w:rsid w:val="0048318E"/>
    <w:rsid w:val="004845B7"/>
    <w:rsid w:val="004846D8"/>
    <w:rsid w:val="00485DE8"/>
    <w:rsid w:val="0048689C"/>
    <w:rsid w:val="00486B26"/>
    <w:rsid w:val="00486B7D"/>
    <w:rsid w:val="00487210"/>
    <w:rsid w:val="00487564"/>
    <w:rsid w:val="004878E6"/>
    <w:rsid w:val="004906E9"/>
    <w:rsid w:val="00490EE9"/>
    <w:rsid w:val="00491BE5"/>
    <w:rsid w:val="004924A0"/>
    <w:rsid w:val="004928B0"/>
    <w:rsid w:val="00493094"/>
    <w:rsid w:val="00493C8E"/>
    <w:rsid w:val="00494405"/>
    <w:rsid w:val="0049449E"/>
    <w:rsid w:val="0049453E"/>
    <w:rsid w:val="00495977"/>
    <w:rsid w:val="00495F48"/>
    <w:rsid w:val="0049624A"/>
    <w:rsid w:val="00496501"/>
    <w:rsid w:val="00496845"/>
    <w:rsid w:val="00497D91"/>
    <w:rsid w:val="004A13BA"/>
    <w:rsid w:val="004A14A4"/>
    <w:rsid w:val="004A1FC0"/>
    <w:rsid w:val="004A2750"/>
    <w:rsid w:val="004A31A5"/>
    <w:rsid w:val="004A390F"/>
    <w:rsid w:val="004A3A7C"/>
    <w:rsid w:val="004A4AFB"/>
    <w:rsid w:val="004A5DFD"/>
    <w:rsid w:val="004A62CF"/>
    <w:rsid w:val="004A6441"/>
    <w:rsid w:val="004A6D5A"/>
    <w:rsid w:val="004A6DE3"/>
    <w:rsid w:val="004A7978"/>
    <w:rsid w:val="004B057C"/>
    <w:rsid w:val="004B0B33"/>
    <w:rsid w:val="004B5E05"/>
    <w:rsid w:val="004B762F"/>
    <w:rsid w:val="004B7A21"/>
    <w:rsid w:val="004C0249"/>
    <w:rsid w:val="004C042D"/>
    <w:rsid w:val="004C1B8C"/>
    <w:rsid w:val="004C486E"/>
    <w:rsid w:val="004C486F"/>
    <w:rsid w:val="004C6705"/>
    <w:rsid w:val="004C6A78"/>
    <w:rsid w:val="004D0515"/>
    <w:rsid w:val="004D17DA"/>
    <w:rsid w:val="004D1F53"/>
    <w:rsid w:val="004D2476"/>
    <w:rsid w:val="004D27BB"/>
    <w:rsid w:val="004D36A1"/>
    <w:rsid w:val="004D3824"/>
    <w:rsid w:val="004D480E"/>
    <w:rsid w:val="004D5D42"/>
    <w:rsid w:val="004D5EB7"/>
    <w:rsid w:val="004D5F5F"/>
    <w:rsid w:val="004D62FB"/>
    <w:rsid w:val="004D702D"/>
    <w:rsid w:val="004E08A8"/>
    <w:rsid w:val="004E0E6F"/>
    <w:rsid w:val="004E1104"/>
    <w:rsid w:val="004E2F83"/>
    <w:rsid w:val="004E2FFF"/>
    <w:rsid w:val="004E337D"/>
    <w:rsid w:val="004E3AC2"/>
    <w:rsid w:val="004E4562"/>
    <w:rsid w:val="004E456F"/>
    <w:rsid w:val="004E50BE"/>
    <w:rsid w:val="004E5403"/>
    <w:rsid w:val="004E64E3"/>
    <w:rsid w:val="004E6FDB"/>
    <w:rsid w:val="004E726C"/>
    <w:rsid w:val="004E7331"/>
    <w:rsid w:val="004F028A"/>
    <w:rsid w:val="004F0313"/>
    <w:rsid w:val="004F0679"/>
    <w:rsid w:val="004F0895"/>
    <w:rsid w:val="004F2E68"/>
    <w:rsid w:val="004F34CD"/>
    <w:rsid w:val="004F436B"/>
    <w:rsid w:val="004F5061"/>
    <w:rsid w:val="004F5639"/>
    <w:rsid w:val="004F5E4F"/>
    <w:rsid w:val="004F5F97"/>
    <w:rsid w:val="004F6A47"/>
    <w:rsid w:val="004F6B78"/>
    <w:rsid w:val="004F6CCD"/>
    <w:rsid w:val="004F6FFB"/>
    <w:rsid w:val="005008B1"/>
    <w:rsid w:val="00501096"/>
    <w:rsid w:val="005012A5"/>
    <w:rsid w:val="0050211F"/>
    <w:rsid w:val="00503497"/>
    <w:rsid w:val="005040DA"/>
    <w:rsid w:val="005042B5"/>
    <w:rsid w:val="00504DEF"/>
    <w:rsid w:val="005052C5"/>
    <w:rsid w:val="00505B49"/>
    <w:rsid w:val="00505FE1"/>
    <w:rsid w:val="0050657E"/>
    <w:rsid w:val="005068DB"/>
    <w:rsid w:val="00507EE1"/>
    <w:rsid w:val="00511A67"/>
    <w:rsid w:val="00512603"/>
    <w:rsid w:val="005127CD"/>
    <w:rsid w:val="00514782"/>
    <w:rsid w:val="00514C72"/>
    <w:rsid w:val="00514D58"/>
    <w:rsid w:val="005160EA"/>
    <w:rsid w:val="00516CE5"/>
    <w:rsid w:val="005170CF"/>
    <w:rsid w:val="005170F0"/>
    <w:rsid w:val="00517EF8"/>
    <w:rsid w:val="00520095"/>
    <w:rsid w:val="005208A4"/>
    <w:rsid w:val="00521933"/>
    <w:rsid w:val="00521E1D"/>
    <w:rsid w:val="00523467"/>
    <w:rsid w:val="005234BD"/>
    <w:rsid w:val="005236A6"/>
    <w:rsid w:val="005243C7"/>
    <w:rsid w:val="005247F7"/>
    <w:rsid w:val="00524844"/>
    <w:rsid w:val="00524A3A"/>
    <w:rsid w:val="00524F7C"/>
    <w:rsid w:val="005268A0"/>
    <w:rsid w:val="00526AB1"/>
    <w:rsid w:val="005272B5"/>
    <w:rsid w:val="005272CA"/>
    <w:rsid w:val="0052759C"/>
    <w:rsid w:val="00527917"/>
    <w:rsid w:val="005305CF"/>
    <w:rsid w:val="00530E2A"/>
    <w:rsid w:val="005313F1"/>
    <w:rsid w:val="00531F8E"/>
    <w:rsid w:val="00532B50"/>
    <w:rsid w:val="00533529"/>
    <w:rsid w:val="00534626"/>
    <w:rsid w:val="00534791"/>
    <w:rsid w:val="0053488C"/>
    <w:rsid w:val="00535CF0"/>
    <w:rsid w:val="005368D1"/>
    <w:rsid w:val="0053792A"/>
    <w:rsid w:val="005379AF"/>
    <w:rsid w:val="005405AE"/>
    <w:rsid w:val="005408A2"/>
    <w:rsid w:val="00540967"/>
    <w:rsid w:val="005412EA"/>
    <w:rsid w:val="00542440"/>
    <w:rsid w:val="00542988"/>
    <w:rsid w:val="00542A0F"/>
    <w:rsid w:val="00543902"/>
    <w:rsid w:val="00543C34"/>
    <w:rsid w:val="0054474A"/>
    <w:rsid w:val="00544E63"/>
    <w:rsid w:val="00545194"/>
    <w:rsid w:val="00545828"/>
    <w:rsid w:val="00545AF6"/>
    <w:rsid w:val="00546F06"/>
    <w:rsid w:val="00547248"/>
    <w:rsid w:val="00547B39"/>
    <w:rsid w:val="00547F7E"/>
    <w:rsid w:val="00550CDF"/>
    <w:rsid w:val="00551414"/>
    <w:rsid w:val="00551681"/>
    <w:rsid w:val="00553B23"/>
    <w:rsid w:val="00553B89"/>
    <w:rsid w:val="00553C0D"/>
    <w:rsid w:val="00554F90"/>
    <w:rsid w:val="0055684C"/>
    <w:rsid w:val="0055702D"/>
    <w:rsid w:val="005605BC"/>
    <w:rsid w:val="00560B77"/>
    <w:rsid w:val="00561050"/>
    <w:rsid w:val="00561CDF"/>
    <w:rsid w:val="0056245B"/>
    <w:rsid w:val="00563580"/>
    <w:rsid w:val="00563AB2"/>
    <w:rsid w:val="00564177"/>
    <w:rsid w:val="00564F57"/>
    <w:rsid w:val="00565149"/>
    <w:rsid w:val="005666CA"/>
    <w:rsid w:val="0056701C"/>
    <w:rsid w:val="005672B8"/>
    <w:rsid w:val="005716F0"/>
    <w:rsid w:val="00571872"/>
    <w:rsid w:val="0057268B"/>
    <w:rsid w:val="00573893"/>
    <w:rsid w:val="00573E7E"/>
    <w:rsid w:val="005743F0"/>
    <w:rsid w:val="00574904"/>
    <w:rsid w:val="00574DF3"/>
    <w:rsid w:val="005766DD"/>
    <w:rsid w:val="00576F95"/>
    <w:rsid w:val="0057734F"/>
    <w:rsid w:val="0057781B"/>
    <w:rsid w:val="00577CF2"/>
    <w:rsid w:val="00577F2F"/>
    <w:rsid w:val="00577FB3"/>
    <w:rsid w:val="00580507"/>
    <w:rsid w:val="00580A8E"/>
    <w:rsid w:val="00580D93"/>
    <w:rsid w:val="00581A0B"/>
    <w:rsid w:val="00584013"/>
    <w:rsid w:val="00584A05"/>
    <w:rsid w:val="0058579C"/>
    <w:rsid w:val="00586AB6"/>
    <w:rsid w:val="005875BD"/>
    <w:rsid w:val="005879B3"/>
    <w:rsid w:val="00590E5F"/>
    <w:rsid w:val="00591667"/>
    <w:rsid w:val="00591D78"/>
    <w:rsid w:val="005922FA"/>
    <w:rsid w:val="005925AF"/>
    <w:rsid w:val="0059279C"/>
    <w:rsid w:val="00592866"/>
    <w:rsid w:val="00592DF3"/>
    <w:rsid w:val="00594C87"/>
    <w:rsid w:val="00594E0A"/>
    <w:rsid w:val="00595DC4"/>
    <w:rsid w:val="005964CD"/>
    <w:rsid w:val="00596C35"/>
    <w:rsid w:val="005975D7"/>
    <w:rsid w:val="005A069A"/>
    <w:rsid w:val="005A1F8F"/>
    <w:rsid w:val="005A2998"/>
    <w:rsid w:val="005A3623"/>
    <w:rsid w:val="005A4B77"/>
    <w:rsid w:val="005A6A56"/>
    <w:rsid w:val="005A706A"/>
    <w:rsid w:val="005A73A0"/>
    <w:rsid w:val="005A785C"/>
    <w:rsid w:val="005A7A70"/>
    <w:rsid w:val="005B0560"/>
    <w:rsid w:val="005B10F2"/>
    <w:rsid w:val="005B1321"/>
    <w:rsid w:val="005B28DE"/>
    <w:rsid w:val="005B3CFC"/>
    <w:rsid w:val="005B40A5"/>
    <w:rsid w:val="005B4653"/>
    <w:rsid w:val="005B4946"/>
    <w:rsid w:val="005B4CF7"/>
    <w:rsid w:val="005B6A4B"/>
    <w:rsid w:val="005B6B62"/>
    <w:rsid w:val="005B6F1C"/>
    <w:rsid w:val="005B72F5"/>
    <w:rsid w:val="005B73BA"/>
    <w:rsid w:val="005B7833"/>
    <w:rsid w:val="005C0221"/>
    <w:rsid w:val="005C19D3"/>
    <w:rsid w:val="005C2B1B"/>
    <w:rsid w:val="005C420B"/>
    <w:rsid w:val="005C45E2"/>
    <w:rsid w:val="005C515D"/>
    <w:rsid w:val="005C5BD2"/>
    <w:rsid w:val="005C7792"/>
    <w:rsid w:val="005C7C54"/>
    <w:rsid w:val="005C7F97"/>
    <w:rsid w:val="005D0A6F"/>
    <w:rsid w:val="005D1CF2"/>
    <w:rsid w:val="005D386D"/>
    <w:rsid w:val="005D52D7"/>
    <w:rsid w:val="005D64F6"/>
    <w:rsid w:val="005D6DDF"/>
    <w:rsid w:val="005E0BE4"/>
    <w:rsid w:val="005E0E4B"/>
    <w:rsid w:val="005E297F"/>
    <w:rsid w:val="005E2AE3"/>
    <w:rsid w:val="005E2B8D"/>
    <w:rsid w:val="005E3560"/>
    <w:rsid w:val="005E3A3E"/>
    <w:rsid w:val="005E3E95"/>
    <w:rsid w:val="005E4698"/>
    <w:rsid w:val="005E4E36"/>
    <w:rsid w:val="005E7703"/>
    <w:rsid w:val="005E7C6A"/>
    <w:rsid w:val="005F03C0"/>
    <w:rsid w:val="005F387D"/>
    <w:rsid w:val="005F38FE"/>
    <w:rsid w:val="005F3A1E"/>
    <w:rsid w:val="005F3BCC"/>
    <w:rsid w:val="005F3F88"/>
    <w:rsid w:val="005F44BE"/>
    <w:rsid w:val="005F4B31"/>
    <w:rsid w:val="005F5889"/>
    <w:rsid w:val="005F5BAB"/>
    <w:rsid w:val="005F66C4"/>
    <w:rsid w:val="005F7862"/>
    <w:rsid w:val="005F7D2B"/>
    <w:rsid w:val="00600090"/>
    <w:rsid w:val="00600612"/>
    <w:rsid w:val="00601A2A"/>
    <w:rsid w:val="006029AC"/>
    <w:rsid w:val="00602D35"/>
    <w:rsid w:val="0060338D"/>
    <w:rsid w:val="00603B76"/>
    <w:rsid w:val="00603D6A"/>
    <w:rsid w:val="00605582"/>
    <w:rsid w:val="00605C21"/>
    <w:rsid w:val="006065A5"/>
    <w:rsid w:val="00607079"/>
    <w:rsid w:val="006074BF"/>
    <w:rsid w:val="0061002F"/>
    <w:rsid w:val="0061020E"/>
    <w:rsid w:val="006119DC"/>
    <w:rsid w:val="00611D6A"/>
    <w:rsid w:val="00612537"/>
    <w:rsid w:val="00612A70"/>
    <w:rsid w:val="00613A9D"/>
    <w:rsid w:val="00613B01"/>
    <w:rsid w:val="006151A4"/>
    <w:rsid w:val="006153AA"/>
    <w:rsid w:val="006161BF"/>
    <w:rsid w:val="00616B49"/>
    <w:rsid w:val="00616C69"/>
    <w:rsid w:val="00617E2F"/>
    <w:rsid w:val="00617EED"/>
    <w:rsid w:val="00620139"/>
    <w:rsid w:val="00621E57"/>
    <w:rsid w:val="006222C1"/>
    <w:rsid w:val="00622A69"/>
    <w:rsid w:val="00622C9C"/>
    <w:rsid w:val="0062379B"/>
    <w:rsid w:val="00623E25"/>
    <w:rsid w:val="006248D3"/>
    <w:rsid w:val="00624D6C"/>
    <w:rsid w:val="0062506B"/>
    <w:rsid w:val="006260E0"/>
    <w:rsid w:val="006262B7"/>
    <w:rsid w:val="006270CA"/>
    <w:rsid w:val="00630722"/>
    <w:rsid w:val="00630F9A"/>
    <w:rsid w:val="0063330D"/>
    <w:rsid w:val="00633340"/>
    <w:rsid w:val="00634294"/>
    <w:rsid w:val="00634A00"/>
    <w:rsid w:val="00634FCE"/>
    <w:rsid w:val="00635190"/>
    <w:rsid w:val="0063556D"/>
    <w:rsid w:val="00635942"/>
    <w:rsid w:val="00635A37"/>
    <w:rsid w:val="00635B73"/>
    <w:rsid w:val="00635E42"/>
    <w:rsid w:val="00635F41"/>
    <w:rsid w:val="006360FE"/>
    <w:rsid w:val="006369D8"/>
    <w:rsid w:val="00637681"/>
    <w:rsid w:val="0063784E"/>
    <w:rsid w:val="0064029C"/>
    <w:rsid w:val="00640D0E"/>
    <w:rsid w:val="0064113D"/>
    <w:rsid w:val="00641FD2"/>
    <w:rsid w:val="00642397"/>
    <w:rsid w:val="00643E6E"/>
    <w:rsid w:val="006442EC"/>
    <w:rsid w:val="0064452E"/>
    <w:rsid w:val="00644572"/>
    <w:rsid w:val="00644C0C"/>
    <w:rsid w:val="00644C87"/>
    <w:rsid w:val="00644FA1"/>
    <w:rsid w:val="00645796"/>
    <w:rsid w:val="00645F50"/>
    <w:rsid w:val="00645FBB"/>
    <w:rsid w:val="00646159"/>
    <w:rsid w:val="006466DC"/>
    <w:rsid w:val="006467C6"/>
    <w:rsid w:val="00646A12"/>
    <w:rsid w:val="00646A86"/>
    <w:rsid w:val="00647190"/>
    <w:rsid w:val="006478E7"/>
    <w:rsid w:val="00647E17"/>
    <w:rsid w:val="00650500"/>
    <w:rsid w:val="00652161"/>
    <w:rsid w:val="006523AE"/>
    <w:rsid w:val="006527B9"/>
    <w:rsid w:val="00652860"/>
    <w:rsid w:val="00652882"/>
    <w:rsid w:val="00652BBC"/>
    <w:rsid w:val="0065340B"/>
    <w:rsid w:val="00656B4A"/>
    <w:rsid w:val="00656F74"/>
    <w:rsid w:val="0065752F"/>
    <w:rsid w:val="00660816"/>
    <w:rsid w:val="006608D8"/>
    <w:rsid w:val="00660D59"/>
    <w:rsid w:val="00660EEB"/>
    <w:rsid w:val="0066100C"/>
    <w:rsid w:val="00661027"/>
    <w:rsid w:val="00661732"/>
    <w:rsid w:val="0066178B"/>
    <w:rsid w:val="0066325D"/>
    <w:rsid w:val="00665BCF"/>
    <w:rsid w:val="00665C85"/>
    <w:rsid w:val="0066657B"/>
    <w:rsid w:val="00666D3A"/>
    <w:rsid w:val="0066799F"/>
    <w:rsid w:val="00667AF8"/>
    <w:rsid w:val="00670B78"/>
    <w:rsid w:val="00670DCB"/>
    <w:rsid w:val="00670E90"/>
    <w:rsid w:val="00671631"/>
    <w:rsid w:val="006739E8"/>
    <w:rsid w:val="0067480B"/>
    <w:rsid w:val="00675D51"/>
    <w:rsid w:val="0067654C"/>
    <w:rsid w:val="00677657"/>
    <w:rsid w:val="00677669"/>
    <w:rsid w:val="006806F8"/>
    <w:rsid w:val="0068254C"/>
    <w:rsid w:val="00684E1D"/>
    <w:rsid w:val="00685338"/>
    <w:rsid w:val="006865AB"/>
    <w:rsid w:val="00687F4E"/>
    <w:rsid w:val="00690C62"/>
    <w:rsid w:val="006920C7"/>
    <w:rsid w:val="00693070"/>
    <w:rsid w:val="0069403E"/>
    <w:rsid w:val="00694C32"/>
    <w:rsid w:val="00694CF8"/>
    <w:rsid w:val="00695042"/>
    <w:rsid w:val="00696A89"/>
    <w:rsid w:val="00696B22"/>
    <w:rsid w:val="00697C6D"/>
    <w:rsid w:val="006A09A4"/>
    <w:rsid w:val="006A1135"/>
    <w:rsid w:val="006A3E01"/>
    <w:rsid w:val="006A446E"/>
    <w:rsid w:val="006A50A1"/>
    <w:rsid w:val="006A5385"/>
    <w:rsid w:val="006A5401"/>
    <w:rsid w:val="006A5B8F"/>
    <w:rsid w:val="006A6673"/>
    <w:rsid w:val="006A7BBD"/>
    <w:rsid w:val="006A7D32"/>
    <w:rsid w:val="006A7F27"/>
    <w:rsid w:val="006B034E"/>
    <w:rsid w:val="006B09F3"/>
    <w:rsid w:val="006B0D09"/>
    <w:rsid w:val="006B224C"/>
    <w:rsid w:val="006B4059"/>
    <w:rsid w:val="006B59E5"/>
    <w:rsid w:val="006B76C0"/>
    <w:rsid w:val="006B785C"/>
    <w:rsid w:val="006C017E"/>
    <w:rsid w:val="006C04BA"/>
    <w:rsid w:val="006C04F2"/>
    <w:rsid w:val="006C09B2"/>
    <w:rsid w:val="006C0A57"/>
    <w:rsid w:val="006C0F4C"/>
    <w:rsid w:val="006C1FB8"/>
    <w:rsid w:val="006C2386"/>
    <w:rsid w:val="006C2919"/>
    <w:rsid w:val="006C30A3"/>
    <w:rsid w:val="006C3903"/>
    <w:rsid w:val="006C3DF7"/>
    <w:rsid w:val="006C4618"/>
    <w:rsid w:val="006C48B2"/>
    <w:rsid w:val="006C5833"/>
    <w:rsid w:val="006C5EF1"/>
    <w:rsid w:val="006C6202"/>
    <w:rsid w:val="006C6F5C"/>
    <w:rsid w:val="006C757E"/>
    <w:rsid w:val="006C75F2"/>
    <w:rsid w:val="006D010C"/>
    <w:rsid w:val="006D16BC"/>
    <w:rsid w:val="006D31DA"/>
    <w:rsid w:val="006D3438"/>
    <w:rsid w:val="006D38A1"/>
    <w:rsid w:val="006D4FAA"/>
    <w:rsid w:val="006D591B"/>
    <w:rsid w:val="006D682E"/>
    <w:rsid w:val="006D690B"/>
    <w:rsid w:val="006D6F34"/>
    <w:rsid w:val="006D7A57"/>
    <w:rsid w:val="006E0130"/>
    <w:rsid w:val="006E11CF"/>
    <w:rsid w:val="006E13B4"/>
    <w:rsid w:val="006E18EB"/>
    <w:rsid w:val="006E1A95"/>
    <w:rsid w:val="006E211C"/>
    <w:rsid w:val="006E25BB"/>
    <w:rsid w:val="006E301F"/>
    <w:rsid w:val="006E3938"/>
    <w:rsid w:val="006E39E4"/>
    <w:rsid w:val="006E4CF8"/>
    <w:rsid w:val="006E5A28"/>
    <w:rsid w:val="006E5B25"/>
    <w:rsid w:val="006E7694"/>
    <w:rsid w:val="006F0F2E"/>
    <w:rsid w:val="006F1627"/>
    <w:rsid w:val="006F1A2E"/>
    <w:rsid w:val="006F1F8C"/>
    <w:rsid w:val="006F3103"/>
    <w:rsid w:val="006F360A"/>
    <w:rsid w:val="006F4C97"/>
    <w:rsid w:val="006F595F"/>
    <w:rsid w:val="006F68B9"/>
    <w:rsid w:val="006F6D65"/>
    <w:rsid w:val="006F7355"/>
    <w:rsid w:val="006F73EC"/>
    <w:rsid w:val="00700913"/>
    <w:rsid w:val="00701209"/>
    <w:rsid w:val="00701836"/>
    <w:rsid w:val="00701A84"/>
    <w:rsid w:val="00703303"/>
    <w:rsid w:val="007044D0"/>
    <w:rsid w:val="00704940"/>
    <w:rsid w:val="0070506D"/>
    <w:rsid w:val="0070540C"/>
    <w:rsid w:val="00705B44"/>
    <w:rsid w:val="00705B54"/>
    <w:rsid w:val="007062CF"/>
    <w:rsid w:val="007070E4"/>
    <w:rsid w:val="007075BE"/>
    <w:rsid w:val="007075EB"/>
    <w:rsid w:val="00707667"/>
    <w:rsid w:val="0071057F"/>
    <w:rsid w:val="00711038"/>
    <w:rsid w:val="0071115F"/>
    <w:rsid w:val="00711EA6"/>
    <w:rsid w:val="00712A20"/>
    <w:rsid w:val="0071597C"/>
    <w:rsid w:val="00716297"/>
    <w:rsid w:val="007169D6"/>
    <w:rsid w:val="00716E09"/>
    <w:rsid w:val="007175D4"/>
    <w:rsid w:val="007200EE"/>
    <w:rsid w:val="00721B98"/>
    <w:rsid w:val="007221EB"/>
    <w:rsid w:val="00722646"/>
    <w:rsid w:val="00722BBC"/>
    <w:rsid w:val="00723209"/>
    <w:rsid w:val="00723408"/>
    <w:rsid w:val="007241F0"/>
    <w:rsid w:val="0072420A"/>
    <w:rsid w:val="0072552C"/>
    <w:rsid w:val="007258E9"/>
    <w:rsid w:val="00727E79"/>
    <w:rsid w:val="00730D1D"/>
    <w:rsid w:val="0073205F"/>
    <w:rsid w:val="00733BE6"/>
    <w:rsid w:val="00734103"/>
    <w:rsid w:val="007355BE"/>
    <w:rsid w:val="00735FF0"/>
    <w:rsid w:val="0073782E"/>
    <w:rsid w:val="0073783E"/>
    <w:rsid w:val="00737A92"/>
    <w:rsid w:val="00740029"/>
    <w:rsid w:val="0074108A"/>
    <w:rsid w:val="00744A87"/>
    <w:rsid w:val="0074734A"/>
    <w:rsid w:val="0075076C"/>
    <w:rsid w:val="00750BCB"/>
    <w:rsid w:val="00751056"/>
    <w:rsid w:val="00751FD0"/>
    <w:rsid w:val="00752AA1"/>
    <w:rsid w:val="00753817"/>
    <w:rsid w:val="00753CFD"/>
    <w:rsid w:val="00754968"/>
    <w:rsid w:val="00754DAB"/>
    <w:rsid w:val="007569EA"/>
    <w:rsid w:val="00757733"/>
    <w:rsid w:val="00757992"/>
    <w:rsid w:val="00760A2D"/>
    <w:rsid w:val="00760B0A"/>
    <w:rsid w:val="00762204"/>
    <w:rsid w:val="00762797"/>
    <w:rsid w:val="007629B4"/>
    <w:rsid w:val="00763967"/>
    <w:rsid w:val="007646F9"/>
    <w:rsid w:val="00765F06"/>
    <w:rsid w:val="007668A7"/>
    <w:rsid w:val="00771DCD"/>
    <w:rsid w:val="00773C5D"/>
    <w:rsid w:val="00773E9D"/>
    <w:rsid w:val="00774BDB"/>
    <w:rsid w:val="0077500B"/>
    <w:rsid w:val="00775CE0"/>
    <w:rsid w:val="00776713"/>
    <w:rsid w:val="00776AC6"/>
    <w:rsid w:val="00777990"/>
    <w:rsid w:val="00777BBC"/>
    <w:rsid w:val="00780DCA"/>
    <w:rsid w:val="007820AE"/>
    <w:rsid w:val="007822D2"/>
    <w:rsid w:val="007823BA"/>
    <w:rsid w:val="007830E2"/>
    <w:rsid w:val="00783934"/>
    <w:rsid w:val="007856F9"/>
    <w:rsid w:val="00785F42"/>
    <w:rsid w:val="00786396"/>
    <w:rsid w:val="00786D3A"/>
    <w:rsid w:val="00790983"/>
    <w:rsid w:val="00790EB9"/>
    <w:rsid w:val="00791440"/>
    <w:rsid w:val="00791B78"/>
    <w:rsid w:val="00791D8C"/>
    <w:rsid w:val="00792894"/>
    <w:rsid w:val="00795477"/>
    <w:rsid w:val="007957EE"/>
    <w:rsid w:val="00795D50"/>
    <w:rsid w:val="00796636"/>
    <w:rsid w:val="007A2F4D"/>
    <w:rsid w:val="007A2F8F"/>
    <w:rsid w:val="007A3DBC"/>
    <w:rsid w:val="007A3F36"/>
    <w:rsid w:val="007A4B60"/>
    <w:rsid w:val="007A508B"/>
    <w:rsid w:val="007A6199"/>
    <w:rsid w:val="007A6275"/>
    <w:rsid w:val="007A630F"/>
    <w:rsid w:val="007A67F2"/>
    <w:rsid w:val="007A6BBC"/>
    <w:rsid w:val="007A797A"/>
    <w:rsid w:val="007B00C3"/>
    <w:rsid w:val="007B1299"/>
    <w:rsid w:val="007B1C36"/>
    <w:rsid w:val="007B1E72"/>
    <w:rsid w:val="007B214E"/>
    <w:rsid w:val="007B217D"/>
    <w:rsid w:val="007B23D6"/>
    <w:rsid w:val="007B2870"/>
    <w:rsid w:val="007B3420"/>
    <w:rsid w:val="007B3E07"/>
    <w:rsid w:val="007B4014"/>
    <w:rsid w:val="007B47A6"/>
    <w:rsid w:val="007B4B4B"/>
    <w:rsid w:val="007B4D85"/>
    <w:rsid w:val="007B4FB4"/>
    <w:rsid w:val="007B5B06"/>
    <w:rsid w:val="007B796D"/>
    <w:rsid w:val="007B7A43"/>
    <w:rsid w:val="007C05F5"/>
    <w:rsid w:val="007C30EB"/>
    <w:rsid w:val="007C314A"/>
    <w:rsid w:val="007C35E8"/>
    <w:rsid w:val="007C37DA"/>
    <w:rsid w:val="007C432F"/>
    <w:rsid w:val="007C4605"/>
    <w:rsid w:val="007C4CB6"/>
    <w:rsid w:val="007C5446"/>
    <w:rsid w:val="007C5CDF"/>
    <w:rsid w:val="007C665F"/>
    <w:rsid w:val="007C6779"/>
    <w:rsid w:val="007C6C88"/>
    <w:rsid w:val="007C7DE0"/>
    <w:rsid w:val="007D0D6F"/>
    <w:rsid w:val="007D117D"/>
    <w:rsid w:val="007D17A1"/>
    <w:rsid w:val="007D2188"/>
    <w:rsid w:val="007D2656"/>
    <w:rsid w:val="007D2D93"/>
    <w:rsid w:val="007D36D2"/>
    <w:rsid w:val="007D3871"/>
    <w:rsid w:val="007D44CA"/>
    <w:rsid w:val="007D5F9D"/>
    <w:rsid w:val="007D656A"/>
    <w:rsid w:val="007D688D"/>
    <w:rsid w:val="007D711A"/>
    <w:rsid w:val="007D7A80"/>
    <w:rsid w:val="007D7F8A"/>
    <w:rsid w:val="007E06D3"/>
    <w:rsid w:val="007E19A6"/>
    <w:rsid w:val="007E1DBA"/>
    <w:rsid w:val="007E2286"/>
    <w:rsid w:val="007E238B"/>
    <w:rsid w:val="007E36B5"/>
    <w:rsid w:val="007E443A"/>
    <w:rsid w:val="007E49CC"/>
    <w:rsid w:val="007E50E5"/>
    <w:rsid w:val="007E7AE0"/>
    <w:rsid w:val="007F0364"/>
    <w:rsid w:val="007F0995"/>
    <w:rsid w:val="007F0D9C"/>
    <w:rsid w:val="007F0EDB"/>
    <w:rsid w:val="007F246E"/>
    <w:rsid w:val="007F2EB3"/>
    <w:rsid w:val="007F6CF0"/>
    <w:rsid w:val="007F6E1F"/>
    <w:rsid w:val="007F6EAB"/>
    <w:rsid w:val="007F76CF"/>
    <w:rsid w:val="008018EC"/>
    <w:rsid w:val="00801D9D"/>
    <w:rsid w:val="008025E5"/>
    <w:rsid w:val="00804A80"/>
    <w:rsid w:val="00804FF6"/>
    <w:rsid w:val="00805C84"/>
    <w:rsid w:val="008060DC"/>
    <w:rsid w:val="0080627B"/>
    <w:rsid w:val="0080644D"/>
    <w:rsid w:val="00806A3E"/>
    <w:rsid w:val="00806F28"/>
    <w:rsid w:val="00807E30"/>
    <w:rsid w:val="0081044F"/>
    <w:rsid w:val="0081137A"/>
    <w:rsid w:val="00811968"/>
    <w:rsid w:val="008132C7"/>
    <w:rsid w:val="00813B48"/>
    <w:rsid w:val="00814AAB"/>
    <w:rsid w:val="00814EA5"/>
    <w:rsid w:val="00815CB9"/>
    <w:rsid w:val="0082044E"/>
    <w:rsid w:val="00820977"/>
    <w:rsid w:val="00820BD6"/>
    <w:rsid w:val="00821390"/>
    <w:rsid w:val="00821EC6"/>
    <w:rsid w:val="00821EDA"/>
    <w:rsid w:val="00822F37"/>
    <w:rsid w:val="008230EB"/>
    <w:rsid w:val="008231F4"/>
    <w:rsid w:val="008232E8"/>
    <w:rsid w:val="00824024"/>
    <w:rsid w:val="0082512B"/>
    <w:rsid w:val="00825206"/>
    <w:rsid w:val="0082639B"/>
    <w:rsid w:val="0082696F"/>
    <w:rsid w:val="0083009D"/>
    <w:rsid w:val="00830814"/>
    <w:rsid w:val="00830816"/>
    <w:rsid w:val="0083149E"/>
    <w:rsid w:val="00832B2E"/>
    <w:rsid w:val="00832D29"/>
    <w:rsid w:val="008359AE"/>
    <w:rsid w:val="00835C17"/>
    <w:rsid w:val="00835FAE"/>
    <w:rsid w:val="00836668"/>
    <w:rsid w:val="00836983"/>
    <w:rsid w:val="00837AC0"/>
    <w:rsid w:val="00837E5A"/>
    <w:rsid w:val="00840495"/>
    <w:rsid w:val="008408E6"/>
    <w:rsid w:val="00840EB3"/>
    <w:rsid w:val="00841662"/>
    <w:rsid w:val="00842212"/>
    <w:rsid w:val="00843974"/>
    <w:rsid w:val="00844A01"/>
    <w:rsid w:val="00844F2E"/>
    <w:rsid w:val="008469AE"/>
    <w:rsid w:val="00847B23"/>
    <w:rsid w:val="00847B6D"/>
    <w:rsid w:val="0085097F"/>
    <w:rsid w:val="00850CAA"/>
    <w:rsid w:val="00850E07"/>
    <w:rsid w:val="00853C86"/>
    <w:rsid w:val="00853D15"/>
    <w:rsid w:val="00854996"/>
    <w:rsid w:val="00854FAA"/>
    <w:rsid w:val="0085557E"/>
    <w:rsid w:val="008559A1"/>
    <w:rsid w:val="00857525"/>
    <w:rsid w:val="00860CB6"/>
    <w:rsid w:val="00860F94"/>
    <w:rsid w:val="00861088"/>
    <w:rsid w:val="00861D02"/>
    <w:rsid w:val="008627AF"/>
    <w:rsid w:val="00862D1C"/>
    <w:rsid w:val="008638EA"/>
    <w:rsid w:val="00863D14"/>
    <w:rsid w:val="008653D8"/>
    <w:rsid w:val="0086587E"/>
    <w:rsid w:val="00865BC5"/>
    <w:rsid w:val="008661E4"/>
    <w:rsid w:val="00866BDB"/>
    <w:rsid w:val="00867184"/>
    <w:rsid w:val="00867699"/>
    <w:rsid w:val="00867CEF"/>
    <w:rsid w:val="00870891"/>
    <w:rsid w:val="00871227"/>
    <w:rsid w:val="00871955"/>
    <w:rsid w:val="00873322"/>
    <w:rsid w:val="008733AB"/>
    <w:rsid w:val="0087388D"/>
    <w:rsid w:val="0087390A"/>
    <w:rsid w:val="00873A51"/>
    <w:rsid w:val="00874205"/>
    <w:rsid w:val="0087447B"/>
    <w:rsid w:val="008757EC"/>
    <w:rsid w:val="00875DEF"/>
    <w:rsid w:val="0087788E"/>
    <w:rsid w:val="00877E0E"/>
    <w:rsid w:val="008803D2"/>
    <w:rsid w:val="00882337"/>
    <w:rsid w:val="00883295"/>
    <w:rsid w:val="00883716"/>
    <w:rsid w:val="00884BC8"/>
    <w:rsid w:val="00884E8D"/>
    <w:rsid w:val="008875E8"/>
    <w:rsid w:val="00890E0D"/>
    <w:rsid w:val="008915C1"/>
    <w:rsid w:val="00891BF7"/>
    <w:rsid w:val="00891CEC"/>
    <w:rsid w:val="00891D54"/>
    <w:rsid w:val="00891F3A"/>
    <w:rsid w:val="00892B6D"/>
    <w:rsid w:val="008938E8"/>
    <w:rsid w:val="0089433B"/>
    <w:rsid w:val="00894D6A"/>
    <w:rsid w:val="00895067"/>
    <w:rsid w:val="00895243"/>
    <w:rsid w:val="00895494"/>
    <w:rsid w:val="00895DAC"/>
    <w:rsid w:val="008A0381"/>
    <w:rsid w:val="008A10BC"/>
    <w:rsid w:val="008A11DD"/>
    <w:rsid w:val="008A13B6"/>
    <w:rsid w:val="008A153C"/>
    <w:rsid w:val="008A2213"/>
    <w:rsid w:val="008A28D7"/>
    <w:rsid w:val="008A3BEB"/>
    <w:rsid w:val="008A3D95"/>
    <w:rsid w:val="008A483D"/>
    <w:rsid w:val="008A4F17"/>
    <w:rsid w:val="008A5118"/>
    <w:rsid w:val="008A6830"/>
    <w:rsid w:val="008A6EEC"/>
    <w:rsid w:val="008A71D1"/>
    <w:rsid w:val="008A7A18"/>
    <w:rsid w:val="008B0F00"/>
    <w:rsid w:val="008B172E"/>
    <w:rsid w:val="008B1C3F"/>
    <w:rsid w:val="008B2281"/>
    <w:rsid w:val="008B2919"/>
    <w:rsid w:val="008B343F"/>
    <w:rsid w:val="008B443A"/>
    <w:rsid w:val="008B473B"/>
    <w:rsid w:val="008B4B64"/>
    <w:rsid w:val="008B5246"/>
    <w:rsid w:val="008B5A06"/>
    <w:rsid w:val="008B5A35"/>
    <w:rsid w:val="008B6384"/>
    <w:rsid w:val="008B6E45"/>
    <w:rsid w:val="008B6F74"/>
    <w:rsid w:val="008C0553"/>
    <w:rsid w:val="008C0B6F"/>
    <w:rsid w:val="008C0DD1"/>
    <w:rsid w:val="008C117B"/>
    <w:rsid w:val="008C18AE"/>
    <w:rsid w:val="008C18CB"/>
    <w:rsid w:val="008C32BB"/>
    <w:rsid w:val="008C3C0D"/>
    <w:rsid w:val="008C40F8"/>
    <w:rsid w:val="008C4D3C"/>
    <w:rsid w:val="008C6A8F"/>
    <w:rsid w:val="008C797C"/>
    <w:rsid w:val="008C7DDC"/>
    <w:rsid w:val="008D0089"/>
    <w:rsid w:val="008D0682"/>
    <w:rsid w:val="008D0DD5"/>
    <w:rsid w:val="008D0E1B"/>
    <w:rsid w:val="008D12DA"/>
    <w:rsid w:val="008D15D4"/>
    <w:rsid w:val="008D20F4"/>
    <w:rsid w:val="008D267F"/>
    <w:rsid w:val="008D2E9A"/>
    <w:rsid w:val="008D2FAA"/>
    <w:rsid w:val="008D35F9"/>
    <w:rsid w:val="008D48C2"/>
    <w:rsid w:val="008D4F50"/>
    <w:rsid w:val="008D55F2"/>
    <w:rsid w:val="008D588A"/>
    <w:rsid w:val="008D5E11"/>
    <w:rsid w:val="008D6E26"/>
    <w:rsid w:val="008D7EBF"/>
    <w:rsid w:val="008E01D6"/>
    <w:rsid w:val="008E04F5"/>
    <w:rsid w:val="008E0737"/>
    <w:rsid w:val="008E17B5"/>
    <w:rsid w:val="008E2FC6"/>
    <w:rsid w:val="008E32A4"/>
    <w:rsid w:val="008E3300"/>
    <w:rsid w:val="008E4AAA"/>
    <w:rsid w:val="008E57C0"/>
    <w:rsid w:val="008E5FA4"/>
    <w:rsid w:val="008E6462"/>
    <w:rsid w:val="008E67C2"/>
    <w:rsid w:val="008E6C72"/>
    <w:rsid w:val="008E6D4D"/>
    <w:rsid w:val="008E71ED"/>
    <w:rsid w:val="008E77E4"/>
    <w:rsid w:val="008E7DD3"/>
    <w:rsid w:val="008F2B86"/>
    <w:rsid w:val="008F425D"/>
    <w:rsid w:val="008F6D2D"/>
    <w:rsid w:val="008F70A9"/>
    <w:rsid w:val="008F748A"/>
    <w:rsid w:val="008F760C"/>
    <w:rsid w:val="00900050"/>
    <w:rsid w:val="0090074C"/>
    <w:rsid w:val="0090105D"/>
    <w:rsid w:val="00901126"/>
    <w:rsid w:val="00901218"/>
    <w:rsid w:val="009012CE"/>
    <w:rsid w:val="0090188C"/>
    <w:rsid w:val="00901924"/>
    <w:rsid w:val="009027C1"/>
    <w:rsid w:val="00904BB5"/>
    <w:rsid w:val="00904FB5"/>
    <w:rsid w:val="0090556E"/>
    <w:rsid w:val="00905F33"/>
    <w:rsid w:val="0090683E"/>
    <w:rsid w:val="00907A96"/>
    <w:rsid w:val="00907C80"/>
    <w:rsid w:val="00910474"/>
    <w:rsid w:val="00910AD7"/>
    <w:rsid w:val="00910DF9"/>
    <w:rsid w:val="00912BAB"/>
    <w:rsid w:val="00912D98"/>
    <w:rsid w:val="00913F14"/>
    <w:rsid w:val="00913F58"/>
    <w:rsid w:val="00914998"/>
    <w:rsid w:val="00915536"/>
    <w:rsid w:val="00915579"/>
    <w:rsid w:val="009159C7"/>
    <w:rsid w:val="009163F8"/>
    <w:rsid w:val="0091748F"/>
    <w:rsid w:val="00917FA8"/>
    <w:rsid w:val="00920985"/>
    <w:rsid w:val="009216DB"/>
    <w:rsid w:val="00921FDA"/>
    <w:rsid w:val="0092200A"/>
    <w:rsid w:val="00922624"/>
    <w:rsid w:val="00922840"/>
    <w:rsid w:val="00923289"/>
    <w:rsid w:val="009261FE"/>
    <w:rsid w:val="00927D87"/>
    <w:rsid w:val="009304CD"/>
    <w:rsid w:val="00931BA4"/>
    <w:rsid w:val="00932461"/>
    <w:rsid w:val="00932803"/>
    <w:rsid w:val="00932BC8"/>
    <w:rsid w:val="00933919"/>
    <w:rsid w:val="009349EC"/>
    <w:rsid w:val="00936C03"/>
    <w:rsid w:val="009375DB"/>
    <w:rsid w:val="0094124A"/>
    <w:rsid w:val="00942B54"/>
    <w:rsid w:val="00943AA5"/>
    <w:rsid w:val="009448FF"/>
    <w:rsid w:val="009455CB"/>
    <w:rsid w:val="00947270"/>
    <w:rsid w:val="00950487"/>
    <w:rsid w:val="0095082C"/>
    <w:rsid w:val="00951555"/>
    <w:rsid w:val="00951BC2"/>
    <w:rsid w:val="009520D5"/>
    <w:rsid w:val="0095233C"/>
    <w:rsid w:val="00953072"/>
    <w:rsid w:val="00953767"/>
    <w:rsid w:val="00954089"/>
    <w:rsid w:val="009541A4"/>
    <w:rsid w:val="00954F40"/>
    <w:rsid w:val="00955297"/>
    <w:rsid w:val="00955C02"/>
    <w:rsid w:val="00956258"/>
    <w:rsid w:val="00956594"/>
    <w:rsid w:val="00956ADC"/>
    <w:rsid w:val="00960508"/>
    <w:rsid w:val="0096197F"/>
    <w:rsid w:val="00961EFE"/>
    <w:rsid w:val="0096336E"/>
    <w:rsid w:val="00964711"/>
    <w:rsid w:val="00965DA9"/>
    <w:rsid w:val="00966019"/>
    <w:rsid w:val="0096655C"/>
    <w:rsid w:val="00967A4A"/>
    <w:rsid w:val="00971E97"/>
    <w:rsid w:val="00972D98"/>
    <w:rsid w:val="00972DA3"/>
    <w:rsid w:val="00974408"/>
    <w:rsid w:val="0097474B"/>
    <w:rsid w:val="00974A03"/>
    <w:rsid w:val="00975D6E"/>
    <w:rsid w:val="0097655D"/>
    <w:rsid w:val="00977221"/>
    <w:rsid w:val="00977373"/>
    <w:rsid w:val="00977F91"/>
    <w:rsid w:val="00977FD7"/>
    <w:rsid w:val="00980106"/>
    <w:rsid w:val="00980E55"/>
    <w:rsid w:val="00981DD0"/>
    <w:rsid w:val="009821ED"/>
    <w:rsid w:val="009831C0"/>
    <w:rsid w:val="0098347F"/>
    <w:rsid w:val="00983954"/>
    <w:rsid w:val="00983B1B"/>
    <w:rsid w:val="009856FE"/>
    <w:rsid w:val="00985935"/>
    <w:rsid w:val="00985E60"/>
    <w:rsid w:val="009865D6"/>
    <w:rsid w:val="00990CD9"/>
    <w:rsid w:val="00991A86"/>
    <w:rsid w:val="00991DF4"/>
    <w:rsid w:val="00992407"/>
    <w:rsid w:val="00992610"/>
    <w:rsid w:val="00992CDB"/>
    <w:rsid w:val="00993918"/>
    <w:rsid w:val="00993939"/>
    <w:rsid w:val="00993945"/>
    <w:rsid w:val="009942DF"/>
    <w:rsid w:val="009954FD"/>
    <w:rsid w:val="0099558A"/>
    <w:rsid w:val="00996734"/>
    <w:rsid w:val="00997862"/>
    <w:rsid w:val="009A18AD"/>
    <w:rsid w:val="009A1D1C"/>
    <w:rsid w:val="009A620B"/>
    <w:rsid w:val="009A6791"/>
    <w:rsid w:val="009A6894"/>
    <w:rsid w:val="009A76B2"/>
    <w:rsid w:val="009B0964"/>
    <w:rsid w:val="009B151E"/>
    <w:rsid w:val="009B1798"/>
    <w:rsid w:val="009B2228"/>
    <w:rsid w:val="009B30E7"/>
    <w:rsid w:val="009B3CB5"/>
    <w:rsid w:val="009B5F07"/>
    <w:rsid w:val="009B7170"/>
    <w:rsid w:val="009C1148"/>
    <w:rsid w:val="009C1A7F"/>
    <w:rsid w:val="009C265E"/>
    <w:rsid w:val="009C2BBD"/>
    <w:rsid w:val="009C3D54"/>
    <w:rsid w:val="009C3F65"/>
    <w:rsid w:val="009C473A"/>
    <w:rsid w:val="009C60DA"/>
    <w:rsid w:val="009C6E1C"/>
    <w:rsid w:val="009C71BD"/>
    <w:rsid w:val="009C746B"/>
    <w:rsid w:val="009D0044"/>
    <w:rsid w:val="009D0481"/>
    <w:rsid w:val="009D0D9E"/>
    <w:rsid w:val="009D152E"/>
    <w:rsid w:val="009D16E3"/>
    <w:rsid w:val="009D26D5"/>
    <w:rsid w:val="009D4D1D"/>
    <w:rsid w:val="009D7063"/>
    <w:rsid w:val="009D7D99"/>
    <w:rsid w:val="009E0077"/>
    <w:rsid w:val="009E0A6C"/>
    <w:rsid w:val="009E230B"/>
    <w:rsid w:val="009E2514"/>
    <w:rsid w:val="009E2C58"/>
    <w:rsid w:val="009E30F7"/>
    <w:rsid w:val="009E3158"/>
    <w:rsid w:val="009E3DA6"/>
    <w:rsid w:val="009E4BB6"/>
    <w:rsid w:val="009E4FA9"/>
    <w:rsid w:val="009E7E02"/>
    <w:rsid w:val="009F0290"/>
    <w:rsid w:val="009F0645"/>
    <w:rsid w:val="009F0DAD"/>
    <w:rsid w:val="009F1130"/>
    <w:rsid w:val="009F36E6"/>
    <w:rsid w:val="009F3858"/>
    <w:rsid w:val="009F38DB"/>
    <w:rsid w:val="009F4093"/>
    <w:rsid w:val="009F5FC1"/>
    <w:rsid w:val="009F67C7"/>
    <w:rsid w:val="009F6BC6"/>
    <w:rsid w:val="009F7364"/>
    <w:rsid w:val="009F79C8"/>
    <w:rsid w:val="009F7BFB"/>
    <w:rsid w:val="00A00342"/>
    <w:rsid w:val="00A0040B"/>
    <w:rsid w:val="00A0097B"/>
    <w:rsid w:val="00A01628"/>
    <w:rsid w:val="00A027C2"/>
    <w:rsid w:val="00A02992"/>
    <w:rsid w:val="00A03217"/>
    <w:rsid w:val="00A038D4"/>
    <w:rsid w:val="00A04228"/>
    <w:rsid w:val="00A04A88"/>
    <w:rsid w:val="00A05443"/>
    <w:rsid w:val="00A05A61"/>
    <w:rsid w:val="00A06F1F"/>
    <w:rsid w:val="00A0754A"/>
    <w:rsid w:val="00A11B57"/>
    <w:rsid w:val="00A11D12"/>
    <w:rsid w:val="00A11E7B"/>
    <w:rsid w:val="00A125E2"/>
    <w:rsid w:val="00A13BD7"/>
    <w:rsid w:val="00A141E4"/>
    <w:rsid w:val="00A161D8"/>
    <w:rsid w:val="00A169B1"/>
    <w:rsid w:val="00A1783D"/>
    <w:rsid w:val="00A209E5"/>
    <w:rsid w:val="00A20EEB"/>
    <w:rsid w:val="00A216CF"/>
    <w:rsid w:val="00A22157"/>
    <w:rsid w:val="00A22F13"/>
    <w:rsid w:val="00A233DC"/>
    <w:rsid w:val="00A24055"/>
    <w:rsid w:val="00A24B8B"/>
    <w:rsid w:val="00A250E3"/>
    <w:rsid w:val="00A25F9D"/>
    <w:rsid w:val="00A26DE3"/>
    <w:rsid w:val="00A27A7A"/>
    <w:rsid w:val="00A303C0"/>
    <w:rsid w:val="00A30AD4"/>
    <w:rsid w:val="00A31146"/>
    <w:rsid w:val="00A31C12"/>
    <w:rsid w:val="00A31C9C"/>
    <w:rsid w:val="00A328D1"/>
    <w:rsid w:val="00A32C58"/>
    <w:rsid w:val="00A3325A"/>
    <w:rsid w:val="00A3371C"/>
    <w:rsid w:val="00A33D74"/>
    <w:rsid w:val="00A34B17"/>
    <w:rsid w:val="00A36207"/>
    <w:rsid w:val="00A366C9"/>
    <w:rsid w:val="00A368E8"/>
    <w:rsid w:val="00A369F5"/>
    <w:rsid w:val="00A410E0"/>
    <w:rsid w:val="00A4166B"/>
    <w:rsid w:val="00A42D14"/>
    <w:rsid w:val="00A43230"/>
    <w:rsid w:val="00A4332D"/>
    <w:rsid w:val="00A4344B"/>
    <w:rsid w:val="00A44833"/>
    <w:rsid w:val="00A454B1"/>
    <w:rsid w:val="00A454B9"/>
    <w:rsid w:val="00A454F6"/>
    <w:rsid w:val="00A463D3"/>
    <w:rsid w:val="00A4671A"/>
    <w:rsid w:val="00A46BA5"/>
    <w:rsid w:val="00A46EA8"/>
    <w:rsid w:val="00A47074"/>
    <w:rsid w:val="00A47A22"/>
    <w:rsid w:val="00A47AE2"/>
    <w:rsid w:val="00A50DDC"/>
    <w:rsid w:val="00A5177F"/>
    <w:rsid w:val="00A51B05"/>
    <w:rsid w:val="00A52C84"/>
    <w:rsid w:val="00A530D5"/>
    <w:rsid w:val="00A5422F"/>
    <w:rsid w:val="00A54807"/>
    <w:rsid w:val="00A615FC"/>
    <w:rsid w:val="00A62360"/>
    <w:rsid w:val="00A62A25"/>
    <w:rsid w:val="00A632B4"/>
    <w:rsid w:val="00A6338F"/>
    <w:rsid w:val="00A63C61"/>
    <w:rsid w:val="00A6469F"/>
    <w:rsid w:val="00A64794"/>
    <w:rsid w:val="00A64C3E"/>
    <w:rsid w:val="00A64CBB"/>
    <w:rsid w:val="00A64F72"/>
    <w:rsid w:val="00A6591B"/>
    <w:rsid w:val="00A664E7"/>
    <w:rsid w:val="00A6707E"/>
    <w:rsid w:val="00A67426"/>
    <w:rsid w:val="00A678C8"/>
    <w:rsid w:val="00A67E59"/>
    <w:rsid w:val="00A709DB"/>
    <w:rsid w:val="00A70CA7"/>
    <w:rsid w:val="00A712CD"/>
    <w:rsid w:val="00A73931"/>
    <w:rsid w:val="00A73F3A"/>
    <w:rsid w:val="00A754AC"/>
    <w:rsid w:val="00A75B18"/>
    <w:rsid w:val="00A7786E"/>
    <w:rsid w:val="00A77AA6"/>
    <w:rsid w:val="00A77ABF"/>
    <w:rsid w:val="00A80129"/>
    <w:rsid w:val="00A807B1"/>
    <w:rsid w:val="00A80C02"/>
    <w:rsid w:val="00A813FA"/>
    <w:rsid w:val="00A82C2A"/>
    <w:rsid w:val="00A8438C"/>
    <w:rsid w:val="00A86755"/>
    <w:rsid w:val="00A86B4F"/>
    <w:rsid w:val="00A87340"/>
    <w:rsid w:val="00A874C3"/>
    <w:rsid w:val="00A8798E"/>
    <w:rsid w:val="00A900C1"/>
    <w:rsid w:val="00A91830"/>
    <w:rsid w:val="00A94165"/>
    <w:rsid w:val="00A947B0"/>
    <w:rsid w:val="00A949D4"/>
    <w:rsid w:val="00A9524F"/>
    <w:rsid w:val="00A95699"/>
    <w:rsid w:val="00A95A1D"/>
    <w:rsid w:val="00A971CA"/>
    <w:rsid w:val="00A97437"/>
    <w:rsid w:val="00AA030E"/>
    <w:rsid w:val="00AA0445"/>
    <w:rsid w:val="00AA0ED2"/>
    <w:rsid w:val="00AA135D"/>
    <w:rsid w:val="00AA2035"/>
    <w:rsid w:val="00AA20AF"/>
    <w:rsid w:val="00AA2DE2"/>
    <w:rsid w:val="00AA36F6"/>
    <w:rsid w:val="00AA3C93"/>
    <w:rsid w:val="00AA4CE0"/>
    <w:rsid w:val="00AA4D1F"/>
    <w:rsid w:val="00AA57B2"/>
    <w:rsid w:val="00AA5D1D"/>
    <w:rsid w:val="00AA6512"/>
    <w:rsid w:val="00AB056E"/>
    <w:rsid w:val="00AB0CF3"/>
    <w:rsid w:val="00AB15B1"/>
    <w:rsid w:val="00AB2559"/>
    <w:rsid w:val="00AB2EDB"/>
    <w:rsid w:val="00AB3488"/>
    <w:rsid w:val="00AB4556"/>
    <w:rsid w:val="00AB459F"/>
    <w:rsid w:val="00AB4A52"/>
    <w:rsid w:val="00AB4DC2"/>
    <w:rsid w:val="00AB514C"/>
    <w:rsid w:val="00AB5F27"/>
    <w:rsid w:val="00AB6AF4"/>
    <w:rsid w:val="00AB7E7A"/>
    <w:rsid w:val="00AC11E4"/>
    <w:rsid w:val="00AC160B"/>
    <w:rsid w:val="00AC2480"/>
    <w:rsid w:val="00AC3E93"/>
    <w:rsid w:val="00AC4333"/>
    <w:rsid w:val="00AC4729"/>
    <w:rsid w:val="00AC548D"/>
    <w:rsid w:val="00AC5C01"/>
    <w:rsid w:val="00AC7279"/>
    <w:rsid w:val="00AC7408"/>
    <w:rsid w:val="00AC7BC5"/>
    <w:rsid w:val="00AC7F49"/>
    <w:rsid w:val="00AD0564"/>
    <w:rsid w:val="00AD219D"/>
    <w:rsid w:val="00AD28EF"/>
    <w:rsid w:val="00AD2ACA"/>
    <w:rsid w:val="00AD2C99"/>
    <w:rsid w:val="00AD332B"/>
    <w:rsid w:val="00AD3F4B"/>
    <w:rsid w:val="00AD3F61"/>
    <w:rsid w:val="00AD3F7A"/>
    <w:rsid w:val="00AD440B"/>
    <w:rsid w:val="00AD47C1"/>
    <w:rsid w:val="00AD54B9"/>
    <w:rsid w:val="00AD58C9"/>
    <w:rsid w:val="00AD6AA5"/>
    <w:rsid w:val="00AD709B"/>
    <w:rsid w:val="00AD7844"/>
    <w:rsid w:val="00AE0019"/>
    <w:rsid w:val="00AE035A"/>
    <w:rsid w:val="00AE03DB"/>
    <w:rsid w:val="00AE0716"/>
    <w:rsid w:val="00AE0D1F"/>
    <w:rsid w:val="00AE114F"/>
    <w:rsid w:val="00AE1844"/>
    <w:rsid w:val="00AE1914"/>
    <w:rsid w:val="00AE2188"/>
    <w:rsid w:val="00AE33AB"/>
    <w:rsid w:val="00AE4CF1"/>
    <w:rsid w:val="00AE503F"/>
    <w:rsid w:val="00AE50A5"/>
    <w:rsid w:val="00AE5791"/>
    <w:rsid w:val="00AE7ABD"/>
    <w:rsid w:val="00AF0131"/>
    <w:rsid w:val="00AF27A0"/>
    <w:rsid w:val="00AF2D40"/>
    <w:rsid w:val="00AF2EF4"/>
    <w:rsid w:val="00AF372B"/>
    <w:rsid w:val="00AF380D"/>
    <w:rsid w:val="00AF3D5D"/>
    <w:rsid w:val="00AF4065"/>
    <w:rsid w:val="00AF4B85"/>
    <w:rsid w:val="00AF573D"/>
    <w:rsid w:val="00AF582B"/>
    <w:rsid w:val="00AF5B47"/>
    <w:rsid w:val="00AF60DF"/>
    <w:rsid w:val="00AF65D9"/>
    <w:rsid w:val="00AF6C23"/>
    <w:rsid w:val="00AF7366"/>
    <w:rsid w:val="00AF7D4E"/>
    <w:rsid w:val="00B000BD"/>
    <w:rsid w:val="00B001A3"/>
    <w:rsid w:val="00B00B3A"/>
    <w:rsid w:val="00B00D3D"/>
    <w:rsid w:val="00B00F88"/>
    <w:rsid w:val="00B0161C"/>
    <w:rsid w:val="00B01FAF"/>
    <w:rsid w:val="00B02BED"/>
    <w:rsid w:val="00B0484B"/>
    <w:rsid w:val="00B04A27"/>
    <w:rsid w:val="00B0529B"/>
    <w:rsid w:val="00B05E01"/>
    <w:rsid w:val="00B06FED"/>
    <w:rsid w:val="00B07AD8"/>
    <w:rsid w:val="00B07F5F"/>
    <w:rsid w:val="00B1067A"/>
    <w:rsid w:val="00B1082A"/>
    <w:rsid w:val="00B11FAF"/>
    <w:rsid w:val="00B125ED"/>
    <w:rsid w:val="00B12708"/>
    <w:rsid w:val="00B12C17"/>
    <w:rsid w:val="00B1335D"/>
    <w:rsid w:val="00B13732"/>
    <w:rsid w:val="00B14355"/>
    <w:rsid w:val="00B1614D"/>
    <w:rsid w:val="00B162D1"/>
    <w:rsid w:val="00B20141"/>
    <w:rsid w:val="00B207CC"/>
    <w:rsid w:val="00B20B57"/>
    <w:rsid w:val="00B20B9B"/>
    <w:rsid w:val="00B20D66"/>
    <w:rsid w:val="00B20E64"/>
    <w:rsid w:val="00B20FC8"/>
    <w:rsid w:val="00B21965"/>
    <w:rsid w:val="00B221E3"/>
    <w:rsid w:val="00B2231D"/>
    <w:rsid w:val="00B23D3A"/>
    <w:rsid w:val="00B254B5"/>
    <w:rsid w:val="00B26B94"/>
    <w:rsid w:val="00B270E7"/>
    <w:rsid w:val="00B30ABE"/>
    <w:rsid w:val="00B30DD6"/>
    <w:rsid w:val="00B35324"/>
    <w:rsid w:val="00B3532A"/>
    <w:rsid w:val="00B3730E"/>
    <w:rsid w:val="00B37890"/>
    <w:rsid w:val="00B378FE"/>
    <w:rsid w:val="00B40256"/>
    <w:rsid w:val="00B415E6"/>
    <w:rsid w:val="00B4328F"/>
    <w:rsid w:val="00B437CD"/>
    <w:rsid w:val="00B44216"/>
    <w:rsid w:val="00B45F74"/>
    <w:rsid w:val="00B501B0"/>
    <w:rsid w:val="00B510C8"/>
    <w:rsid w:val="00B52005"/>
    <w:rsid w:val="00B54BAE"/>
    <w:rsid w:val="00B55E7B"/>
    <w:rsid w:val="00B56823"/>
    <w:rsid w:val="00B56E31"/>
    <w:rsid w:val="00B56E76"/>
    <w:rsid w:val="00B572E5"/>
    <w:rsid w:val="00B57BB0"/>
    <w:rsid w:val="00B61050"/>
    <w:rsid w:val="00B61662"/>
    <w:rsid w:val="00B61914"/>
    <w:rsid w:val="00B61B2C"/>
    <w:rsid w:val="00B634DA"/>
    <w:rsid w:val="00B6356F"/>
    <w:rsid w:val="00B63672"/>
    <w:rsid w:val="00B639BE"/>
    <w:rsid w:val="00B64A3F"/>
    <w:rsid w:val="00B66276"/>
    <w:rsid w:val="00B664B4"/>
    <w:rsid w:val="00B66A19"/>
    <w:rsid w:val="00B70EB3"/>
    <w:rsid w:val="00B7150F"/>
    <w:rsid w:val="00B71E97"/>
    <w:rsid w:val="00B72098"/>
    <w:rsid w:val="00B72202"/>
    <w:rsid w:val="00B749D7"/>
    <w:rsid w:val="00B75FCF"/>
    <w:rsid w:val="00B76C7E"/>
    <w:rsid w:val="00B77597"/>
    <w:rsid w:val="00B80C20"/>
    <w:rsid w:val="00B80E13"/>
    <w:rsid w:val="00B82D24"/>
    <w:rsid w:val="00B85076"/>
    <w:rsid w:val="00B863B3"/>
    <w:rsid w:val="00B8647A"/>
    <w:rsid w:val="00B8661E"/>
    <w:rsid w:val="00B867FC"/>
    <w:rsid w:val="00B8705D"/>
    <w:rsid w:val="00B872CF"/>
    <w:rsid w:val="00B87A1A"/>
    <w:rsid w:val="00B87C07"/>
    <w:rsid w:val="00B9058B"/>
    <w:rsid w:val="00B90613"/>
    <w:rsid w:val="00B906EC"/>
    <w:rsid w:val="00B916D8"/>
    <w:rsid w:val="00B919F3"/>
    <w:rsid w:val="00B92A0D"/>
    <w:rsid w:val="00B9359E"/>
    <w:rsid w:val="00B9393D"/>
    <w:rsid w:val="00B93B62"/>
    <w:rsid w:val="00B93C01"/>
    <w:rsid w:val="00B93C3D"/>
    <w:rsid w:val="00B961A2"/>
    <w:rsid w:val="00B966BB"/>
    <w:rsid w:val="00B9725A"/>
    <w:rsid w:val="00BA0C2C"/>
    <w:rsid w:val="00BA1925"/>
    <w:rsid w:val="00BA1E96"/>
    <w:rsid w:val="00BA3A81"/>
    <w:rsid w:val="00BA3B62"/>
    <w:rsid w:val="00BA3FA0"/>
    <w:rsid w:val="00BA4871"/>
    <w:rsid w:val="00BA488B"/>
    <w:rsid w:val="00BA4C32"/>
    <w:rsid w:val="00BA5718"/>
    <w:rsid w:val="00BB0125"/>
    <w:rsid w:val="00BB02E9"/>
    <w:rsid w:val="00BB0465"/>
    <w:rsid w:val="00BB0CA7"/>
    <w:rsid w:val="00BB1C62"/>
    <w:rsid w:val="00BB46CA"/>
    <w:rsid w:val="00BB52DA"/>
    <w:rsid w:val="00BB5847"/>
    <w:rsid w:val="00BB79DB"/>
    <w:rsid w:val="00BB7A8A"/>
    <w:rsid w:val="00BC0937"/>
    <w:rsid w:val="00BC0F95"/>
    <w:rsid w:val="00BC135E"/>
    <w:rsid w:val="00BC161E"/>
    <w:rsid w:val="00BC1FCD"/>
    <w:rsid w:val="00BC2656"/>
    <w:rsid w:val="00BC2749"/>
    <w:rsid w:val="00BC30F3"/>
    <w:rsid w:val="00BC5411"/>
    <w:rsid w:val="00BC63CA"/>
    <w:rsid w:val="00BD021F"/>
    <w:rsid w:val="00BD0746"/>
    <w:rsid w:val="00BD16BF"/>
    <w:rsid w:val="00BD2B8A"/>
    <w:rsid w:val="00BD4F59"/>
    <w:rsid w:val="00BD53F0"/>
    <w:rsid w:val="00BD5A58"/>
    <w:rsid w:val="00BD61FC"/>
    <w:rsid w:val="00BD6766"/>
    <w:rsid w:val="00BD6FAE"/>
    <w:rsid w:val="00BD7201"/>
    <w:rsid w:val="00BE055A"/>
    <w:rsid w:val="00BE1166"/>
    <w:rsid w:val="00BE11AF"/>
    <w:rsid w:val="00BE164C"/>
    <w:rsid w:val="00BE19CC"/>
    <w:rsid w:val="00BE1B63"/>
    <w:rsid w:val="00BE1CBA"/>
    <w:rsid w:val="00BE1CC8"/>
    <w:rsid w:val="00BE25F0"/>
    <w:rsid w:val="00BE4EE5"/>
    <w:rsid w:val="00BE5DE3"/>
    <w:rsid w:val="00BE6F44"/>
    <w:rsid w:val="00BE7621"/>
    <w:rsid w:val="00BE7A7F"/>
    <w:rsid w:val="00BE7D98"/>
    <w:rsid w:val="00BF06DC"/>
    <w:rsid w:val="00BF0A61"/>
    <w:rsid w:val="00BF17A8"/>
    <w:rsid w:val="00BF1FC3"/>
    <w:rsid w:val="00BF2338"/>
    <w:rsid w:val="00BF5055"/>
    <w:rsid w:val="00BF571D"/>
    <w:rsid w:val="00BF5B00"/>
    <w:rsid w:val="00BF75E1"/>
    <w:rsid w:val="00BF78C7"/>
    <w:rsid w:val="00BF7B17"/>
    <w:rsid w:val="00C015BF"/>
    <w:rsid w:val="00C0184A"/>
    <w:rsid w:val="00C0319B"/>
    <w:rsid w:val="00C039BC"/>
    <w:rsid w:val="00C03D6C"/>
    <w:rsid w:val="00C044C6"/>
    <w:rsid w:val="00C0554B"/>
    <w:rsid w:val="00C0578C"/>
    <w:rsid w:val="00C061E2"/>
    <w:rsid w:val="00C065BF"/>
    <w:rsid w:val="00C06AAD"/>
    <w:rsid w:val="00C0721F"/>
    <w:rsid w:val="00C0761C"/>
    <w:rsid w:val="00C079DA"/>
    <w:rsid w:val="00C07C20"/>
    <w:rsid w:val="00C112CF"/>
    <w:rsid w:val="00C11F7F"/>
    <w:rsid w:val="00C12865"/>
    <w:rsid w:val="00C13A6D"/>
    <w:rsid w:val="00C13C88"/>
    <w:rsid w:val="00C13E48"/>
    <w:rsid w:val="00C13FAA"/>
    <w:rsid w:val="00C1480B"/>
    <w:rsid w:val="00C153A1"/>
    <w:rsid w:val="00C1662A"/>
    <w:rsid w:val="00C167CE"/>
    <w:rsid w:val="00C16ED8"/>
    <w:rsid w:val="00C170D0"/>
    <w:rsid w:val="00C174E4"/>
    <w:rsid w:val="00C17ACA"/>
    <w:rsid w:val="00C209A5"/>
    <w:rsid w:val="00C221E0"/>
    <w:rsid w:val="00C228AD"/>
    <w:rsid w:val="00C24482"/>
    <w:rsid w:val="00C25136"/>
    <w:rsid w:val="00C25BCB"/>
    <w:rsid w:val="00C260E6"/>
    <w:rsid w:val="00C27372"/>
    <w:rsid w:val="00C31319"/>
    <w:rsid w:val="00C314A4"/>
    <w:rsid w:val="00C31A66"/>
    <w:rsid w:val="00C32E4B"/>
    <w:rsid w:val="00C337F3"/>
    <w:rsid w:val="00C343B8"/>
    <w:rsid w:val="00C34A71"/>
    <w:rsid w:val="00C34AE2"/>
    <w:rsid w:val="00C34B9F"/>
    <w:rsid w:val="00C34DF8"/>
    <w:rsid w:val="00C35090"/>
    <w:rsid w:val="00C35233"/>
    <w:rsid w:val="00C35CEC"/>
    <w:rsid w:val="00C36DF0"/>
    <w:rsid w:val="00C40F95"/>
    <w:rsid w:val="00C4106D"/>
    <w:rsid w:val="00C4176C"/>
    <w:rsid w:val="00C41EDE"/>
    <w:rsid w:val="00C43280"/>
    <w:rsid w:val="00C43C7F"/>
    <w:rsid w:val="00C43E15"/>
    <w:rsid w:val="00C44259"/>
    <w:rsid w:val="00C44A1A"/>
    <w:rsid w:val="00C45E0C"/>
    <w:rsid w:val="00C4635B"/>
    <w:rsid w:val="00C474C3"/>
    <w:rsid w:val="00C47B2E"/>
    <w:rsid w:val="00C52F52"/>
    <w:rsid w:val="00C5335B"/>
    <w:rsid w:val="00C53419"/>
    <w:rsid w:val="00C544A0"/>
    <w:rsid w:val="00C54F41"/>
    <w:rsid w:val="00C5583A"/>
    <w:rsid w:val="00C560F4"/>
    <w:rsid w:val="00C60877"/>
    <w:rsid w:val="00C60D9F"/>
    <w:rsid w:val="00C611E5"/>
    <w:rsid w:val="00C61395"/>
    <w:rsid w:val="00C61505"/>
    <w:rsid w:val="00C61FA1"/>
    <w:rsid w:val="00C62444"/>
    <w:rsid w:val="00C6267C"/>
    <w:rsid w:val="00C62751"/>
    <w:rsid w:val="00C62D44"/>
    <w:rsid w:val="00C63314"/>
    <w:rsid w:val="00C636B0"/>
    <w:rsid w:val="00C63E31"/>
    <w:rsid w:val="00C64994"/>
    <w:rsid w:val="00C659C1"/>
    <w:rsid w:val="00C66A48"/>
    <w:rsid w:val="00C66ABA"/>
    <w:rsid w:val="00C66E2C"/>
    <w:rsid w:val="00C67426"/>
    <w:rsid w:val="00C67C41"/>
    <w:rsid w:val="00C701CB"/>
    <w:rsid w:val="00C72A3A"/>
    <w:rsid w:val="00C72F62"/>
    <w:rsid w:val="00C73D7F"/>
    <w:rsid w:val="00C74A4E"/>
    <w:rsid w:val="00C74CCE"/>
    <w:rsid w:val="00C75B7D"/>
    <w:rsid w:val="00C7631E"/>
    <w:rsid w:val="00C77728"/>
    <w:rsid w:val="00C77D41"/>
    <w:rsid w:val="00C808EC"/>
    <w:rsid w:val="00C80AFE"/>
    <w:rsid w:val="00C82340"/>
    <w:rsid w:val="00C836A4"/>
    <w:rsid w:val="00C841AE"/>
    <w:rsid w:val="00C8618C"/>
    <w:rsid w:val="00C86226"/>
    <w:rsid w:val="00C86944"/>
    <w:rsid w:val="00C86EF0"/>
    <w:rsid w:val="00C8706B"/>
    <w:rsid w:val="00C87C84"/>
    <w:rsid w:val="00C91DC3"/>
    <w:rsid w:val="00C91E7A"/>
    <w:rsid w:val="00C92189"/>
    <w:rsid w:val="00C9255B"/>
    <w:rsid w:val="00C92F77"/>
    <w:rsid w:val="00C93289"/>
    <w:rsid w:val="00C934C2"/>
    <w:rsid w:val="00C939EE"/>
    <w:rsid w:val="00C93BDC"/>
    <w:rsid w:val="00C95BF8"/>
    <w:rsid w:val="00C960B4"/>
    <w:rsid w:val="00C97BB0"/>
    <w:rsid w:val="00CA02B3"/>
    <w:rsid w:val="00CA06E3"/>
    <w:rsid w:val="00CA0B61"/>
    <w:rsid w:val="00CA0FF8"/>
    <w:rsid w:val="00CA111F"/>
    <w:rsid w:val="00CA22A4"/>
    <w:rsid w:val="00CA31D4"/>
    <w:rsid w:val="00CA5591"/>
    <w:rsid w:val="00CA59E2"/>
    <w:rsid w:val="00CA7353"/>
    <w:rsid w:val="00CB066F"/>
    <w:rsid w:val="00CB0A3D"/>
    <w:rsid w:val="00CB2117"/>
    <w:rsid w:val="00CB28AF"/>
    <w:rsid w:val="00CB4D95"/>
    <w:rsid w:val="00CB53BD"/>
    <w:rsid w:val="00CB66CF"/>
    <w:rsid w:val="00CB793A"/>
    <w:rsid w:val="00CB7CBA"/>
    <w:rsid w:val="00CC0ACD"/>
    <w:rsid w:val="00CC20C1"/>
    <w:rsid w:val="00CC283F"/>
    <w:rsid w:val="00CC2FE8"/>
    <w:rsid w:val="00CC34BC"/>
    <w:rsid w:val="00CC6409"/>
    <w:rsid w:val="00CC7118"/>
    <w:rsid w:val="00CC748A"/>
    <w:rsid w:val="00CC7E79"/>
    <w:rsid w:val="00CD0A9B"/>
    <w:rsid w:val="00CD0D19"/>
    <w:rsid w:val="00CD1EC4"/>
    <w:rsid w:val="00CD25A4"/>
    <w:rsid w:val="00CD2953"/>
    <w:rsid w:val="00CD2CE5"/>
    <w:rsid w:val="00CD3E72"/>
    <w:rsid w:val="00CD4C9D"/>
    <w:rsid w:val="00CD54E3"/>
    <w:rsid w:val="00CD6261"/>
    <w:rsid w:val="00CD6F5F"/>
    <w:rsid w:val="00CD7C21"/>
    <w:rsid w:val="00CD7C71"/>
    <w:rsid w:val="00CE05E7"/>
    <w:rsid w:val="00CE0A8E"/>
    <w:rsid w:val="00CE0B17"/>
    <w:rsid w:val="00CE1A57"/>
    <w:rsid w:val="00CE22D3"/>
    <w:rsid w:val="00CE4D9F"/>
    <w:rsid w:val="00CE50FF"/>
    <w:rsid w:val="00CE5F40"/>
    <w:rsid w:val="00CE6663"/>
    <w:rsid w:val="00CE72F8"/>
    <w:rsid w:val="00CE7622"/>
    <w:rsid w:val="00CF03A4"/>
    <w:rsid w:val="00CF1EB9"/>
    <w:rsid w:val="00CF1EDD"/>
    <w:rsid w:val="00CF2EB5"/>
    <w:rsid w:val="00CF2F36"/>
    <w:rsid w:val="00CF3223"/>
    <w:rsid w:val="00CF3424"/>
    <w:rsid w:val="00CF53DF"/>
    <w:rsid w:val="00CF5927"/>
    <w:rsid w:val="00CF5E3C"/>
    <w:rsid w:val="00CF667B"/>
    <w:rsid w:val="00CF7011"/>
    <w:rsid w:val="00CF747D"/>
    <w:rsid w:val="00CF7DDF"/>
    <w:rsid w:val="00D00003"/>
    <w:rsid w:val="00D00237"/>
    <w:rsid w:val="00D004A4"/>
    <w:rsid w:val="00D00E7C"/>
    <w:rsid w:val="00D01A24"/>
    <w:rsid w:val="00D02881"/>
    <w:rsid w:val="00D02A69"/>
    <w:rsid w:val="00D03745"/>
    <w:rsid w:val="00D03EDE"/>
    <w:rsid w:val="00D04830"/>
    <w:rsid w:val="00D04CCA"/>
    <w:rsid w:val="00D05715"/>
    <w:rsid w:val="00D05B4D"/>
    <w:rsid w:val="00D066BF"/>
    <w:rsid w:val="00D1173E"/>
    <w:rsid w:val="00D1190E"/>
    <w:rsid w:val="00D119C8"/>
    <w:rsid w:val="00D11AA1"/>
    <w:rsid w:val="00D11F38"/>
    <w:rsid w:val="00D11F57"/>
    <w:rsid w:val="00D12263"/>
    <w:rsid w:val="00D12885"/>
    <w:rsid w:val="00D12924"/>
    <w:rsid w:val="00D14C2B"/>
    <w:rsid w:val="00D16729"/>
    <w:rsid w:val="00D20D7F"/>
    <w:rsid w:val="00D21A50"/>
    <w:rsid w:val="00D2237D"/>
    <w:rsid w:val="00D236CF"/>
    <w:rsid w:val="00D24353"/>
    <w:rsid w:val="00D244A1"/>
    <w:rsid w:val="00D2471C"/>
    <w:rsid w:val="00D2568B"/>
    <w:rsid w:val="00D26E70"/>
    <w:rsid w:val="00D27C1C"/>
    <w:rsid w:val="00D35CAC"/>
    <w:rsid w:val="00D368AA"/>
    <w:rsid w:val="00D3690A"/>
    <w:rsid w:val="00D40A66"/>
    <w:rsid w:val="00D40CD6"/>
    <w:rsid w:val="00D41010"/>
    <w:rsid w:val="00D410FA"/>
    <w:rsid w:val="00D41A8A"/>
    <w:rsid w:val="00D41DD3"/>
    <w:rsid w:val="00D428E2"/>
    <w:rsid w:val="00D42D5D"/>
    <w:rsid w:val="00D42E29"/>
    <w:rsid w:val="00D4328F"/>
    <w:rsid w:val="00D43798"/>
    <w:rsid w:val="00D43CB3"/>
    <w:rsid w:val="00D43D03"/>
    <w:rsid w:val="00D44360"/>
    <w:rsid w:val="00D454C2"/>
    <w:rsid w:val="00D4764B"/>
    <w:rsid w:val="00D47721"/>
    <w:rsid w:val="00D478F2"/>
    <w:rsid w:val="00D47AC2"/>
    <w:rsid w:val="00D47D09"/>
    <w:rsid w:val="00D47FB5"/>
    <w:rsid w:val="00D50825"/>
    <w:rsid w:val="00D508F7"/>
    <w:rsid w:val="00D518E2"/>
    <w:rsid w:val="00D52C3E"/>
    <w:rsid w:val="00D53108"/>
    <w:rsid w:val="00D53621"/>
    <w:rsid w:val="00D5377F"/>
    <w:rsid w:val="00D549B3"/>
    <w:rsid w:val="00D54E45"/>
    <w:rsid w:val="00D5518F"/>
    <w:rsid w:val="00D55EB0"/>
    <w:rsid w:val="00D56617"/>
    <w:rsid w:val="00D56E69"/>
    <w:rsid w:val="00D604D7"/>
    <w:rsid w:val="00D6154D"/>
    <w:rsid w:val="00D61DED"/>
    <w:rsid w:val="00D6211A"/>
    <w:rsid w:val="00D62498"/>
    <w:rsid w:val="00D62505"/>
    <w:rsid w:val="00D6352F"/>
    <w:rsid w:val="00D64939"/>
    <w:rsid w:val="00D64DC2"/>
    <w:rsid w:val="00D659C0"/>
    <w:rsid w:val="00D65ABB"/>
    <w:rsid w:val="00D667C3"/>
    <w:rsid w:val="00D66CDA"/>
    <w:rsid w:val="00D67C16"/>
    <w:rsid w:val="00D67D5C"/>
    <w:rsid w:val="00D70196"/>
    <w:rsid w:val="00D71F54"/>
    <w:rsid w:val="00D71FF9"/>
    <w:rsid w:val="00D72270"/>
    <w:rsid w:val="00D7324A"/>
    <w:rsid w:val="00D76E3B"/>
    <w:rsid w:val="00D77973"/>
    <w:rsid w:val="00D8053C"/>
    <w:rsid w:val="00D8138A"/>
    <w:rsid w:val="00D83AA5"/>
    <w:rsid w:val="00D83AA9"/>
    <w:rsid w:val="00D85090"/>
    <w:rsid w:val="00D854CF"/>
    <w:rsid w:val="00D85787"/>
    <w:rsid w:val="00D86213"/>
    <w:rsid w:val="00D8646E"/>
    <w:rsid w:val="00D86AD5"/>
    <w:rsid w:val="00D87991"/>
    <w:rsid w:val="00D90400"/>
    <w:rsid w:val="00D92356"/>
    <w:rsid w:val="00D9246A"/>
    <w:rsid w:val="00D92494"/>
    <w:rsid w:val="00D9276A"/>
    <w:rsid w:val="00D92886"/>
    <w:rsid w:val="00D9337F"/>
    <w:rsid w:val="00D94241"/>
    <w:rsid w:val="00D945E8"/>
    <w:rsid w:val="00D950F3"/>
    <w:rsid w:val="00D95CE2"/>
    <w:rsid w:val="00D966F9"/>
    <w:rsid w:val="00D96926"/>
    <w:rsid w:val="00D976F8"/>
    <w:rsid w:val="00DA03BF"/>
    <w:rsid w:val="00DA0640"/>
    <w:rsid w:val="00DA11D1"/>
    <w:rsid w:val="00DA1B22"/>
    <w:rsid w:val="00DA3FA5"/>
    <w:rsid w:val="00DA420C"/>
    <w:rsid w:val="00DA4FDD"/>
    <w:rsid w:val="00DA59B9"/>
    <w:rsid w:val="00DA5A8C"/>
    <w:rsid w:val="00DA62A3"/>
    <w:rsid w:val="00DA6301"/>
    <w:rsid w:val="00DA65C0"/>
    <w:rsid w:val="00DA66FF"/>
    <w:rsid w:val="00DA696D"/>
    <w:rsid w:val="00DA7244"/>
    <w:rsid w:val="00DB044E"/>
    <w:rsid w:val="00DB057F"/>
    <w:rsid w:val="00DB06CC"/>
    <w:rsid w:val="00DB07A4"/>
    <w:rsid w:val="00DB0F7C"/>
    <w:rsid w:val="00DB136E"/>
    <w:rsid w:val="00DB20EC"/>
    <w:rsid w:val="00DB2A11"/>
    <w:rsid w:val="00DB2DFE"/>
    <w:rsid w:val="00DB389F"/>
    <w:rsid w:val="00DB41AE"/>
    <w:rsid w:val="00DB45F4"/>
    <w:rsid w:val="00DB4B1C"/>
    <w:rsid w:val="00DB4BC8"/>
    <w:rsid w:val="00DB5068"/>
    <w:rsid w:val="00DB561E"/>
    <w:rsid w:val="00DB75E7"/>
    <w:rsid w:val="00DB7EEE"/>
    <w:rsid w:val="00DC00D7"/>
    <w:rsid w:val="00DC0270"/>
    <w:rsid w:val="00DC0749"/>
    <w:rsid w:val="00DC1957"/>
    <w:rsid w:val="00DC26B1"/>
    <w:rsid w:val="00DC2D20"/>
    <w:rsid w:val="00DC436F"/>
    <w:rsid w:val="00DC4882"/>
    <w:rsid w:val="00DC48DC"/>
    <w:rsid w:val="00DC622E"/>
    <w:rsid w:val="00DC624D"/>
    <w:rsid w:val="00DC6940"/>
    <w:rsid w:val="00DC70BE"/>
    <w:rsid w:val="00DC76AA"/>
    <w:rsid w:val="00DC7D6A"/>
    <w:rsid w:val="00DC7DCB"/>
    <w:rsid w:val="00DD0FC8"/>
    <w:rsid w:val="00DD108A"/>
    <w:rsid w:val="00DD15D3"/>
    <w:rsid w:val="00DD1B29"/>
    <w:rsid w:val="00DD302D"/>
    <w:rsid w:val="00DD45B7"/>
    <w:rsid w:val="00DD5240"/>
    <w:rsid w:val="00DD582C"/>
    <w:rsid w:val="00DD5AD1"/>
    <w:rsid w:val="00DD7861"/>
    <w:rsid w:val="00DD7980"/>
    <w:rsid w:val="00DD7DE3"/>
    <w:rsid w:val="00DD7ECF"/>
    <w:rsid w:val="00DE0FDC"/>
    <w:rsid w:val="00DE252E"/>
    <w:rsid w:val="00DE2D66"/>
    <w:rsid w:val="00DE2E28"/>
    <w:rsid w:val="00DE38DA"/>
    <w:rsid w:val="00DE3F60"/>
    <w:rsid w:val="00DE5016"/>
    <w:rsid w:val="00DE55CA"/>
    <w:rsid w:val="00DE6209"/>
    <w:rsid w:val="00DE6D12"/>
    <w:rsid w:val="00DE7CF7"/>
    <w:rsid w:val="00DF13AD"/>
    <w:rsid w:val="00DF16C8"/>
    <w:rsid w:val="00DF1D1C"/>
    <w:rsid w:val="00DF1FFE"/>
    <w:rsid w:val="00DF33D7"/>
    <w:rsid w:val="00DF3BE8"/>
    <w:rsid w:val="00DF46CE"/>
    <w:rsid w:val="00DF4784"/>
    <w:rsid w:val="00DF6562"/>
    <w:rsid w:val="00DF65E0"/>
    <w:rsid w:val="00DF7C19"/>
    <w:rsid w:val="00E00491"/>
    <w:rsid w:val="00E01536"/>
    <w:rsid w:val="00E01D42"/>
    <w:rsid w:val="00E05D87"/>
    <w:rsid w:val="00E05EA8"/>
    <w:rsid w:val="00E05FBD"/>
    <w:rsid w:val="00E06009"/>
    <w:rsid w:val="00E063A7"/>
    <w:rsid w:val="00E063F1"/>
    <w:rsid w:val="00E07B82"/>
    <w:rsid w:val="00E07C64"/>
    <w:rsid w:val="00E1002D"/>
    <w:rsid w:val="00E10A9C"/>
    <w:rsid w:val="00E10D15"/>
    <w:rsid w:val="00E11195"/>
    <w:rsid w:val="00E11511"/>
    <w:rsid w:val="00E11657"/>
    <w:rsid w:val="00E11F17"/>
    <w:rsid w:val="00E13271"/>
    <w:rsid w:val="00E135CD"/>
    <w:rsid w:val="00E135E7"/>
    <w:rsid w:val="00E1370A"/>
    <w:rsid w:val="00E13E44"/>
    <w:rsid w:val="00E13F36"/>
    <w:rsid w:val="00E14250"/>
    <w:rsid w:val="00E149B3"/>
    <w:rsid w:val="00E14D35"/>
    <w:rsid w:val="00E1785A"/>
    <w:rsid w:val="00E17CF7"/>
    <w:rsid w:val="00E200BA"/>
    <w:rsid w:val="00E20659"/>
    <w:rsid w:val="00E21A9B"/>
    <w:rsid w:val="00E21AD9"/>
    <w:rsid w:val="00E21EE3"/>
    <w:rsid w:val="00E2219F"/>
    <w:rsid w:val="00E2222F"/>
    <w:rsid w:val="00E23D2F"/>
    <w:rsid w:val="00E23FF2"/>
    <w:rsid w:val="00E2451A"/>
    <w:rsid w:val="00E25194"/>
    <w:rsid w:val="00E261FB"/>
    <w:rsid w:val="00E2771D"/>
    <w:rsid w:val="00E303BD"/>
    <w:rsid w:val="00E310DF"/>
    <w:rsid w:val="00E31155"/>
    <w:rsid w:val="00E3130C"/>
    <w:rsid w:val="00E3243F"/>
    <w:rsid w:val="00E32AA3"/>
    <w:rsid w:val="00E33EEC"/>
    <w:rsid w:val="00E345A5"/>
    <w:rsid w:val="00E34A1B"/>
    <w:rsid w:val="00E37A7D"/>
    <w:rsid w:val="00E37FE0"/>
    <w:rsid w:val="00E40C6D"/>
    <w:rsid w:val="00E42C91"/>
    <w:rsid w:val="00E42D2D"/>
    <w:rsid w:val="00E43B2F"/>
    <w:rsid w:val="00E44893"/>
    <w:rsid w:val="00E45276"/>
    <w:rsid w:val="00E452B4"/>
    <w:rsid w:val="00E46710"/>
    <w:rsid w:val="00E50A1C"/>
    <w:rsid w:val="00E51368"/>
    <w:rsid w:val="00E51E9B"/>
    <w:rsid w:val="00E557CF"/>
    <w:rsid w:val="00E557DB"/>
    <w:rsid w:val="00E55B47"/>
    <w:rsid w:val="00E55CB3"/>
    <w:rsid w:val="00E55CBC"/>
    <w:rsid w:val="00E56638"/>
    <w:rsid w:val="00E6001F"/>
    <w:rsid w:val="00E609EF"/>
    <w:rsid w:val="00E60A12"/>
    <w:rsid w:val="00E6125A"/>
    <w:rsid w:val="00E62394"/>
    <w:rsid w:val="00E62B06"/>
    <w:rsid w:val="00E63DF9"/>
    <w:rsid w:val="00E657B2"/>
    <w:rsid w:val="00E65A41"/>
    <w:rsid w:val="00E65CE9"/>
    <w:rsid w:val="00E6631E"/>
    <w:rsid w:val="00E66643"/>
    <w:rsid w:val="00E666B9"/>
    <w:rsid w:val="00E670B1"/>
    <w:rsid w:val="00E673E6"/>
    <w:rsid w:val="00E67CE4"/>
    <w:rsid w:val="00E67D5F"/>
    <w:rsid w:val="00E7126A"/>
    <w:rsid w:val="00E719DD"/>
    <w:rsid w:val="00E724DE"/>
    <w:rsid w:val="00E732AA"/>
    <w:rsid w:val="00E73AE1"/>
    <w:rsid w:val="00E74363"/>
    <w:rsid w:val="00E7513F"/>
    <w:rsid w:val="00E779F3"/>
    <w:rsid w:val="00E80640"/>
    <w:rsid w:val="00E80D8A"/>
    <w:rsid w:val="00E8115A"/>
    <w:rsid w:val="00E81403"/>
    <w:rsid w:val="00E8272D"/>
    <w:rsid w:val="00E82DDA"/>
    <w:rsid w:val="00E8531F"/>
    <w:rsid w:val="00E85569"/>
    <w:rsid w:val="00E869C5"/>
    <w:rsid w:val="00E9006E"/>
    <w:rsid w:val="00E904D9"/>
    <w:rsid w:val="00E9072E"/>
    <w:rsid w:val="00E90B00"/>
    <w:rsid w:val="00E91FD8"/>
    <w:rsid w:val="00E937BC"/>
    <w:rsid w:val="00E93912"/>
    <w:rsid w:val="00E958D7"/>
    <w:rsid w:val="00E96B30"/>
    <w:rsid w:val="00E970A2"/>
    <w:rsid w:val="00E970A4"/>
    <w:rsid w:val="00E972A1"/>
    <w:rsid w:val="00E979D1"/>
    <w:rsid w:val="00E97E96"/>
    <w:rsid w:val="00EA0B12"/>
    <w:rsid w:val="00EA0B77"/>
    <w:rsid w:val="00EA0DD4"/>
    <w:rsid w:val="00EA18A4"/>
    <w:rsid w:val="00EA4E0A"/>
    <w:rsid w:val="00EA4F76"/>
    <w:rsid w:val="00EA51E9"/>
    <w:rsid w:val="00EA5805"/>
    <w:rsid w:val="00EA5F59"/>
    <w:rsid w:val="00EA6017"/>
    <w:rsid w:val="00EA6069"/>
    <w:rsid w:val="00EA6599"/>
    <w:rsid w:val="00EA6900"/>
    <w:rsid w:val="00EB0885"/>
    <w:rsid w:val="00EB1128"/>
    <w:rsid w:val="00EB2593"/>
    <w:rsid w:val="00EB276B"/>
    <w:rsid w:val="00EB452B"/>
    <w:rsid w:val="00EB4B7C"/>
    <w:rsid w:val="00EB5C14"/>
    <w:rsid w:val="00EB626D"/>
    <w:rsid w:val="00EB6365"/>
    <w:rsid w:val="00EB6374"/>
    <w:rsid w:val="00EB652B"/>
    <w:rsid w:val="00EC0534"/>
    <w:rsid w:val="00EC14D9"/>
    <w:rsid w:val="00EC1F54"/>
    <w:rsid w:val="00EC28CE"/>
    <w:rsid w:val="00EC2BDD"/>
    <w:rsid w:val="00EC313A"/>
    <w:rsid w:val="00EC3490"/>
    <w:rsid w:val="00EC376D"/>
    <w:rsid w:val="00EC4A2A"/>
    <w:rsid w:val="00EC4B06"/>
    <w:rsid w:val="00EC4E3C"/>
    <w:rsid w:val="00EC5294"/>
    <w:rsid w:val="00EC57ED"/>
    <w:rsid w:val="00EC5AB7"/>
    <w:rsid w:val="00EC5DDF"/>
    <w:rsid w:val="00EC625E"/>
    <w:rsid w:val="00EC6562"/>
    <w:rsid w:val="00EC6970"/>
    <w:rsid w:val="00EC6E59"/>
    <w:rsid w:val="00EC70E6"/>
    <w:rsid w:val="00EC7B67"/>
    <w:rsid w:val="00ED224C"/>
    <w:rsid w:val="00ED27C8"/>
    <w:rsid w:val="00ED2A76"/>
    <w:rsid w:val="00ED3362"/>
    <w:rsid w:val="00ED362C"/>
    <w:rsid w:val="00ED483D"/>
    <w:rsid w:val="00ED4F75"/>
    <w:rsid w:val="00ED6EEB"/>
    <w:rsid w:val="00EE0875"/>
    <w:rsid w:val="00EE0994"/>
    <w:rsid w:val="00EE0FB0"/>
    <w:rsid w:val="00EE1B11"/>
    <w:rsid w:val="00EE1D33"/>
    <w:rsid w:val="00EE3579"/>
    <w:rsid w:val="00EE3947"/>
    <w:rsid w:val="00EE436B"/>
    <w:rsid w:val="00EE4B9D"/>
    <w:rsid w:val="00EE51D2"/>
    <w:rsid w:val="00EE67DF"/>
    <w:rsid w:val="00EE7EE0"/>
    <w:rsid w:val="00EF1158"/>
    <w:rsid w:val="00EF1467"/>
    <w:rsid w:val="00EF1B4A"/>
    <w:rsid w:val="00EF3951"/>
    <w:rsid w:val="00EF4744"/>
    <w:rsid w:val="00EF4E77"/>
    <w:rsid w:val="00EF51D2"/>
    <w:rsid w:val="00EF55FD"/>
    <w:rsid w:val="00EF61F0"/>
    <w:rsid w:val="00EF709A"/>
    <w:rsid w:val="00EF7C2A"/>
    <w:rsid w:val="00F01627"/>
    <w:rsid w:val="00F01D7D"/>
    <w:rsid w:val="00F01FD6"/>
    <w:rsid w:val="00F02CF5"/>
    <w:rsid w:val="00F041EF"/>
    <w:rsid w:val="00F04F5F"/>
    <w:rsid w:val="00F05960"/>
    <w:rsid w:val="00F05DFF"/>
    <w:rsid w:val="00F06293"/>
    <w:rsid w:val="00F06639"/>
    <w:rsid w:val="00F06A2B"/>
    <w:rsid w:val="00F06ABD"/>
    <w:rsid w:val="00F11038"/>
    <w:rsid w:val="00F11213"/>
    <w:rsid w:val="00F1155D"/>
    <w:rsid w:val="00F11F81"/>
    <w:rsid w:val="00F121D6"/>
    <w:rsid w:val="00F1346A"/>
    <w:rsid w:val="00F1377A"/>
    <w:rsid w:val="00F13D13"/>
    <w:rsid w:val="00F13E80"/>
    <w:rsid w:val="00F14DB0"/>
    <w:rsid w:val="00F165AD"/>
    <w:rsid w:val="00F169DF"/>
    <w:rsid w:val="00F16FC3"/>
    <w:rsid w:val="00F20415"/>
    <w:rsid w:val="00F21F57"/>
    <w:rsid w:val="00F223A1"/>
    <w:rsid w:val="00F23066"/>
    <w:rsid w:val="00F231FA"/>
    <w:rsid w:val="00F24A36"/>
    <w:rsid w:val="00F2577E"/>
    <w:rsid w:val="00F26DE1"/>
    <w:rsid w:val="00F26FB7"/>
    <w:rsid w:val="00F30355"/>
    <w:rsid w:val="00F305C4"/>
    <w:rsid w:val="00F31750"/>
    <w:rsid w:val="00F31F78"/>
    <w:rsid w:val="00F32980"/>
    <w:rsid w:val="00F329A2"/>
    <w:rsid w:val="00F33C84"/>
    <w:rsid w:val="00F33FF4"/>
    <w:rsid w:val="00F3438A"/>
    <w:rsid w:val="00F3576A"/>
    <w:rsid w:val="00F35C7E"/>
    <w:rsid w:val="00F364E3"/>
    <w:rsid w:val="00F3654D"/>
    <w:rsid w:val="00F3670C"/>
    <w:rsid w:val="00F36924"/>
    <w:rsid w:val="00F36B71"/>
    <w:rsid w:val="00F36F27"/>
    <w:rsid w:val="00F37C45"/>
    <w:rsid w:val="00F37E4C"/>
    <w:rsid w:val="00F402E6"/>
    <w:rsid w:val="00F40D1C"/>
    <w:rsid w:val="00F41902"/>
    <w:rsid w:val="00F427CB"/>
    <w:rsid w:val="00F42B00"/>
    <w:rsid w:val="00F43598"/>
    <w:rsid w:val="00F43751"/>
    <w:rsid w:val="00F43DAB"/>
    <w:rsid w:val="00F45147"/>
    <w:rsid w:val="00F4692E"/>
    <w:rsid w:val="00F503C3"/>
    <w:rsid w:val="00F50FD9"/>
    <w:rsid w:val="00F51C08"/>
    <w:rsid w:val="00F53B8C"/>
    <w:rsid w:val="00F55A06"/>
    <w:rsid w:val="00F567D4"/>
    <w:rsid w:val="00F56DCE"/>
    <w:rsid w:val="00F56F4D"/>
    <w:rsid w:val="00F5778C"/>
    <w:rsid w:val="00F57E61"/>
    <w:rsid w:val="00F6036C"/>
    <w:rsid w:val="00F60D2F"/>
    <w:rsid w:val="00F614A7"/>
    <w:rsid w:val="00F625A5"/>
    <w:rsid w:val="00F63411"/>
    <w:rsid w:val="00F63DFC"/>
    <w:rsid w:val="00F64F24"/>
    <w:rsid w:val="00F64FFF"/>
    <w:rsid w:val="00F650ED"/>
    <w:rsid w:val="00F677EB"/>
    <w:rsid w:val="00F67F12"/>
    <w:rsid w:val="00F70B84"/>
    <w:rsid w:val="00F72827"/>
    <w:rsid w:val="00F735D4"/>
    <w:rsid w:val="00F73851"/>
    <w:rsid w:val="00F73C28"/>
    <w:rsid w:val="00F74ECC"/>
    <w:rsid w:val="00F752EA"/>
    <w:rsid w:val="00F7542B"/>
    <w:rsid w:val="00F75735"/>
    <w:rsid w:val="00F7624F"/>
    <w:rsid w:val="00F77434"/>
    <w:rsid w:val="00F776DC"/>
    <w:rsid w:val="00F7778E"/>
    <w:rsid w:val="00F77804"/>
    <w:rsid w:val="00F77B26"/>
    <w:rsid w:val="00F8026D"/>
    <w:rsid w:val="00F817AC"/>
    <w:rsid w:val="00F81877"/>
    <w:rsid w:val="00F81F39"/>
    <w:rsid w:val="00F83660"/>
    <w:rsid w:val="00F847B7"/>
    <w:rsid w:val="00F855F3"/>
    <w:rsid w:val="00F8665B"/>
    <w:rsid w:val="00F86835"/>
    <w:rsid w:val="00F90201"/>
    <w:rsid w:val="00F903DB"/>
    <w:rsid w:val="00F90B89"/>
    <w:rsid w:val="00F91341"/>
    <w:rsid w:val="00F91D50"/>
    <w:rsid w:val="00F92F26"/>
    <w:rsid w:val="00F93750"/>
    <w:rsid w:val="00F93D6D"/>
    <w:rsid w:val="00F9446C"/>
    <w:rsid w:val="00F95800"/>
    <w:rsid w:val="00F95952"/>
    <w:rsid w:val="00F96210"/>
    <w:rsid w:val="00F96327"/>
    <w:rsid w:val="00F96492"/>
    <w:rsid w:val="00F96BE9"/>
    <w:rsid w:val="00F97A92"/>
    <w:rsid w:val="00FA0959"/>
    <w:rsid w:val="00FA10E3"/>
    <w:rsid w:val="00FA11BF"/>
    <w:rsid w:val="00FA220F"/>
    <w:rsid w:val="00FA27D9"/>
    <w:rsid w:val="00FA2DA8"/>
    <w:rsid w:val="00FA30DA"/>
    <w:rsid w:val="00FA31D3"/>
    <w:rsid w:val="00FA3661"/>
    <w:rsid w:val="00FA36FD"/>
    <w:rsid w:val="00FA3B95"/>
    <w:rsid w:val="00FA3D72"/>
    <w:rsid w:val="00FA4014"/>
    <w:rsid w:val="00FA414E"/>
    <w:rsid w:val="00FA4442"/>
    <w:rsid w:val="00FA5FC1"/>
    <w:rsid w:val="00FA69C5"/>
    <w:rsid w:val="00FA798F"/>
    <w:rsid w:val="00FB00CE"/>
    <w:rsid w:val="00FB1F97"/>
    <w:rsid w:val="00FB250E"/>
    <w:rsid w:val="00FB3427"/>
    <w:rsid w:val="00FB3502"/>
    <w:rsid w:val="00FB414D"/>
    <w:rsid w:val="00FB4CDA"/>
    <w:rsid w:val="00FB5DD9"/>
    <w:rsid w:val="00FB5E00"/>
    <w:rsid w:val="00FB633A"/>
    <w:rsid w:val="00FB720E"/>
    <w:rsid w:val="00FB77D8"/>
    <w:rsid w:val="00FB7A3F"/>
    <w:rsid w:val="00FC031D"/>
    <w:rsid w:val="00FC0E94"/>
    <w:rsid w:val="00FC10ED"/>
    <w:rsid w:val="00FC17CB"/>
    <w:rsid w:val="00FC1B2B"/>
    <w:rsid w:val="00FC1CC9"/>
    <w:rsid w:val="00FC43E0"/>
    <w:rsid w:val="00FC4DDB"/>
    <w:rsid w:val="00FC5100"/>
    <w:rsid w:val="00FC5983"/>
    <w:rsid w:val="00FC6309"/>
    <w:rsid w:val="00FC6529"/>
    <w:rsid w:val="00FC6B3D"/>
    <w:rsid w:val="00FC7B27"/>
    <w:rsid w:val="00FD02DF"/>
    <w:rsid w:val="00FD08CE"/>
    <w:rsid w:val="00FD092B"/>
    <w:rsid w:val="00FD1342"/>
    <w:rsid w:val="00FD1A50"/>
    <w:rsid w:val="00FD2262"/>
    <w:rsid w:val="00FD26D0"/>
    <w:rsid w:val="00FD3095"/>
    <w:rsid w:val="00FD3433"/>
    <w:rsid w:val="00FD6594"/>
    <w:rsid w:val="00FD6A76"/>
    <w:rsid w:val="00FD77CE"/>
    <w:rsid w:val="00FD787D"/>
    <w:rsid w:val="00FD78A4"/>
    <w:rsid w:val="00FD7D7F"/>
    <w:rsid w:val="00FE02F4"/>
    <w:rsid w:val="00FE0CB5"/>
    <w:rsid w:val="00FE125B"/>
    <w:rsid w:val="00FE1B5B"/>
    <w:rsid w:val="00FE2216"/>
    <w:rsid w:val="00FE4047"/>
    <w:rsid w:val="00FE4462"/>
    <w:rsid w:val="00FE5133"/>
    <w:rsid w:val="00FE537B"/>
    <w:rsid w:val="00FE5769"/>
    <w:rsid w:val="00FE7999"/>
    <w:rsid w:val="00FE79E5"/>
    <w:rsid w:val="00FF0540"/>
    <w:rsid w:val="00FF05DF"/>
    <w:rsid w:val="00FF05EC"/>
    <w:rsid w:val="00FF1401"/>
    <w:rsid w:val="00FF1726"/>
    <w:rsid w:val="00FF17AD"/>
    <w:rsid w:val="00FF1A58"/>
    <w:rsid w:val="00FF2884"/>
    <w:rsid w:val="00FF2C30"/>
    <w:rsid w:val="00FF391D"/>
    <w:rsid w:val="00FF4140"/>
    <w:rsid w:val="00FF6D1D"/>
    <w:rsid w:val="00FF7420"/>
    <w:rsid w:val="00FF77C3"/>
    <w:rsid w:val="00FF7D4D"/>
    <w:rsid w:val="02234DAC"/>
    <w:rsid w:val="02D01CB8"/>
    <w:rsid w:val="04E83035"/>
    <w:rsid w:val="052D0A47"/>
    <w:rsid w:val="07576F3E"/>
    <w:rsid w:val="0A1254C0"/>
    <w:rsid w:val="0E177F7E"/>
    <w:rsid w:val="0F0FDE4E"/>
    <w:rsid w:val="0FAC2DC5"/>
    <w:rsid w:val="0FB25393"/>
    <w:rsid w:val="10D714C2"/>
    <w:rsid w:val="13FD1F2D"/>
    <w:rsid w:val="14902DA1"/>
    <w:rsid w:val="14A979BF"/>
    <w:rsid w:val="16290DB7"/>
    <w:rsid w:val="16F47540"/>
    <w:rsid w:val="174D0644"/>
    <w:rsid w:val="18A31A7B"/>
    <w:rsid w:val="19874772"/>
    <w:rsid w:val="198A6011"/>
    <w:rsid w:val="1A654388"/>
    <w:rsid w:val="1ABB7042"/>
    <w:rsid w:val="1D1674B1"/>
    <w:rsid w:val="1E885A3B"/>
    <w:rsid w:val="1F4FA77D"/>
    <w:rsid w:val="1FD74268"/>
    <w:rsid w:val="22963C78"/>
    <w:rsid w:val="23733FB9"/>
    <w:rsid w:val="2942452C"/>
    <w:rsid w:val="2B3C7F55"/>
    <w:rsid w:val="2B6F5734"/>
    <w:rsid w:val="2BBF4EDE"/>
    <w:rsid w:val="2E903197"/>
    <w:rsid w:val="2ECFBA0B"/>
    <w:rsid w:val="2FCD2621"/>
    <w:rsid w:val="2FCF827E"/>
    <w:rsid w:val="2FF7244C"/>
    <w:rsid w:val="303461F7"/>
    <w:rsid w:val="30A47560"/>
    <w:rsid w:val="33B73A4E"/>
    <w:rsid w:val="340A166E"/>
    <w:rsid w:val="34254E5C"/>
    <w:rsid w:val="378B60BB"/>
    <w:rsid w:val="37B2300D"/>
    <w:rsid w:val="3A982231"/>
    <w:rsid w:val="3B7F5E3B"/>
    <w:rsid w:val="3BD57167"/>
    <w:rsid w:val="3BD776DA"/>
    <w:rsid w:val="3CFFCFB4"/>
    <w:rsid w:val="3D907457"/>
    <w:rsid w:val="3DB78612"/>
    <w:rsid w:val="3DDB43E1"/>
    <w:rsid w:val="3DDB45CF"/>
    <w:rsid w:val="3DFDDF6D"/>
    <w:rsid w:val="3EEF83C7"/>
    <w:rsid w:val="3EF32575"/>
    <w:rsid w:val="3EFBEFA7"/>
    <w:rsid w:val="3EFF29F3"/>
    <w:rsid w:val="3EFF9099"/>
    <w:rsid w:val="3F937FF5"/>
    <w:rsid w:val="3FFC2566"/>
    <w:rsid w:val="3FFF68DA"/>
    <w:rsid w:val="418240BC"/>
    <w:rsid w:val="42C11106"/>
    <w:rsid w:val="43C43565"/>
    <w:rsid w:val="43E97A67"/>
    <w:rsid w:val="45D97854"/>
    <w:rsid w:val="46130FB8"/>
    <w:rsid w:val="464E62D3"/>
    <w:rsid w:val="47674738"/>
    <w:rsid w:val="483526DD"/>
    <w:rsid w:val="4856661B"/>
    <w:rsid w:val="49F22177"/>
    <w:rsid w:val="4A4D0811"/>
    <w:rsid w:val="4CD55D7F"/>
    <w:rsid w:val="4DA60CF0"/>
    <w:rsid w:val="4EBB21ED"/>
    <w:rsid w:val="4F4309B9"/>
    <w:rsid w:val="4FFAE9C9"/>
    <w:rsid w:val="4FFF435B"/>
    <w:rsid w:val="513A3BEC"/>
    <w:rsid w:val="516A664B"/>
    <w:rsid w:val="52FBB298"/>
    <w:rsid w:val="5349335F"/>
    <w:rsid w:val="555B2034"/>
    <w:rsid w:val="572F3B4C"/>
    <w:rsid w:val="577008B9"/>
    <w:rsid w:val="57FF8A1B"/>
    <w:rsid w:val="5930599A"/>
    <w:rsid w:val="59E84A8C"/>
    <w:rsid w:val="59FA71E7"/>
    <w:rsid w:val="5ADEE963"/>
    <w:rsid w:val="5AF7946F"/>
    <w:rsid w:val="5B6F34A8"/>
    <w:rsid w:val="5BCFD7CB"/>
    <w:rsid w:val="5BFFDFB2"/>
    <w:rsid w:val="5E7F2E28"/>
    <w:rsid w:val="5EBEB034"/>
    <w:rsid w:val="5EFFD9E8"/>
    <w:rsid w:val="5F97C0BD"/>
    <w:rsid w:val="5FBDA002"/>
    <w:rsid w:val="5FF9BAC6"/>
    <w:rsid w:val="5FFB7034"/>
    <w:rsid w:val="5FFD1992"/>
    <w:rsid w:val="617946BB"/>
    <w:rsid w:val="62713FBC"/>
    <w:rsid w:val="6289247D"/>
    <w:rsid w:val="62E80C8B"/>
    <w:rsid w:val="6329551F"/>
    <w:rsid w:val="63A728E8"/>
    <w:rsid w:val="648B71ED"/>
    <w:rsid w:val="65FD85E7"/>
    <w:rsid w:val="67373AFB"/>
    <w:rsid w:val="677F1E85"/>
    <w:rsid w:val="67E235FB"/>
    <w:rsid w:val="67FAA770"/>
    <w:rsid w:val="6837D612"/>
    <w:rsid w:val="6A57D5CF"/>
    <w:rsid w:val="6ABEC049"/>
    <w:rsid w:val="6BCC6911"/>
    <w:rsid w:val="6CEFB908"/>
    <w:rsid w:val="6D5A40A4"/>
    <w:rsid w:val="6D7E74A6"/>
    <w:rsid w:val="6E0848A2"/>
    <w:rsid w:val="6EBE6A58"/>
    <w:rsid w:val="6F6BC2BF"/>
    <w:rsid w:val="6FCDF9E2"/>
    <w:rsid w:val="6FD61142"/>
    <w:rsid w:val="71EF2B73"/>
    <w:rsid w:val="71FE2A84"/>
    <w:rsid w:val="723F7100"/>
    <w:rsid w:val="72772A0B"/>
    <w:rsid w:val="72F908E2"/>
    <w:rsid w:val="73552E7F"/>
    <w:rsid w:val="73BE2F22"/>
    <w:rsid w:val="74476936"/>
    <w:rsid w:val="757D23EB"/>
    <w:rsid w:val="75B6D8BF"/>
    <w:rsid w:val="75C64E50"/>
    <w:rsid w:val="75DF3D23"/>
    <w:rsid w:val="76C7B8EB"/>
    <w:rsid w:val="76EEB60D"/>
    <w:rsid w:val="77B76702"/>
    <w:rsid w:val="77CFB4B3"/>
    <w:rsid w:val="77F7D31F"/>
    <w:rsid w:val="79C22989"/>
    <w:rsid w:val="7AD1051F"/>
    <w:rsid w:val="7B331A49"/>
    <w:rsid w:val="7B7B2FEB"/>
    <w:rsid w:val="7B8F7FC1"/>
    <w:rsid w:val="7BCF8859"/>
    <w:rsid w:val="7BDDBFE9"/>
    <w:rsid w:val="7C6742C8"/>
    <w:rsid w:val="7CBF35EE"/>
    <w:rsid w:val="7D6E1EFC"/>
    <w:rsid w:val="7D7DD7BE"/>
    <w:rsid w:val="7D9EE2FB"/>
    <w:rsid w:val="7DC3D0FF"/>
    <w:rsid w:val="7DFE3CEC"/>
    <w:rsid w:val="7E5B0698"/>
    <w:rsid w:val="7EDA6F8C"/>
    <w:rsid w:val="7EFF3EEF"/>
    <w:rsid w:val="7EFF8743"/>
    <w:rsid w:val="7F2FFD9D"/>
    <w:rsid w:val="7F3F4C55"/>
    <w:rsid w:val="7F4565FF"/>
    <w:rsid w:val="7F75A3A6"/>
    <w:rsid w:val="7F77A96D"/>
    <w:rsid w:val="7F7BC785"/>
    <w:rsid w:val="7F7DD746"/>
    <w:rsid w:val="7F7F0BCF"/>
    <w:rsid w:val="7F9E79D7"/>
    <w:rsid w:val="7FBE6AC0"/>
    <w:rsid w:val="7FBF5EEB"/>
    <w:rsid w:val="7FEDE801"/>
    <w:rsid w:val="7FFCEC04"/>
    <w:rsid w:val="7FFD6898"/>
    <w:rsid w:val="7FFE19F0"/>
    <w:rsid w:val="7FFF6450"/>
    <w:rsid w:val="7FFF8BF4"/>
    <w:rsid w:val="7FFFB25D"/>
    <w:rsid w:val="7FFFF6E4"/>
    <w:rsid w:val="9D490148"/>
    <w:rsid w:val="9EFD000E"/>
    <w:rsid w:val="9F737B38"/>
    <w:rsid w:val="9FF19749"/>
    <w:rsid w:val="9FF98140"/>
    <w:rsid w:val="A76A7CF0"/>
    <w:rsid w:val="A78F9A2F"/>
    <w:rsid w:val="ABBFDF1C"/>
    <w:rsid w:val="AEBB7001"/>
    <w:rsid w:val="AEBFD4E4"/>
    <w:rsid w:val="B5E6C4F7"/>
    <w:rsid w:val="B65F9BA0"/>
    <w:rsid w:val="B7CF596A"/>
    <w:rsid w:val="B7DF95B8"/>
    <w:rsid w:val="BB3FA9DF"/>
    <w:rsid w:val="BD7F7FBE"/>
    <w:rsid w:val="BDBBE74B"/>
    <w:rsid w:val="BDBF9A31"/>
    <w:rsid w:val="BEFBBDA9"/>
    <w:rsid w:val="BF6F7F74"/>
    <w:rsid w:val="BF7FD8C1"/>
    <w:rsid w:val="BFBCA15C"/>
    <w:rsid w:val="BFFF1712"/>
    <w:rsid w:val="BFFFA72D"/>
    <w:rsid w:val="C4FDDC71"/>
    <w:rsid w:val="C6FF20AF"/>
    <w:rsid w:val="C7F13F8B"/>
    <w:rsid w:val="C7F5271F"/>
    <w:rsid w:val="CFA77E6A"/>
    <w:rsid w:val="D3965807"/>
    <w:rsid w:val="D6DFF5E0"/>
    <w:rsid w:val="D6E4A8CE"/>
    <w:rsid w:val="D7EFD0BB"/>
    <w:rsid w:val="D7FFC2B1"/>
    <w:rsid w:val="DBEEF43D"/>
    <w:rsid w:val="DD7BCF50"/>
    <w:rsid w:val="DDBE785E"/>
    <w:rsid w:val="DEFB43AB"/>
    <w:rsid w:val="DF3FA569"/>
    <w:rsid w:val="DF6E540A"/>
    <w:rsid w:val="DF72A286"/>
    <w:rsid w:val="DF85073F"/>
    <w:rsid w:val="DFFA8AD1"/>
    <w:rsid w:val="DFFEC441"/>
    <w:rsid w:val="E4FF743F"/>
    <w:rsid w:val="E6FF4148"/>
    <w:rsid w:val="E75FF4B6"/>
    <w:rsid w:val="E97F2273"/>
    <w:rsid w:val="EB7BDD8F"/>
    <w:rsid w:val="EBA700E5"/>
    <w:rsid w:val="EBB647F0"/>
    <w:rsid w:val="EDD90375"/>
    <w:rsid w:val="EE6795C4"/>
    <w:rsid w:val="EE7F2A2F"/>
    <w:rsid w:val="EEDD8C84"/>
    <w:rsid w:val="EF2F4167"/>
    <w:rsid w:val="EF7F32DB"/>
    <w:rsid w:val="EF8B1489"/>
    <w:rsid w:val="EFF7982B"/>
    <w:rsid w:val="EFF9D0EA"/>
    <w:rsid w:val="EFFF3BA7"/>
    <w:rsid w:val="F3CBCAF0"/>
    <w:rsid w:val="F3DD8D89"/>
    <w:rsid w:val="F5AD7CF5"/>
    <w:rsid w:val="F73F1727"/>
    <w:rsid w:val="F7FDDDC5"/>
    <w:rsid w:val="F7FF0DFE"/>
    <w:rsid w:val="F85B4A2B"/>
    <w:rsid w:val="F8F49E49"/>
    <w:rsid w:val="F9D18C3A"/>
    <w:rsid w:val="F9FADF28"/>
    <w:rsid w:val="FA371AA1"/>
    <w:rsid w:val="FADC60CB"/>
    <w:rsid w:val="FAF1716A"/>
    <w:rsid w:val="FAF6C16E"/>
    <w:rsid w:val="FBBFA354"/>
    <w:rsid w:val="FBDC4C82"/>
    <w:rsid w:val="FBEFAB0E"/>
    <w:rsid w:val="FBF5D494"/>
    <w:rsid w:val="FBFA2239"/>
    <w:rsid w:val="FBFF196F"/>
    <w:rsid w:val="FBFFFD35"/>
    <w:rsid w:val="FD227AC6"/>
    <w:rsid w:val="FD7C85EA"/>
    <w:rsid w:val="FDDFB43C"/>
    <w:rsid w:val="FDF695B5"/>
    <w:rsid w:val="FDF7823A"/>
    <w:rsid w:val="FE69788C"/>
    <w:rsid w:val="FE7FE49C"/>
    <w:rsid w:val="FEDDF6A8"/>
    <w:rsid w:val="FEFDC6B1"/>
    <w:rsid w:val="FEFE5FE5"/>
    <w:rsid w:val="FEFF0F08"/>
    <w:rsid w:val="FF7DBA7E"/>
    <w:rsid w:val="FF7F11ED"/>
    <w:rsid w:val="FF8E87BA"/>
    <w:rsid w:val="FF8EE4E8"/>
    <w:rsid w:val="FF978944"/>
    <w:rsid w:val="FFAF10F6"/>
    <w:rsid w:val="FFD67FB3"/>
    <w:rsid w:val="FFD7A702"/>
    <w:rsid w:val="FFDA4D56"/>
    <w:rsid w:val="FFECC964"/>
    <w:rsid w:val="FFEF33CD"/>
    <w:rsid w:val="FFEF5121"/>
    <w:rsid w:val="FFF7AB52"/>
    <w:rsid w:val="FFF9617A"/>
    <w:rsid w:val="FFFBECB4"/>
    <w:rsid w:val="FFFCFDA9"/>
    <w:rsid w:val="FFFEEE7B"/>
    <w:rsid w:val="FFFF1F6B"/>
    <w:rsid w:val="FFFF36F2"/>
    <w:rsid w:val="FFFFA097"/>
    <w:rsid w:val="FFFFE3A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name="index 1"/>
    <w:lsdException w:qFormat="1" w:unhideWhenUsed="0" w:uiPriority="0" w:name="index 2"/>
    <w:lsdException w:qFormat="1" w:unhideWhenUsed="0" w:uiPriority="0" w:name="index 3"/>
    <w:lsdException w:qFormat="1" w:unhideWhenUsed="0" w:uiPriority="0" w:name="index 4"/>
    <w:lsdException w:qFormat="1" w:unhideWhenUsed="0" w:uiPriority="0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qFormat="1" w:unhideWhenUsed="0" w:uiPriority="0" w:semiHidden="0" w:name="Normal Indent"/>
    <w:lsdException w:qFormat="1" w:unhideWhenUsed="0" w:uiPriority="0" w:name="footnote text"/>
    <w:lsdException w:qFormat="1" w:uiPriority="99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qFormat="1" w:unhideWhenUsed="0" w:uiPriority="0" w:name="index heading"/>
    <w:lsdException w:qFormat="1" w:unhideWhenUsed="0" w:uiPriority="0" w:semiHidden="0" w:name="caption"/>
    <w:lsdException w:qFormat="1" w:unhideWhenUsed="0" w:uiPriority="99" w:semiHidden="0" w:name="table of figures"/>
    <w:lsdException w:uiPriority="99" w:name="envelope address"/>
    <w:lsdException w:uiPriority="99" w:name="envelope return"/>
    <w:lsdException w:qFormat="1" w:unhideWhenUsed="0" w:uiPriority="0" w:name="footnote reference"/>
    <w:lsdException w:qFormat="1" w:uiPriority="99" w:name="annotation reference"/>
    <w:lsdException w:qFormat="1" w:unhideWhenUsed="0" w:uiPriority="0" w:semiHidden="0" w:name="line number"/>
    <w:lsdException w:qFormat="1" w:unhideWhenUsed="0" w:uiPriority="0" w:semiHidden="0" w:name="page number"/>
    <w:lsdException w:qFormat="1" w:unhideWhenUsed="0" w:uiPriority="0" w:name="endnote reference"/>
    <w:lsdException w:qFormat="1" w:unhideWhenUsed="0" w:uiPriority="0" w:name="endnote text"/>
    <w:lsdException w:qFormat="1" w:uiPriority="0" w:name="table of authorities"/>
    <w:lsdException w:uiPriority="99" w:name="macro"/>
    <w:lsdException w:qFormat="1" w:unhideWhenUsed="0" w:uiPriority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qFormat="1" w:unhideWhenUsed="0" w:uiPriority="0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qFormat="1" w:uiPriority="99" w:name="Date"/>
    <w:lsdException w:uiPriority="99" w:name="Body Text First Indent"/>
    <w:lsdException w:uiPriority="0" w:name="Body Text First Indent 2"/>
    <w:lsdException w:uiPriority="99" w:name="Note Heading"/>
    <w:lsdException w:qFormat="1" w:unhideWhenUsed="0" w:uiPriority="0" w:semiHidden="0" w:name="Body Text 2"/>
    <w:lsdException w:uiPriority="99" w:name="Body Text 3"/>
    <w:lsdException w:qFormat="1" w:unhideWhenUsed="0" w:uiPriority="0" w:semiHidden="0" w:name="Body Text Indent 2"/>
    <w:lsdException w:uiPriority="99" w:name="Body Text Indent 3"/>
    <w:lsdException w:qFormat="1" w:unhideWhenUsed="0" w:uiPriority="0" w:semiHidden="0" w:name="Block Text"/>
    <w:lsdException w:qFormat="1" w:unhideWhenUsed="0" w:uiPriority="99" w:semiHidden="0" w:name="Hyperlink"/>
    <w:lsdException w:uiPriority="0" w:name="FollowedHyperlink"/>
    <w:lsdException w:qFormat="1" w:unhideWhenUsed="0" w:uiPriority="22" w:semiHidden="0" w:name="Strong"/>
    <w:lsdException w:qFormat="1" w:unhideWhenUsed="0" w:uiPriority="0" w:semiHidden="0" w:name="Emphasis"/>
    <w:lsdException w:qFormat="1" w:unhideWhenUsed="0" w:uiPriority="99" w:name="Document Map"/>
    <w:lsdException w:qFormat="1"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qFormat="1" w:unhideWhenUsed="0" w:uiPriority="0" w:semiHidden="0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overflowPunct w:val="0"/>
      <w:autoSpaceDE w:val="0"/>
      <w:autoSpaceDN w:val="0"/>
      <w:adjustRightInd w:val="0"/>
      <w:spacing w:line="360" w:lineRule="auto"/>
      <w:textAlignment w:val="baseline"/>
    </w:pPr>
    <w:rPr>
      <w:rFonts w:ascii="Arial" w:hAnsi="Arial" w:eastAsia="宋体" w:cs="Times New Roman"/>
      <w:lang w:val="en-US" w:eastAsia="zh-CN" w:bidi="ar-SA"/>
    </w:rPr>
  </w:style>
  <w:style w:type="paragraph" w:styleId="2">
    <w:name w:val="heading 1"/>
    <w:basedOn w:val="1"/>
    <w:next w:val="1"/>
    <w:link w:val="80"/>
    <w:qFormat/>
    <w:uiPriority w:val="0"/>
    <w:pPr>
      <w:widowControl w:val="0"/>
      <w:numPr>
        <w:ilvl w:val="0"/>
        <w:numId w:val="1"/>
      </w:numPr>
      <w:tabs>
        <w:tab w:val="left" w:pos="320"/>
        <w:tab w:val="left" w:pos="720"/>
      </w:tabs>
      <w:spacing w:before="240" w:after="60"/>
      <w:ind w:left="0"/>
      <w:outlineLvl w:val="0"/>
    </w:pPr>
    <w:rPr>
      <w:b/>
      <w:color w:val="000000"/>
      <w:kern w:val="28"/>
      <w:sz w:val="24"/>
      <w:lang w:val="zh-CN"/>
    </w:rPr>
  </w:style>
  <w:style w:type="paragraph" w:styleId="3">
    <w:name w:val="heading 2"/>
    <w:basedOn w:val="1"/>
    <w:next w:val="1"/>
    <w:link w:val="81"/>
    <w:qFormat/>
    <w:uiPriority w:val="0"/>
    <w:pPr>
      <w:keepNext/>
      <w:numPr>
        <w:ilvl w:val="1"/>
        <w:numId w:val="1"/>
      </w:numPr>
      <w:tabs>
        <w:tab w:val="left" w:pos="1080"/>
      </w:tabs>
      <w:spacing w:before="120" w:after="60"/>
      <w:outlineLvl w:val="1"/>
    </w:pPr>
    <w:rPr>
      <w:b/>
      <w:sz w:val="24"/>
      <w:lang w:val="zh-CN"/>
    </w:rPr>
  </w:style>
  <w:style w:type="paragraph" w:styleId="4">
    <w:name w:val="heading 3"/>
    <w:basedOn w:val="1"/>
    <w:next w:val="1"/>
    <w:link w:val="82"/>
    <w:qFormat/>
    <w:uiPriority w:val="0"/>
    <w:pPr>
      <w:keepNext/>
      <w:numPr>
        <w:ilvl w:val="2"/>
        <w:numId w:val="1"/>
      </w:numPr>
      <w:tabs>
        <w:tab w:val="left" w:pos="1440"/>
      </w:tabs>
      <w:spacing w:before="120" w:after="60"/>
      <w:outlineLvl w:val="2"/>
    </w:pPr>
    <w:rPr>
      <w:b/>
      <w:lang w:val="zh-CN"/>
    </w:rPr>
  </w:style>
  <w:style w:type="paragraph" w:styleId="5">
    <w:name w:val="heading 4"/>
    <w:basedOn w:val="1"/>
    <w:next w:val="1"/>
    <w:link w:val="83"/>
    <w:qFormat/>
    <w:uiPriority w:val="0"/>
    <w:pPr>
      <w:keepNext/>
      <w:numPr>
        <w:ilvl w:val="3"/>
        <w:numId w:val="1"/>
      </w:numPr>
      <w:tabs>
        <w:tab w:val="left" w:pos="2160"/>
      </w:tabs>
      <w:spacing w:before="240" w:after="60"/>
      <w:outlineLvl w:val="3"/>
    </w:pPr>
    <w:rPr>
      <w:b/>
      <w:lang w:val="zh-CN"/>
    </w:rPr>
  </w:style>
  <w:style w:type="paragraph" w:styleId="6">
    <w:name w:val="heading 5"/>
    <w:basedOn w:val="1"/>
    <w:next w:val="1"/>
    <w:link w:val="215"/>
    <w:qFormat/>
    <w:uiPriority w:val="0"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7">
    <w:name w:val="heading 6"/>
    <w:basedOn w:val="1"/>
    <w:next w:val="1"/>
    <w:link w:val="216"/>
    <w:qFormat/>
    <w:uiPriority w:val="0"/>
    <w:pPr>
      <w:spacing w:before="240" w:after="60"/>
      <w:outlineLvl w:val="5"/>
    </w:pPr>
    <w:rPr>
      <w:rFonts w:ascii="Times New Roman" w:hAnsi="Times New Roman"/>
      <w:i/>
      <w:sz w:val="22"/>
    </w:rPr>
  </w:style>
  <w:style w:type="paragraph" w:styleId="8">
    <w:name w:val="heading 7"/>
    <w:basedOn w:val="1"/>
    <w:next w:val="1"/>
    <w:link w:val="217"/>
    <w:qFormat/>
    <w:uiPriority w:val="0"/>
    <w:pPr>
      <w:spacing w:before="240" w:after="60"/>
      <w:outlineLvl w:val="6"/>
    </w:pPr>
  </w:style>
  <w:style w:type="paragraph" w:styleId="9">
    <w:name w:val="heading 8"/>
    <w:basedOn w:val="1"/>
    <w:next w:val="1"/>
    <w:link w:val="218"/>
    <w:qFormat/>
    <w:uiPriority w:val="0"/>
    <w:pPr>
      <w:spacing w:before="240" w:after="60"/>
      <w:outlineLvl w:val="7"/>
    </w:pPr>
    <w:rPr>
      <w:i/>
    </w:rPr>
  </w:style>
  <w:style w:type="paragraph" w:styleId="10">
    <w:name w:val="heading 9"/>
    <w:basedOn w:val="1"/>
    <w:next w:val="1"/>
    <w:link w:val="219"/>
    <w:qFormat/>
    <w:uiPriority w:val="0"/>
    <w:pPr>
      <w:spacing w:before="240" w:after="60"/>
      <w:outlineLvl w:val="8"/>
    </w:pPr>
    <w:rPr>
      <w:b/>
      <w:i/>
      <w:sz w:val="18"/>
    </w:rPr>
  </w:style>
  <w:style w:type="character" w:default="1" w:styleId="71">
    <w:name w:val="Default Paragraph Font"/>
    <w:semiHidden/>
    <w:unhideWhenUsed/>
    <w:qFormat/>
    <w:uiPriority w:val="1"/>
  </w:style>
  <w:style w:type="table" w:default="1" w:styleId="6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List 3"/>
    <w:basedOn w:val="12"/>
    <w:qFormat/>
    <w:uiPriority w:val="0"/>
    <w:pPr>
      <w:ind w:left="2160"/>
    </w:pPr>
  </w:style>
  <w:style w:type="paragraph" w:styleId="12">
    <w:name w:val="List"/>
    <w:basedOn w:val="13"/>
    <w:qFormat/>
    <w:uiPriority w:val="0"/>
    <w:pPr>
      <w:overflowPunct/>
      <w:autoSpaceDE/>
      <w:autoSpaceDN/>
      <w:adjustRightInd/>
      <w:spacing w:before="120" w:after="120"/>
      <w:ind w:left="1440" w:hanging="360"/>
      <w:textAlignment w:val="auto"/>
    </w:pPr>
    <w:rPr>
      <w:sz w:val="22"/>
      <w:lang w:eastAsia="en-US"/>
    </w:rPr>
  </w:style>
  <w:style w:type="paragraph" w:styleId="13">
    <w:name w:val="Body Text"/>
    <w:basedOn w:val="1"/>
    <w:link w:val="104"/>
    <w:qFormat/>
    <w:uiPriority w:val="0"/>
    <w:pPr>
      <w:jc w:val="both"/>
    </w:pPr>
    <w:rPr>
      <w:sz w:val="24"/>
      <w:lang w:val="zh-CN"/>
    </w:rPr>
  </w:style>
  <w:style w:type="paragraph" w:styleId="14">
    <w:name w:val="toc 7"/>
    <w:basedOn w:val="1"/>
    <w:next w:val="1"/>
    <w:unhideWhenUsed/>
    <w:qFormat/>
    <w:uiPriority w:val="39"/>
    <w:pPr>
      <w:widowControl w:val="0"/>
      <w:overflowPunct/>
      <w:autoSpaceDE/>
      <w:autoSpaceDN/>
      <w:adjustRightInd/>
      <w:spacing w:line="240" w:lineRule="auto"/>
      <w:ind w:left="2520" w:leftChars="1200"/>
      <w:jc w:val="both"/>
      <w:textAlignment w:val="auto"/>
    </w:pPr>
    <w:rPr>
      <w:rFonts w:asciiTheme="minorHAnsi" w:hAnsiTheme="minorHAnsi" w:eastAsiaTheme="minorEastAsia" w:cstheme="minorBidi"/>
      <w:kern w:val="2"/>
      <w:sz w:val="21"/>
      <w:szCs w:val="22"/>
    </w:rPr>
  </w:style>
  <w:style w:type="paragraph" w:styleId="15">
    <w:name w:val="List Number 2"/>
    <w:basedOn w:val="16"/>
    <w:qFormat/>
    <w:uiPriority w:val="0"/>
    <w:pPr>
      <w:ind w:left="1800"/>
    </w:pPr>
  </w:style>
  <w:style w:type="paragraph" w:styleId="16">
    <w:name w:val="List Number"/>
    <w:basedOn w:val="12"/>
    <w:qFormat/>
    <w:uiPriority w:val="0"/>
  </w:style>
  <w:style w:type="paragraph" w:styleId="17">
    <w:name w:val="table of authorities"/>
    <w:basedOn w:val="1"/>
    <w:next w:val="1"/>
    <w:semiHidden/>
    <w:unhideWhenUsed/>
    <w:qFormat/>
    <w:uiPriority w:val="0"/>
    <w:pPr>
      <w:ind w:left="420" w:leftChars="200"/>
    </w:pPr>
  </w:style>
  <w:style w:type="paragraph" w:styleId="18">
    <w:name w:val="List Bullet 4"/>
    <w:basedOn w:val="19"/>
    <w:qFormat/>
    <w:uiPriority w:val="0"/>
    <w:pPr>
      <w:ind w:left="2520"/>
    </w:pPr>
  </w:style>
  <w:style w:type="paragraph" w:styleId="19">
    <w:name w:val="List Bullet"/>
    <w:basedOn w:val="12"/>
    <w:qFormat/>
    <w:uiPriority w:val="0"/>
    <w:pPr>
      <w:spacing w:before="0"/>
      <w:ind w:left="1800"/>
    </w:pPr>
  </w:style>
  <w:style w:type="paragraph" w:styleId="20">
    <w:name w:val="Normal Indent"/>
    <w:basedOn w:val="1"/>
    <w:link w:val="208"/>
    <w:qFormat/>
    <w:uiPriority w:val="0"/>
    <w:pPr>
      <w:widowControl w:val="0"/>
      <w:overflowPunct/>
      <w:autoSpaceDE/>
      <w:autoSpaceDN/>
      <w:adjustRightInd/>
      <w:spacing w:line="240" w:lineRule="auto"/>
      <w:ind w:firstLine="420"/>
      <w:jc w:val="both"/>
      <w:textAlignment w:val="auto"/>
    </w:pPr>
    <w:rPr>
      <w:rFonts w:ascii="Times New Roman" w:hAnsi="Times New Roman"/>
      <w:kern w:val="2"/>
      <w:sz w:val="21"/>
    </w:rPr>
  </w:style>
  <w:style w:type="paragraph" w:styleId="21">
    <w:name w:val="caption"/>
    <w:basedOn w:val="1"/>
    <w:next w:val="1"/>
    <w:qFormat/>
    <w:uiPriority w:val="0"/>
    <w:pPr>
      <w:overflowPunct/>
      <w:autoSpaceDE/>
      <w:autoSpaceDN/>
      <w:adjustRightInd/>
      <w:textAlignment w:val="auto"/>
    </w:pPr>
    <w:rPr>
      <w:b/>
      <w:bCs/>
      <w:u w:val="single"/>
    </w:rPr>
  </w:style>
  <w:style w:type="paragraph" w:styleId="22">
    <w:name w:val="index 5"/>
    <w:basedOn w:val="1"/>
    <w:next w:val="1"/>
    <w:semiHidden/>
    <w:qFormat/>
    <w:uiPriority w:val="0"/>
    <w:pPr>
      <w:overflowPunct/>
      <w:autoSpaceDE/>
      <w:autoSpaceDN/>
      <w:adjustRightInd/>
      <w:ind w:left="1800"/>
      <w:textAlignment w:val="auto"/>
    </w:pPr>
    <w:rPr>
      <w:rFonts w:eastAsia="Times New Roman"/>
      <w:sz w:val="22"/>
      <w:lang w:eastAsia="en-US"/>
    </w:rPr>
  </w:style>
  <w:style w:type="paragraph" w:styleId="23">
    <w:name w:val="Document Map"/>
    <w:basedOn w:val="1"/>
    <w:link w:val="221"/>
    <w:semiHidden/>
    <w:qFormat/>
    <w:uiPriority w:val="99"/>
    <w:pPr>
      <w:shd w:val="clear" w:color="auto" w:fill="000080"/>
    </w:pPr>
    <w:rPr>
      <w:rFonts w:ascii="Tahoma" w:hAnsi="Tahoma"/>
    </w:rPr>
  </w:style>
  <w:style w:type="paragraph" w:styleId="24">
    <w:name w:val="toa heading"/>
    <w:basedOn w:val="1"/>
    <w:next w:val="17"/>
    <w:semiHidden/>
    <w:qFormat/>
    <w:uiPriority w:val="0"/>
    <w:pPr>
      <w:keepNext/>
      <w:overflowPunct/>
      <w:autoSpaceDE/>
      <w:autoSpaceDN/>
      <w:adjustRightInd/>
      <w:spacing w:line="480" w:lineRule="atLeast"/>
      <w:ind w:left="1080"/>
      <w:textAlignment w:val="auto"/>
    </w:pPr>
    <w:rPr>
      <w:rFonts w:ascii="Arial Black" w:hAnsi="Arial Black" w:eastAsia="Times New Roman"/>
      <w:b/>
      <w:spacing w:val="-10"/>
      <w:kern w:val="28"/>
      <w:sz w:val="22"/>
      <w:lang w:eastAsia="en-US"/>
    </w:rPr>
  </w:style>
  <w:style w:type="paragraph" w:styleId="25">
    <w:name w:val="annotation text"/>
    <w:basedOn w:val="1"/>
    <w:link w:val="131"/>
    <w:unhideWhenUsed/>
    <w:qFormat/>
    <w:uiPriority w:val="99"/>
  </w:style>
  <w:style w:type="paragraph" w:styleId="26">
    <w:name w:val="List Bullet 3"/>
    <w:basedOn w:val="19"/>
    <w:qFormat/>
    <w:uiPriority w:val="0"/>
    <w:pPr>
      <w:ind w:left="2160"/>
    </w:pPr>
  </w:style>
  <w:style w:type="paragraph" w:styleId="27">
    <w:name w:val="Body Text Indent"/>
    <w:basedOn w:val="13"/>
    <w:link w:val="147"/>
    <w:qFormat/>
    <w:uiPriority w:val="0"/>
    <w:pPr>
      <w:overflowPunct/>
      <w:autoSpaceDE/>
      <w:autoSpaceDN/>
      <w:adjustRightInd/>
      <w:spacing w:before="120" w:after="120"/>
      <w:ind w:left="360"/>
      <w:textAlignment w:val="auto"/>
    </w:pPr>
    <w:rPr>
      <w:sz w:val="22"/>
      <w:lang w:eastAsia="en-US"/>
    </w:rPr>
  </w:style>
  <w:style w:type="paragraph" w:styleId="28">
    <w:name w:val="List Number 3"/>
    <w:basedOn w:val="16"/>
    <w:qFormat/>
    <w:uiPriority w:val="0"/>
    <w:pPr>
      <w:ind w:left="2160"/>
    </w:pPr>
  </w:style>
  <w:style w:type="paragraph" w:styleId="29">
    <w:name w:val="List 2"/>
    <w:basedOn w:val="12"/>
    <w:qFormat/>
    <w:uiPriority w:val="0"/>
    <w:pPr>
      <w:ind w:left="1800"/>
    </w:pPr>
  </w:style>
  <w:style w:type="paragraph" w:styleId="30">
    <w:name w:val="Block Text"/>
    <w:basedOn w:val="1"/>
    <w:qFormat/>
    <w:uiPriority w:val="0"/>
    <w:pPr>
      <w:overflowPunct/>
      <w:autoSpaceDE/>
      <w:autoSpaceDN/>
      <w:adjustRightInd/>
      <w:spacing w:after="120"/>
      <w:ind w:left="1440" w:right="1440"/>
      <w:textAlignment w:val="auto"/>
    </w:pPr>
    <w:rPr>
      <w:rFonts w:eastAsia="Times New Roman"/>
      <w:sz w:val="22"/>
      <w:lang w:eastAsia="en-US"/>
    </w:rPr>
  </w:style>
  <w:style w:type="paragraph" w:styleId="31">
    <w:name w:val="List Bullet 2"/>
    <w:basedOn w:val="19"/>
    <w:qFormat/>
    <w:uiPriority w:val="0"/>
  </w:style>
  <w:style w:type="paragraph" w:styleId="32">
    <w:name w:val="HTML Address"/>
    <w:basedOn w:val="1"/>
    <w:link w:val="197"/>
    <w:qFormat/>
    <w:uiPriority w:val="0"/>
    <w:pPr>
      <w:overflowPunct/>
      <w:autoSpaceDE/>
      <w:autoSpaceDN/>
      <w:adjustRightInd/>
      <w:textAlignment w:val="auto"/>
    </w:pPr>
    <w:rPr>
      <w:rFonts w:eastAsia="Times New Roman"/>
      <w:i/>
      <w:iCs/>
      <w:sz w:val="22"/>
      <w:lang w:eastAsia="en-US"/>
    </w:rPr>
  </w:style>
  <w:style w:type="paragraph" w:styleId="33">
    <w:name w:val="index 4"/>
    <w:basedOn w:val="1"/>
    <w:next w:val="1"/>
    <w:semiHidden/>
    <w:qFormat/>
    <w:uiPriority w:val="0"/>
    <w:pPr>
      <w:overflowPunct/>
      <w:autoSpaceDE/>
      <w:autoSpaceDN/>
      <w:adjustRightInd/>
      <w:ind w:left="1440"/>
      <w:textAlignment w:val="auto"/>
    </w:pPr>
    <w:rPr>
      <w:rFonts w:eastAsia="Times New Roman"/>
      <w:sz w:val="22"/>
      <w:lang w:eastAsia="en-US"/>
    </w:rPr>
  </w:style>
  <w:style w:type="paragraph" w:styleId="34">
    <w:name w:val="toc 5"/>
    <w:basedOn w:val="1"/>
    <w:next w:val="1"/>
    <w:unhideWhenUsed/>
    <w:qFormat/>
    <w:uiPriority w:val="39"/>
    <w:pPr>
      <w:widowControl w:val="0"/>
      <w:overflowPunct/>
      <w:autoSpaceDE/>
      <w:autoSpaceDN/>
      <w:adjustRightInd/>
      <w:spacing w:line="240" w:lineRule="auto"/>
      <w:ind w:left="1680" w:leftChars="800"/>
      <w:jc w:val="both"/>
      <w:textAlignment w:val="auto"/>
    </w:pPr>
    <w:rPr>
      <w:rFonts w:asciiTheme="minorHAnsi" w:hAnsiTheme="minorHAnsi" w:eastAsiaTheme="minorEastAsia" w:cstheme="minorBidi"/>
      <w:kern w:val="2"/>
      <w:sz w:val="21"/>
      <w:szCs w:val="22"/>
    </w:rPr>
  </w:style>
  <w:style w:type="paragraph" w:styleId="35">
    <w:name w:val="toc 3"/>
    <w:basedOn w:val="1"/>
    <w:next w:val="1"/>
    <w:unhideWhenUsed/>
    <w:qFormat/>
    <w:uiPriority w:val="39"/>
    <w:pPr>
      <w:ind w:left="840" w:leftChars="400"/>
    </w:pPr>
  </w:style>
  <w:style w:type="paragraph" w:styleId="36">
    <w:name w:val="Plain Text"/>
    <w:basedOn w:val="1"/>
    <w:link w:val="205"/>
    <w:semiHidden/>
    <w:unhideWhenUsed/>
    <w:qFormat/>
    <w:uiPriority w:val="99"/>
    <w:rPr>
      <w:rFonts w:ascii="宋体" w:hAnsi="Courier New" w:cs="Courier New"/>
      <w:sz w:val="21"/>
      <w:szCs w:val="21"/>
    </w:rPr>
  </w:style>
  <w:style w:type="paragraph" w:styleId="37">
    <w:name w:val="List Bullet 5"/>
    <w:basedOn w:val="19"/>
    <w:qFormat/>
    <w:uiPriority w:val="0"/>
    <w:pPr>
      <w:ind w:left="2880"/>
    </w:pPr>
  </w:style>
  <w:style w:type="paragraph" w:styleId="38">
    <w:name w:val="List Number 4"/>
    <w:basedOn w:val="16"/>
    <w:qFormat/>
    <w:uiPriority w:val="0"/>
    <w:pPr>
      <w:ind w:left="2520"/>
    </w:pPr>
  </w:style>
  <w:style w:type="paragraph" w:styleId="39">
    <w:name w:val="toc 8"/>
    <w:basedOn w:val="1"/>
    <w:next w:val="1"/>
    <w:unhideWhenUsed/>
    <w:qFormat/>
    <w:uiPriority w:val="39"/>
    <w:pPr>
      <w:widowControl w:val="0"/>
      <w:overflowPunct/>
      <w:autoSpaceDE/>
      <w:autoSpaceDN/>
      <w:adjustRightInd/>
      <w:spacing w:line="240" w:lineRule="auto"/>
      <w:ind w:left="2940" w:leftChars="1400"/>
      <w:jc w:val="both"/>
      <w:textAlignment w:val="auto"/>
    </w:pPr>
    <w:rPr>
      <w:rFonts w:asciiTheme="minorHAnsi" w:hAnsiTheme="minorHAnsi" w:eastAsiaTheme="minorEastAsia" w:cstheme="minorBidi"/>
      <w:kern w:val="2"/>
      <w:sz w:val="21"/>
      <w:szCs w:val="22"/>
    </w:rPr>
  </w:style>
  <w:style w:type="paragraph" w:styleId="40">
    <w:name w:val="index 3"/>
    <w:basedOn w:val="1"/>
    <w:next w:val="1"/>
    <w:semiHidden/>
    <w:qFormat/>
    <w:uiPriority w:val="0"/>
    <w:pPr>
      <w:overflowPunct/>
      <w:autoSpaceDE/>
      <w:autoSpaceDN/>
      <w:adjustRightInd/>
      <w:ind w:left="1080"/>
      <w:textAlignment w:val="auto"/>
    </w:pPr>
    <w:rPr>
      <w:rFonts w:eastAsia="Times New Roman"/>
      <w:sz w:val="22"/>
      <w:lang w:eastAsia="en-US"/>
    </w:rPr>
  </w:style>
  <w:style w:type="paragraph" w:styleId="41">
    <w:name w:val="Date"/>
    <w:basedOn w:val="1"/>
    <w:next w:val="1"/>
    <w:link w:val="214"/>
    <w:semiHidden/>
    <w:unhideWhenUsed/>
    <w:qFormat/>
    <w:uiPriority w:val="99"/>
    <w:pPr>
      <w:widowControl w:val="0"/>
      <w:overflowPunct/>
      <w:autoSpaceDE/>
      <w:autoSpaceDN/>
      <w:adjustRightInd/>
      <w:spacing w:line="240" w:lineRule="auto"/>
      <w:ind w:left="100" w:leftChars="2500"/>
      <w:jc w:val="both"/>
      <w:textAlignment w:val="auto"/>
    </w:pPr>
    <w:rPr>
      <w:rFonts w:asciiTheme="minorHAnsi" w:hAnsiTheme="minorHAnsi" w:eastAsiaTheme="minorEastAsia" w:cstheme="minorBidi"/>
      <w:kern w:val="2"/>
      <w:sz w:val="21"/>
      <w:szCs w:val="22"/>
    </w:rPr>
  </w:style>
  <w:style w:type="paragraph" w:styleId="42">
    <w:name w:val="Body Text Indent 2"/>
    <w:basedOn w:val="13"/>
    <w:link w:val="160"/>
    <w:qFormat/>
    <w:uiPriority w:val="0"/>
    <w:pPr>
      <w:spacing w:before="120" w:after="120"/>
      <w:ind w:left="720"/>
    </w:pPr>
    <w:rPr>
      <w:rFonts w:eastAsia="MS Mincho"/>
      <w:sz w:val="22"/>
      <w:lang w:eastAsia="en-US"/>
    </w:rPr>
  </w:style>
  <w:style w:type="paragraph" w:styleId="43">
    <w:name w:val="endnote text"/>
    <w:basedOn w:val="44"/>
    <w:link w:val="159"/>
    <w:semiHidden/>
    <w:qFormat/>
    <w:uiPriority w:val="0"/>
  </w:style>
  <w:style w:type="paragraph" w:customStyle="1" w:styleId="44">
    <w:name w:val="Footnote Base"/>
    <w:basedOn w:val="1"/>
    <w:qFormat/>
    <w:uiPriority w:val="0"/>
    <w:pPr>
      <w:keepLines/>
      <w:overflowPunct/>
      <w:autoSpaceDE/>
      <w:autoSpaceDN/>
      <w:adjustRightInd/>
      <w:spacing w:line="200" w:lineRule="atLeast"/>
      <w:ind w:left="1080"/>
      <w:textAlignment w:val="auto"/>
    </w:pPr>
    <w:rPr>
      <w:rFonts w:eastAsia="Times New Roman"/>
      <w:spacing w:val="-5"/>
      <w:sz w:val="16"/>
      <w:lang w:eastAsia="en-US"/>
    </w:rPr>
  </w:style>
  <w:style w:type="paragraph" w:styleId="45">
    <w:name w:val="Balloon Text"/>
    <w:basedOn w:val="1"/>
    <w:link w:val="113"/>
    <w:semiHidden/>
    <w:unhideWhenUsed/>
    <w:qFormat/>
    <w:uiPriority w:val="99"/>
    <w:rPr>
      <w:rFonts w:ascii="宋体"/>
      <w:sz w:val="18"/>
      <w:szCs w:val="18"/>
      <w:lang w:val="zh-CN"/>
    </w:rPr>
  </w:style>
  <w:style w:type="paragraph" w:styleId="46">
    <w:name w:val="footer"/>
    <w:basedOn w:val="1"/>
    <w:link w:val="88"/>
    <w:qFormat/>
    <w:uiPriority w:val="99"/>
    <w:pPr>
      <w:tabs>
        <w:tab w:val="center" w:pos="4320"/>
        <w:tab w:val="right" w:pos="8640"/>
      </w:tabs>
    </w:pPr>
    <w:rPr>
      <w:sz w:val="16"/>
      <w:lang w:val="zh-CN"/>
    </w:rPr>
  </w:style>
  <w:style w:type="paragraph" w:styleId="47">
    <w:name w:val="header"/>
    <w:basedOn w:val="1"/>
    <w:link w:val="84"/>
    <w:qFormat/>
    <w:uiPriority w:val="99"/>
    <w:pPr>
      <w:tabs>
        <w:tab w:val="center" w:pos="4320"/>
        <w:tab w:val="right" w:pos="8640"/>
      </w:tabs>
    </w:pPr>
    <w:rPr>
      <w:lang w:val="zh-CN"/>
    </w:rPr>
  </w:style>
  <w:style w:type="paragraph" w:styleId="48">
    <w:name w:val="toc 1"/>
    <w:basedOn w:val="1"/>
    <w:next w:val="1"/>
    <w:unhideWhenUsed/>
    <w:qFormat/>
    <w:uiPriority w:val="39"/>
    <w:pPr>
      <w:tabs>
        <w:tab w:val="left" w:pos="420"/>
        <w:tab w:val="right" w:leader="dot" w:pos="9737"/>
      </w:tabs>
    </w:pPr>
  </w:style>
  <w:style w:type="paragraph" w:styleId="49">
    <w:name w:val="toc 4"/>
    <w:basedOn w:val="1"/>
    <w:next w:val="1"/>
    <w:unhideWhenUsed/>
    <w:qFormat/>
    <w:uiPriority w:val="39"/>
    <w:pPr>
      <w:widowControl w:val="0"/>
      <w:overflowPunct/>
      <w:autoSpaceDE/>
      <w:autoSpaceDN/>
      <w:adjustRightInd/>
      <w:spacing w:line="240" w:lineRule="auto"/>
      <w:ind w:left="1260" w:leftChars="600"/>
      <w:jc w:val="both"/>
      <w:textAlignment w:val="auto"/>
    </w:pPr>
    <w:rPr>
      <w:rFonts w:asciiTheme="minorHAnsi" w:hAnsiTheme="minorHAnsi" w:eastAsiaTheme="minorEastAsia" w:cstheme="minorBidi"/>
      <w:kern w:val="2"/>
      <w:sz w:val="21"/>
      <w:szCs w:val="22"/>
    </w:rPr>
  </w:style>
  <w:style w:type="paragraph" w:styleId="50">
    <w:name w:val="index heading"/>
    <w:basedOn w:val="51"/>
    <w:next w:val="52"/>
    <w:semiHidden/>
    <w:qFormat/>
    <w:uiPriority w:val="0"/>
    <w:pPr>
      <w:keepLines w:val="0"/>
      <w:spacing w:before="0" w:line="480" w:lineRule="atLeast"/>
      <w:ind w:left="0"/>
    </w:pPr>
    <w:rPr>
      <w:rFonts w:ascii="Arial Black" w:hAnsi="Arial Black"/>
      <w:spacing w:val="-5"/>
      <w:kern w:val="0"/>
      <w:sz w:val="24"/>
    </w:rPr>
  </w:style>
  <w:style w:type="paragraph" w:customStyle="1" w:styleId="51">
    <w:name w:val="Heading Base"/>
    <w:basedOn w:val="1"/>
    <w:next w:val="13"/>
    <w:qFormat/>
    <w:uiPriority w:val="0"/>
    <w:pPr>
      <w:keepNext/>
      <w:keepLines/>
      <w:overflowPunct/>
      <w:autoSpaceDE/>
      <w:autoSpaceDN/>
      <w:adjustRightInd/>
      <w:spacing w:before="140" w:line="220" w:lineRule="atLeast"/>
      <w:ind w:left="1080"/>
      <w:textAlignment w:val="auto"/>
    </w:pPr>
    <w:rPr>
      <w:rFonts w:eastAsia="Times New Roman"/>
      <w:spacing w:val="-4"/>
      <w:kern w:val="28"/>
      <w:sz w:val="22"/>
      <w:lang w:eastAsia="en-US"/>
    </w:rPr>
  </w:style>
  <w:style w:type="paragraph" w:styleId="52">
    <w:name w:val="index 1"/>
    <w:basedOn w:val="1"/>
    <w:next w:val="1"/>
    <w:semiHidden/>
    <w:qFormat/>
    <w:uiPriority w:val="0"/>
    <w:pPr>
      <w:overflowPunct/>
      <w:autoSpaceDE/>
      <w:autoSpaceDN/>
      <w:adjustRightInd/>
      <w:textAlignment w:val="auto"/>
    </w:pPr>
    <w:rPr>
      <w:rFonts w:eastAsia="Times New Roman"/>
      <w:sz w:val="22"/>
      <w:lang w:eastAsia="en-US"/>
    </w:rPr>
  </w:style>
  <w:style w:type="paragraph" w:styleId="53">
    <w:name w:val="Subtitle"/>
    <w:basedOn w:val="54"/>
    <w:next w:val="13"/>
    <w:link w:val="136"/>
    <w:qFormat/>
    <w:uiPriority w:val="0"/>
    <w:pPr>
      <w:keepNext/>
      <w:keepLines/>
      <w:overflowPunct/>
      <w:autoSpaceDE/>
      <w:autoSpaceDN/>
      <w:adjustRightInd/>
      <w:spacing w:before="60" w:after="120" w:line="340" w:lineRule="atLeast"/>
      <w:jc w:val="right"/>
      <w:textAlignment w:val="auto"/>
    </w:pPr>
    <w:rPr>
      <w:rFonts w:eastAsia="Times New Roman" w:cs="Arial"/>
      <w:spacing w:val="-16"/>
      <w:sz w:val="32"/>
      <w:szCs w:val="44"/>
      <w:lang w:eastAsia="en-US"/>
    </w:rPr>
  </w:style>
  <w:style w:type="paragraph" w:styleId="54">
    <w:name w:val="Title"/>
    <w:basedOn w:val="1"/>
    <w:link w:val="105"/>
    <w:qFormat/>
    <w:uiPriority w:val="0"/>
    <w:pPr>
      <w:spacing w:before="240" w:after="60"/>
      <w:jc w:val="center"/>
    </w:pPr>
    <w:rPr>
      <w:b/>
      <w:kern w:val="28"/>
      <w:sz w:val="36"/>
      <w:lang w:val="zh-CN"/>
    </w:rPr>
  </w:style>
  <w:style w:type="paragraph" w:styleId="55">
    <w:name w:val="List Number 5"/>
    <w:basedOn w:val="16"/>
    <w:qFormat/>
    <w:uiPriority w:val="0"/>
    <w:pPr>
      <w:ind w:left="2880"/>
    </w:pPr>
  </w:style>
  <w:style w:type="paragraph" w:styleId="56">
    <w:name w:val="footnote text"/>
    <w:basedOn w:val="1"/>
    <w:semiHidden/>
    <w:qFormat/>
    <w:uiPriority w:val="0"/>
    <w:rPr>
      <w:rFonts w:ascii="Times New Roman" w:hAnsi="Times New Roman"/>
    </w:rPr>
  </w:style>
  <w:style w:type="paragraph" w:styleId="57">
    <w:name w:val="toc 6"/>
    <w:basedOn w:val="1"/>
    <w:next w:val="1"/>
    <w:unhideWhenUsed/>
    <w:qFormat/>
    <w:uiPriority w:val="39"/>
    <w:pPr>
      <w:widowControl w:val="0"/>
      <w:overflowPunct/>
      <w:autoSpaceDE/>
      <w:autoSpaceDN/>
      <w:adjustRightInd/>
      <w:spacing w:line="240" w:lineRule="auto"/>
      <w:ind w:left="2100" w:leftChars="1000"/>
      <w:jc w:val="both"/>
      <w:textAlignment w:val="auto"/>
    </w:pPr>
    <w:rPr>
      <w:rFonts w:asciiTheme="minorHAnsi" w:hAnsiTheme="minorHAnsi" w:eastAsiaTheme="minorEastAsia" w:cstheme="minorBidi"/>
      <w:kern w:val="2"/>
      <w:sz w:val="21"/>
      <w:szCs w:val="22"/>
    </w:rPr>
  </w:style>
  <w:style w:type="paragraph" w:styleId="58">
    <w:name w:val="List 5"/>
    <w:basedOn w:val="12"/>
    <w:qFormat/>
    <w:uiPriority w:val="0"/>
    <w:pPr>
      <w:ind w:left="2880"/>
    </w:pPr>
  </w:style>
  <w:style w:type="paragraph" w:styleId="59">
    <w:name w:val="table of figures"/>
    <w:basedOn w:val="60"/>
    <w:next w:val="1"/>
    <w:qFormat/>
    <w:uiPriority w:val="99"/>
    <w:pPr>
      <w:tabs>
        <w:tab w:val="right" w:leader="dot" w:pos="6480"/>
      </w:tabs>
      <w:spacing w:after="0" w:line="240" w:lineRule="auto"/>
      <w:ind w:left="400" w:hanging="400"/>
    </w:pPr>
    <w:rPr>
      <w:rFonts w:ascii="Times New Roman" w:hAnsi="Times New Roman"/>
      <w:smallCaps/>
      <w:spacing w:val="0"/>
      <w:szCs w:val="24"/>
    </w:rPr>
  </w:style>
  <w:style w:type="paragraph" w:customStyle="1" w:styleId="60">
    <w:name w:val="TOC Base"/>
    <w:basedOn w:val="1"/>
    <w:qFormat/>
    <w:uiPriority w:val="0"/>
    <w:pPr>
      <w:tabs>
        <w:tab w:val="right" w:leader="dot" w:pos="6480"/>
      </w:tabs>
      <w:overflowPunct/>
      <w:autoSpaceDE/>
      <w:autoSpaceDN/>
      <w:adjustRightInd/>
      <w:spacing w:after="240" w:line="240" w:lineRule="atLeast"/>
      <w:textAlignment w:val="auto"/>
    </w:pPr>
    <w:rPr>
      <w:rFonts w:eastAsia="Times New Roman"/>
      <w:spacing w:val="-5"/>
      <w:sz w:val="22"/>
      <w:lang w:eastAsia="en-US"/>
    </w:rPr>
  </w:style>
  <w:style w:type="paragraph" w:styleId="61">
    <w:name w:val="toc 2"/>
    <w:basedOn w:val="1"/>
    <w:next w:val="1"/>
    <w:unhideWhenUsed/>
    <w:qFormat/>
    <w:uiPriority w:val="39"/>
    <w:pPr>
      <w:tabs>
        <w:tab w:val="left" w:pos="1050"/>
        <w:tab w:val="right" w:leader="dot" w:pos="9737"/>
      </w:tabs>
      <w:ind w:left="400" w:leftChars="200"/>
    </w:pPr>
    <w:rPr>
      <w:rFonts w:ascii="宋体" w:hAnsi="宋体" w:cs="Arial"/>
    </w:rPr>
  </w:style>
  <w:style w:type="paragraph" w:styleId="62">
    <w:name w:val="toc 9"/>
    <w:basedOn w:val="1"/>
    <w:next w:val="1"/>
    <w:unhideWhenUsed/>
    <w:qFormat/>
    <w:uiPriority w:val="39"/>
    <w:pPr>
      <w:widowControl w:val="0"/>
      <w:overflowPunct/>
      <w:autoSpaceDE/>
      <w:autoSpaceDN/>
      <w:adjustRightInd/>
      <w:spacing w:line="240" w:lineRule="auto"/>
      <w:ind w:left="3360" w:leftChars="1600"/>
      <w:jc w:val="both"/>
      <w:textAlignment w:val="auto"/>
    </w:pPr>
    <w:rPr>
      <w:rFonts w:asciiTheme="minorHAnsi" w:hAnsiTheme="minorHAnsi" w:eastAsiaTheme="minorEastAsia" w:cstheme="minorBidi"/>
      <w:kern w:val="2"/>
      <w:sz w:val="21"/>
      <w:szCs w:val="22"/>
    </w:rPr>
  </w:style>
  <w:style w:type="paragraph" w:styleId="63">
    <w:name w:val="Body Text 2"/>
    <w:basedOn w:val="1"/>
    <w:qFormat/>
    <w:uiPriority w:val="0"/>
    <w:pPr>
      <w:ind w:left="360"/>
    </w:pPr>
    <w:rPr>
      <w:color w:val="FF0000"/>
    </w:rPr>
  </w:style>
  <w:style w:type="paragraph" w:styleId="64">
    <w:name w:val="List 4"/>
    <w:basedOn w:val="12"/>
    <w:qFormat/>
    <w:uiPriority w:val="0"/>
    <w:pPr>
      <w:ind w:left="2520"/>
    </w:pPr>
  </w:style>
  <w:style w:type="paragraph" w:styleId="65">
    <w:name w:val="Normal (Web)"/>
    <w:basedOn w:val="1"/>
    <w:unhideWhenUsed/>
    <w:qFormat/>
    <w:uiPriority w:val="99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宋体" w:hAnsi="宋体" w:cs="宋体"/>
      <w:sz w:val="24"/>
      <w:szCs w:val="24"/>
    </w:rPr>
  </w:style>
  <w:style w:type="paragraph" w:styleId="66">
    <w:name w:val="List Continue 3"/>
    <w:basedOn w:val="1"/>
    <w:qFormat/>
    <w:uiPriority w:val="0"/>
    <w:pPr>
      <w:overflowPunct/>
      <w:autoSpaceDE/>
      <w:autoSpaceDN/>
      <w:adjustRightInd/>
      <w:spacing w:before="120" w:after="120" w:line="240" w:lineRule="atLeast"/>
      <w:ind w:left="2520"/>
      <w:jc w:val="both"/>
      <w:textAlignment w:val="auto"/>
    </w:pPr>
    <w:rPr>
      <w:rFonts w:eastAsia="Times New Roman"/>
      <w:spacing w:val="-5"/>
      <w:sz w:val="22"/>
      <w:lang w:eastAsia="en-US"/>
    </w:rPr>
  </w:style>
  <w:style w:type="paragraph" w:styleId="67">
    <w:name w:val="index 2"/>
    <w:basedOn w:val="1"/>
    <w:next w:val="1"/>
    <w:semiHidden/>
    <w:qFormat/>
    <w:uiPriority w:val="0"/>
    <w:pPr>
      <w:overflowPunct/>
      <w:autoSpaceDE/>
      <w:autoSpaceDN/>
      <w:adjustRightInd/>
      <w:ind w:left="720"/>
      <w:textAlignment w:val="auto"/>
    </w:pPr>
    <w:rPr>
      <w:rFonts w:eastAsia="Times New Roman"/>
      <w:sz w:val="22"/>
      <w:lang w:eastAsia="en-US"/>
    </w:rPr>
  </w:style>
  <w:style w:type="paragraph" w:styleId="68">
    <w:name w:val="annotation subject"/>
    <w:basedOn w:val="25"/>
    <w:next w:val="25"/>
    <w:link w:val="132"/>
    <w:semiHidden/>
    <w:unhideWhenUsed/>
    <w:qFormat/>
    <w:uiPriority w:val="99"/>
    <w:rPr>
      <w:b/>
      <w:bCs/>
    </w:rPr>
  </w:style>
  <w:style w:type="table" w:styleId="70">
    <w:name w:val="Table Grid"/>
    <w:basedOn w:val="6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2">
    <w:name w:val="Strong"/>
    <w:basedOn w:val="71"/>
    <w:qFormat/>
    <w:uiPriority w:val="22"/>
    <w:rPr>
      <w:b/>
      <w:bCs/>
    </w:rPr>
  </w:style>
  <w:style w:type="character" w:styleId="73">
    <w:name w:val="endnote reference"/>
    <w:semiHidden/>
    <w:qFormat/>
    <w:uiPriority w:val="0"/>
    <w:rPr>
      <w:vertAlign w:val="superscript"/>
    </w:rPr>
  </w:style>
  <w:style w:type="character" w:styleId="74">
    <w:name w:val="page number"/>
    <w:basedOn w:val="71"/>
    <w:qFormat/>
    <w:uiPriority w:val="0"/>
  </w:style>
  <w:style w:type="character" w:styleId="75">
    <w:name w:val="Emphasis"/>
    <w:qFormat/>
    <w:uiPriority w:val="0"/>
    <w:rPr>
      <w:rFonts w:ascii="Arial Black" w:hAnsi="Arial Black"/>
      <w:spacing w:val="-4"/>
      <w:sz w:val="18"/>
    </w:rPr>
  </w:style>
  <w:style w:type="character" w:styleId="76">
    <w:name w:val="line number"/>
    <w:qFormat/>
    <w:uiPriority w:val="0"/>
    <w:rPr>
      <w:sz w:val="18"/>
    </w:rPr>
  </w:style>
  <w:style w:type="character" w:styleId="77">
    <w:name w:val="Hyperlink"/>
    <w:basedOn w:val="71"/>
    <w:qFormat/>
    <w:uiPriority w:val="99"/>
    <w:rPr>
      <w:color w:val="0000FF"/>
      <w:u w:val="single"/>
    </w:rPr>
  </w:style>
  <w:style w:type="character" w:styleId="78">
    <w:name w:val="annotation reference"/>
    <w:semiHidden/>
    <w:unhideWhenUsed/>
    <w:qFormat/>
    <w:uiPriority w:val="99"/>
    <w:rPr>
      <w:sz w:val="21"/>
      <w:szCs w:val="21"/>
    </w:rPr>
  </w:style>
  <w:style w:type="character" w:styleId="79">
    <w:name w:val="footnote reference"/>
    <w:semiHidden/>
    <w:qFormat/>
    <w:uiPriority w:val="0"/>
    <w:rPr>
      <w:vertAlign w:val="superscript"/>
    </w:rPr>
  </w:style>
  <w:style w:type="character" w:customStyle="1" w:styleId="80">
    <w:name w:val="标题 1 字符"/>
    <w:link w:val="2"/>
    <w:qFormat/>
    <w:uiPriority w:val="0"/>
    <w:rPr>
      <w:rFonts w:ascii="Arial" w:hAnsi="Arial"/>
      <w:b/>
      <w:color w:val="000000"/>
      <w:kern w:val="28"/>
      <w:sz w:val="24"/>
      <w:lang w:val="zh-CN"/>
    </w:rPr>
  </w:style>
  <w:style w:type="character" w:customStyle="1" w:styleId="81">
    <w:name w:val="标题 2 字符"/>
    <w:link w:val="3"/>
    <w:qFormat/>
    <w:uiPriority w:val="0"/>
    <w:rPr>
      <w:rFonts w:ascii="Arial" w:hAnsi="Arial"/>
      <w:b/>
      <w:sz w:val="24"/>
      <w:lang w:val="zh-CN"/>
    </w:rPr>
  </w:style>
  <w:style w:type="character" w:customStyle="1" w:styleId="82">
    <w:name w:val="标题 3 字符"/>
    <w:link w:val="4"/>
    <w:qFormat/>
    <w:uiPriority w:val="0"/>
    <w:rPr>
      <w:rFonts w:ascii="Arial" w:hAnsi="Arial"/>
      <w:b/>
      <w:lang w:val="zh-CN"/>
    </w:rPr>
  </w:style>
  <w:style w:type="character" w:customStyle="1" w:styleId="83">
    <w:name w:val="标题 4 字符"/>
    <w:link w:val="5"/>
    <w:qFormat/>
    <w:uiPriority w:val="0"/>
    <w:rPr>
      <w:rFonts w:ascii="Arial" w:hAnsi="Arial"/>
      <w:b/>
      <w:lang w:val="zh-CN"/>
    </w:rPr>
  </w:style>
  <w:style w:type="character" w:customStyle="1" w:styleId="84">
    <w:name w:val="页眉 字符"/>
    <w:link w:val="47"/>
    <w:qFormat/>
    <w:locked/>
    <w:uiPriority w:val="99"/>
    <w:rPr>
      <w:rFonts w:ascii="Arial" w:hAnsi="Arial"/>
    </w:rPr>
  </w:style>
  <w:style w:type="paragraph" w:customStyle="1" w:styleId="85">
    <w:name w:val="Heading 1 Comment"/>
    <w:basedOn w:val="2"/>
    <w:qFormat/>
    <w:uiPriority w:val="0"/>
    <w:pPr>
      <w:numPr>
        <w:numId w:val="0"/>
      </w:numPr>
      <w:ind w:left="720" w:hanging="720"/>
      <w:outlineLvl w:val="9"/>
    </w:pPr>
    <w:rPr>
      <w:color w:val="FF0000"/>
    </w:rPr>
  </w:style>
  <w:style w:type="paragraph" w:customStyle="1" w:styleId="86">
    <w:name w:val="Heading 2 Comment"/>
    <w:basedOn w:val="3"/>
    <w:qFormat/>
    <w:uiPriority w:val="0"/>
    <w:pPr>
      <w:numPr>
        <w:ilvl w:val="0"/>
        <w:numId w:val="0"/>
      </w:numPr>
      <w:ind w:left="1080" w:hanging="720"/>
      <w:outlineLvl w:val="9"/>
    </w:pPr>
    <w:rPr>
      <w:color w:val="FF0000"/>
    </w:rPr>
  </w:style>
  <w:style w:type="paragraph" w:customStyle="1" w:styleId="87">
    <w:name w:val="Normal Comment"/>
    <w:basedOn w:val="1"/>
    <w:qFormat/>
    <w:uiPriority w:val="0"/>
    <w:rPr>
      <w:color w:val="FF0000"/>
    </w:rPr>
  </w:style>
  <w:style w:type="character" w:customStyle="1" w:styleId="88">
    <w:name w:val="页脚 字符1"/>
    <w:link w:val="46"/>
    <w:qFormat/>
    <w:locked/>
    <w:uiPriority w:val="0"/>
    <w:rPr>
      <w:rFonts w:ascii="Arial" w:hAnsi="Arial"/>
      <w:sz w:val="16"/>
      <w:lang w:val="zh-CN" w:eastAsia="zh-CN"/>
    </w:rPr>
  </w:style>
  <w:style w:type="paragraph" w:customStyle="1" w:styleId="89">
    <w:name w:val="Head 2 numbered"/>
    <w:basedOn w:val="90"/>
    <w:next w:val="3"/>
    <w:qFormat/>
    <w:uiPriority w:val="0"/>
    <w:pPr>
      <w:tabs>
        <w:tab w:val="left" w:pos="320"/>
        <w:tab w:val="left" w:pos="720"/>
        <w:tab w:val="left" w:pos="2016"/>
      </w:tabs>
    </w:pPr>
  </w:style>
  <w:style w:type="paragraph" w:customStyle="1" w:styleId="90">
    <w:name w:val="Numbered Heading"/>
    <w:basedOn w:val="2"/>
    <w:next w:val="1"/>
    <w:qFormat/>
    <w:uiPriority w:val="0"/>
    <w:pPr>
      <w:numPr>
        <w:numId w:val="0"/>
      </w:numPr>
      <w:tabs>
        <w:tab w:val="left" w:pos="2016"/>
      </w:tabs>
      <w:ind w:left="720" w:hanging="720"/>
      <w:outlineLvl w:val="9"/>
    </w:pPr>
  </w:style>
  <w:style w:type="paragraph" w:customStyle="1" w:styleId="91">
    <w:name w:val="Table1"/>
    <w:basedOn w:val="1"/>
    <w:qFormat/>
    <w:uiPriority w:val="0"/>
    <w:rPr>
      <w:b/>
      <w:i/>
      <w:color w:val="000000"/>
    </w:rPr>
  </w:style>
  <w:style w:type="paragraph" w:customStyle="1" w:styleId="92">
    <w:name w:val="Table1 Input"/>
    <w:basedOn w:val="91"/>
    <w:qFormat/>
    <w:uiPriority w:val="0"/>
    <w:rPr>
      <w:color w:val="FF0000"/>
    </w:rPr>
  </w:style>
  <w:style w:type="paragraph" w:customStyle="1" w:styleId="93">
    <w:name w:val="Hidden Text"/>
    <w:basedOn w:val="1"/>
    <w:next w:val="1"/>
    <w:qFormat/>
    <w:uiPriority w:val="0"/>
    <w:pPr>
      <w:jc w:val="both"/>
    </w:pPr>
    <w:rPr>
      <w:vanish/>
      <w:color w:val="0000FF"/>
    </w:rPr>
  </w:style>
  <w:style w:type="paragraph" w:customStyle="1" w:styleId="94">
    <w:name w:val="Indented Normal"/>
    <w:basedOn w:val="1"/>
    <w:qFormat/>
    <w:uiPriority w:val="0"/>
    <w:pPr>
      <w:ind w:left="720"/>
    </w:pPr>
    <w:rPr>
      <w:sz w:val="24"/>
    </w:rPr>
  </w:style>
  <w:style w:type="paragraph" w:customStyle="1" w:styleId="95">
    <w:name w:val="目录 11"/>
    <w:basedOn w:val="1"/>
    <w:next w:val="1"/>
    <w:qFormat/>
    <w:uiPriority w:val="39"/>
    <w:pPr>
      <w:spacing w:before="120"/>
    </w:pPr>
  </w:style>
  <w:style w:type="paragraph" w:customStyle="1" w:styleId="96">
    <w:name w:val="目录 21"/>
    <w:basedOn w:val="1"/>
    <w:next w:val="1"/>
    <w:qFormat/>
    <w:uiPriority w:val="39"/>
    <w:pPr>
      <w:ind w:left="200"/>
    </w:pPr>
  </w:style>
  <w:style w:type="paragraph" w:customStyle="1" w:styleId="97">
    <w:name w:val="目录 31"/>
    <w:basedOn w:val="1"/>
    <w:next w:val="1"/>
    <w:qFormat/>
    <w:uiPriority w:val="39"/>
    <w:pPr>
      <w:ind w:left="400"/>
    </w:pPr>
  </w:style>
  <w:style w:type="paragraph" w:customStyle="1" w:styleId="98">
    <w:name w:val="目录 41"/>
    <w:basedOn w:val="1"/>
    <w:next w:val="1"/>
    <w:qFormat/>
    <w:uiPriority w:val="39"/>
    <w:pPr>
      <w:ind w:left="600"/>
    </w:pPr>
  </w:style>
  <w:style w:type="paragraph" w:customStyle="1" w:styleId="99">
    <w:name w:val="目录 51"/>
    <w:basedOn w:val="1"/>
    <w:next w:val="1"/>
    <w:qFormat/>
    <w:uiPriority w:val="39"/>
    <w:pPr>
      <w:ind w:left="800"/>
    </w:pPr>
  </w:style>
  <w:style w:type="paragraph" w:customStyle="1" w:styleId="100">
    <w:name w:val="目录 61"/>
    <w:basedOn w:val="1"/>
    <w:next w:val="1"/>
    <w:qFormat/>
    <w:uiPriority w:val="39"/>
    <w:pPr>
      <w:ind w:left="1000"/>
    </w:pPr>
  </w:style>
  <w:style w:type="paragraph" w:customStyle="1" w:styleId="101">
    <w:name w:val="目录 71"/>
    <w:basedOn w:val="1"/>
    <w:next w:val="1"/>
    <w:qFormat/>
    <w:uiPriority w:val="39"/>
    <w:pPr>
      <w:ind w:left="1200"/>
    </w:pPr>
  </w:style>
  <w:style w:type="paragraph" w:customStyle="1" w:styleId="102">
    <w:name w:val="目录 81"/>
    <w:basedOn w:val="1"/>
    <w:next w:val="1"/>
    <w:qFormat/>
    <w:uiPriority w:val="39"/>
    <w:pPr>
      <w:ind w:left="1400"/>
    </w:pPr>
  </w:style>
  <w:style w:type="paragraph" w:customStyle="1" w:styleId="103">
    <w:name w:val="目录 91"/>
    <w:basedOn w:val="1"/>
    <w:next w:val="1"/>
    <w:qFormat/>
    <w:uiPriority w:val="39"/>
    <w:pPr>
      <w:ind w:left="1600"/>
    </w:pPr>
  </w:style>
  <w:style w:type="character" w:customStyle="1" w:styleId="104">
    <w:name w:val="正文文本 字符"/>
    <w:link w:val="13"/>
    <w:qFormat/>
    <w:uiPriority w:val="0"/>
    <w:rPr>
      <w:rFonts w:ascii="Arial" w:hAnsi="Arial"/>
      <w:sz w:val="24"/>
    </w:rPr>
  </w:style>
  <w:style w:type="character" w:customStyle="1" w:styleId="105">
    <w:name w:val="标题 字符"/>
    <w:link w:val="54"/>
    <w:qFormat/>
    <w:locked/>
    <w:uiPriority w:val="0"/>
    <w:rPr>
      <w:rFonts w:ascii="Arial" w:hAnsi="Arial"/>
      <w:b/>
      <w:kern w:val="28"/>
      <w:sz w:val="36"/>
    </w:rPr>
  </w:style>
  <w:style w:type="paragraph" w:customStyle="1" w:styleId="106">
    <w:name w:val="TEXT"/>
    <w:basedOn w:val="1"/>
    <w:qFormat/>
    <w:uiPriority w:val="0"/>
    <w:pPr>
      <w:ind w:left="1440" w:right="324" w:hanging="720"/>
    </w:pPr>
  </w:style>
  <w:style w:type="character" w:customStyle="1" w:styleId="107">
    <w:name w:val="Object"/>
    <w:qFormat/>
    <w:uiPriority w:val="0"/>
    <w:rPr>
      <w:i/>
      <w:sz w:val="22"/>
    </w:rPr>
  </w:style>
  <w:style w:type="paragraph" w:customStyle="1" w:styleId="108">
    <w:name w:val="Table Text"/>
    <w:basedOn w:val="1"/>
    <w:qFormat/>
    <w:uiPriority w:val="0"/>
    <w:pPr>
      <w:spacing w:before="60" w:after="60"/>
    </w:pPr>
    <w:rPr>
      <w:rFonts w:ascii="Times New Roman" w:hAnsi="Times New Roman"/>
    </w:rPr>
  </w:style>
  <w:style w:type="paragraph" w:customStyle="1" w:styleId="109">
    <w:name w:val="Copyright"/>
    <w:basedOn w:val="4"/>
    <w:next w:val="1"/>
    <w:qFormat/>
    <w:uiPriority w:val="0"/>
    <w:pPr>
      <w:keepLines/>
      <w:widowControl w:val="0"/>
      <w:tabs>
        <w:tab w:val="clear" w:pos="1440"/>
      </w:tabs>
      <w:spacing w:before="240" w:after="0"/>
      <w:ind w:left="-144" w:hanging="576"/>
      <w:outlineLvl w:val="9"/>
    </w:pPr>
    <w:rPr>
      <w:rFonts w:ascii="Arial Narrow" w:hAnsi="Arial Narrow"/>
      <w:sz w:val="28"/>
    </w:rPr>
  </w:style>
  <w:style w:type="paragraph" w:customStyle="1" w:styleId="110">
    <w:name w:val="xl26"/>
    <w:basedOn w:val="1"/>
    <w:qFormat/>
    <w:uiPriority w:val="0"/>
    <w:pPr>
      <w:spacing w:before="100" w:after="100"/>
      <w:jc w:val="right"/>
    </w:pPr>
    <w:rPr>
      <w:rFonts w:ascii="Times New Roman" w:hAnsi="Times New Roman"/>
    </w:rPr>
  </w:style>
  <w:style w:type="character" w:customStyle="1" w:styleId="111">
    <w:name w:val="已访问的超链接1"/>
    <w:qFormat/>
    <w:uiPriority w:val="0"/>
    <w:rPr>
      <w:color w:val="800080"/>
      <w:u w:val="single"/>
    </w:rPr>
  </w:style>
  <w:style w:type="paragraph" w:customStyle="1" w:styleId="112">
    <w:name w:val="批注框文本1"/>
    <w:basedOn w:val="1"/>
    <w:semiHidden/>
    <w:qFormat/>
    <w:uiPriority w:val="0"/>
    <w:rPr>
      <w:sz w:val="16"/>
      <w:szCs w:val="16"/>
    </w:rPr>
  </w:style>
  <w:style w:type="character" w:customStyle="1" w:styleId="113">
    <w:name w:val="批注框文本 字符"/>
    <w:link w:val="45"/>
    <w:semiHidden/>
    <w:qFormat/>
    <w:uiPriority w:val="99"/>
    <w:rPr>
      <w:rFonts w:ascii="宋体" w:hAnsi="Arial"/>
      <w:sz w:val="18"/>
      <w:szCs w:val="18"/>
    </w:rPr>
  </w:style>
  <w:style w:type="paragraph" w:customStyle="1" w:styleId="114">
    <w:name w:val="Instruction"/>
    <w:basedOn w:val="1"/>
    <w:qFormat/>
    <w:uiPriority w:val="99"/>
    <w:pPr>
      <w:overflowPunct/>
      <w:autoSpaceDE/>
      <w:autoSpaceDN/>
      <w:adjustRightInd/>
      <w:spacing w:after="120"/>
      <w:textAlignment w:val="auto"/>
    </w:pPr>
    <w:rPr>
      <w:rFonts w:ascii="Times New Roman" w:hAnsi="Times New Roman" w:eastAsia="Times New Roman"/>
      <w:color w:val="808080"/>
      <w:lang w:eastAsia="en-US"/>
    </w:rPr>
  </w:style>
  <w:style w:type="paragraph" w:customStyle="1" w:styleId="115">
    <w:name w:val="Table Header"/>
    <w:basedOn w:val="1"/>
    <w:qFormat/>
    <w:uiPriority w:val="0"/>
    <w:pPr>
      <w:overflowPunct/>
      <w:autoSpaceDE/>
      <w:autoSpaceDN/>
      <w:adjustRightInd/>
      <w:spacing w:before="120" w:after="60"/>
      <w:textAlignment w:val="auto"/>
    </w:pPr>
    <w:rPr>
      <w:rFonts w:eastAsia="Times New Roman" w:cs="Arial"/>
      <w:b/>
      <w:lang w:eastAsia="en-US"/>
    </w:rPr>
  </w:style>
  <w:style w:type="paragraph" w:customStyle="1" w:styleId="116">
    <w:name w:val="Reader's comments"/>
    <w:basedOn w:val="1"/>
    <w:qFormat/>
    <w:uiPriority w:val="0"/>
    <w:pPr>
      <w:spacing w:after="120"/>
    </w:pPr>
    <w:rPr>
      <w:i/>
      <w:iCs/>
      <w:color w:val="CC00CC"/>
      <w:lang w:eastAsia="en-US"/>
    </w:rPr>
  </w:style>
  <w:style w:type="paragraph" w:customStyle="1" w:styleId="117">
    <w:name w:val="Text"/>
    <w:basedOn w:val="1"/>
    <w:qFormat/>
    <w:uiPriority w:val="0"/>
    <w:pPr>
      <w:overflowPunct/>
      <w:autoSpaceDE/>
      <w:autoSpaceDN/>
      <w:adjustRightInd/>
      <w:spacing w:after="120"/>
      <w:jc w:val="both"/>
      <w:textAlignment w:val="auto"/>
    </w:pPr>
    <w:rPr>
      <w:sz w:val="22"/>
      <w:lang w:eastAsia="da-DK"/>
    </w:rPr>
  </w:style>
  <w:style w:type="paragraph" w:customStyle="1" w:styleId="118">
    <w:name w:val="列出段落1"/>
    <w:basedOn w:val="1"/>
    <w:qFormat/>
    <w:uiPriority w:val="34"/>
    <w:pPr>
      <w:ind w:firstLine="420" w:firstLineChars="200"/>
    </w:pPr>
  </w:style>
  <w:style w:type="paragraph" w:customStyle="1" w:styleId="119">
    <w:name w:val="font5"/>
    <w:basedOn w:val="1"/>
    <w:qFormat/>
    <w:uiPriority w:val="0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宋体" w:hAnsi="宋体" w:cs="宋体"/>
      <w:sz w:val="18"/>
      <w:szCs w:val="18"/>
    </w:rPr>
  </w:style>
  <w:style w:type="paragraph" w:customStyle="1" w:styleId="120">
    <w:name w:val="xl63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00"/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Calibri" w:hAnsi="Calibri" w:cs="Calibri"/>
      <w:sz w:val="24"/>
      <w:szCs w:val="24"/>
    </w:rPr>
  </w:style>
  <w:style w:type="paragraph" w:customStyle="1" w:styleId="121">
    <w:name w:val="xl64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Calibri" w:hAnsi="Calibri" w:cs="Calibri"/>
      <w:sz w:val="24"/>
      <w:szCs w:val="24"/>
    </w:rPr>
  </w:style>
  <w:style w:type="paragraph" w:customStyle="1" w:styleId="122">
    <w:name w:val="xl65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95B3D7"/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Calibri" w:hAnsi="Calibri" w:cs="Calibri"/>
      <w:b/>
      <w:bCs/>
      <w:sz w:val="24"/>
      <w:szCs w:val="24"/>
    </w:rPr>
  </w:style>
  <w:style w:type="paragraph" w:customStyle="1" w:styleId="123">
    <w:name w:val="xl66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Calibri" w:hAnsi="Calibri" w:cs="Calibri"/>
      <w:sz w:val="24"/>
      <w:szCs w:val="24"/>
    </w:rPr>
  </w:style>
  <w:style w:type="paragraph" w:customStyle="1" w:styleId="124">
    <w:name w:val="xl67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95B3D7"/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Calibri" w:hAnsi="Calibri" w:cs="Calibri"/>
      <w:sz w:val="24"/>
      <w:szCs w:val="24"/>
    </w:rPr>
  </w:style>
  <w:style w:type="paragraph" w:customStyle="1" w:styleId="125">
    <w:name w:val="xl68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00"/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Calibri" w:hAnsi="Calibri" w:cs="Calibri"/>
      <w:b/>
      <w:bCs/>
      <w:sz w:val="24"/>
      <w:szCs w:val="24"/>
    </w:rPr>
  </w:style>
  <w:style w:type="paragraph" w:customStyle="1" w:styleId="126">
    <w:name w:val="xl69"/>
    <w:basedOn w:val="1"/>
    <w:qFormat/>
    <w:uiPriority w:val="0"/>
    <w:pP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Calibri" w:hAnsi="Calibri" w:cs="Calibri"/>
      <w:sz w:val="24"/>
      <w:szCs w:val="24"/>
    </w:rPr>
  </w:style>
  <w:style w:type="paragraph" w:customStyle="1" w:styleId="127">
    <w:name w:val="xl70"/>
    <w:basedOn w:val="1"/>
    <w:qFormat/>
    <w:uiPriority w:val="0"/>
    <w:pPr>
      <w:overflowPunct/>
      <w:autoSpaceDE/>
      <w:autoSpaceDN/>
      <w:adjustRightInd/>
      <w:spacing w:before="100" w:beforeAutospacing="1" w:after="100" w:afterAutospacing="1"/>
      <w:jc w:val="center"/>
      <w:textAlignment w:val="auto"/>
    </w:pPr>
    <w:rPr>
      <w:rFonts w:ascii="宋体" w:hAnsi="宋体" w:cs="宋体"/>
      <w:sz w:val="24"/>
      <w:szCs w:val="24"/>
    </w:rPr>
  </w:style>
  <w:style w:type="paragraph" w:customStyle="1" w:styleId="128">
    <w:name w:val="xl71"/>
    <w:basedOn w:val="1"/>
    <w:qFormat/>
    <w:uiPriority w:val="0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overflowPunct/>
      <w:autoSpaceDE/>
      <w:autoSpaceDN/>
      <w:adjustRightInd/>
      <w:spacing w:before="100" w:beforeAutospacing="1" w:after="100" w:afterAutospacing="1"/>
      <w:textAlignment w:val="auto"/>
    </w:pPr>
    <w:rPr>
      <w:rFonts w:ascii="Calibri" w:hAnsi="Calibri" w:cs="Calibri"/>
      <w:color w:val="1F497D"/>
      <w:sz w:val="24"/>
      <w:szCs w:val="24"/>
    </w:rPr>
  </w:style>
  <w:style w:type="paragraph" w:customStyle="1" w:styleId="129">
    <w:name w:val="Table Body"/>
    <w:basedOn w:val="1"/>
    <w:qFormat/>
    <w:uiPriority w:val="0"/>
    <w:pPr>
      <w:overflowPunct/>
      <w:autoSpaceDE/>
      <w:autoSpaceDN/>
      <w:adjustRightInd/>
      <w:spacing w:beforeLines="40" w:afterLines="40"/>
      <w:textAlignment w:val="auto"/>
    </w:pPr>
    <w:rPr>
      <w:rFonts w:ascii="CorpoS" w:hAnsi="CorpoS" w:cs="Arial"/>
      <w:sz w:val="22"/>
      <w:szCs w:val="16"/>
      <w:lang w:val="de-DE" w:eastAsia="de-DE"/>
    </w:rPr>
  </w:style>
  <w:style w:type="paragraph" w:customStyle="1" w:styleId="130">
    <w:name w:val="Table Header + Bold"/>
    <w:basedOn w:val="1"/>
    <w:qFormat/>
    <w:uiPriority w:val="0"/>
    <w:pPr>
      <w:overflowPunct/>
      <w:autoSpaceDE/>
      <w:autoSpaceDN/>
      <w:adjustRightInd/>
      <w:spacing w:before="60" w:after="60"/>
      <w:jc w:val="center"/>
      <w:textAlignment w:val="auto"/>
    </w:pPr>
    <w:rPr>
      <w:rFonts w:ascii="CorpoS" w:hAnsi="CorpoS" w:cs="Arial"/>
      <w:b/>
      <w:snapToGrid w:val="0"/>
      <w:szCs w:val="16"/>
      <w:lang w:eastAsia="en-US"/>
    </w:rPr>
  </w:style>
  <w:style w:type="character" w:customStyle="1" w:styleId="131">
    <w:name w:val="批注文字 字符"/>
    <w:link w:val="25"/>
    <w:qFormat/>
    <w:uiPriority w:val="99"/>
    <w:rPr>
      <w:rFonts w:ascii="Arial" w:hAnsi="Arial"/>
    </w:rPr>
  </w:style>
  <w:style w:type="character" w:customStyle="1" w:styleId="132">
    <w:name w:val="批注主题 字符"/>
    <w:link w:val="68"/>
    <w:semiHidden/>
    <w:qFormat/>
    <w:uiPriority w:val="99"/>
    <w:rPr>
      <w:rFonts w:ascii="Arial" w:hAnsi="Arial"/>
      <w:b/>
      <w:bCs/>
    </w:rPr>
  </w:style>
  <w:style w:type="character" w:customStyle="1" w:styleId="133">
    <w:name w:val="apple-converted-space"/>
    <w:basedOn w:val="71"/>
    <w:qFormat/>
    <w:uiPriority w:val="0"/>
  </w:style>
  <w:style w:type="character" w:styleId="134">
    <w:name w:val="Placeholder Text"/>
    <w:semiHidden/>
    <w:qFormat/>
    <w:uiPriority w:val="99"/>
    <w:rPr>
      <w:color w:val="808080"/>
    </w:rPr>
  </w:style>
  <w:style w:type="paragraph" w:customStyle="1" w:styleId="135">
    <w:name w:val="修订1"/>
    <w:hidden/>
    <w:semiHidden/>
    <w:qFormat/>
    <w:uiPriority w:val="99"/>
    <w:rPr>
      <w:rFonts w:ascii="Arial" w:hAnsi="Arial" w:eastAsia="宋体" w:cs="Times New Roman"/>
      <w:lang w:val="en-US" w:eastAsia="zh-CN" w:bidi="ar-SA"/>
    </w:rPr>
  </w:style>
  <w:style w:type="character" w:customStyle="1" w:styleId="136">
    <w:name w:val="副标题 字符"/>
    <w:link w:val="53"/>
    <w:qFormat/>
    <w:uiPriority w:val="0"/>
    <w:rPr>
      <w:rFonts w:ascii="Arial" w:hAnsi="Arial" w:eastAsia="Times New Roman" w:cs="Arial"/>
      <w:b/>
      <w:spacing w:val="-16"/>
      <w:kern w:val="28"/>
      <w:sz w:val="32"/>
      <w:szCs w:val="44"/>
      <w:lang w:eastAsia="en-US"/>
    </w:rPr>
  </w:style>
  <w:style w:type="paragraph" w:customStyle="1" w:styleId="137">
    <w:name w:val="Title 2"/>
    <w:basedOn w:val="1"/>
    <w:qFormat/>
    <w:uiPriority w:val="0"/>
    <w:pPr>
      <w:overflowPunct/>
      <w:autoSpaceDE/>
      <w:autoSpaceDN/>
      <w:adjustRightInd/>
      <w:spacing w:before="240" w:after="240"/>
      <w:jc w:val="right"/>
      <w:textAlignment w:val="auto"/>
    </w:pPr>
    <w:rPr>
      <w:rFonts w:eastAsia="Times New Roman"/>
      <w:b/>
      <w:sz w:val="36"/>
      <w:szCs w:val="24"/>
      <w:lang w:eastAsia="en-US"/>
    </w:rPr>
  </w:style>
  <w:style w:type="paragraph" w:customStyle="1" w:styleId="138">
    <w:name w:val="Title 4"/>
    <w:basedOn w:val="1"/>
    <w:qFormat/>
    <w:uiPriority w:val="0"/>
    <w:pPr>
      <w:overflowPunct/>
      <w:autoSpaceDE/>
      <w:autoSpaceDN/>
      <w:adjustRightInd/>
      <w:spacing w:before="120" w:after="120"/>
      <w:jc w:val="right"/>
      <w:textAlignment w:val="auto"/>
    </w:pPr>
    <w:rPr>
      <w:rFonts w:eastAsia="Times New Roman"/>
      <w:b/>
      <w:sz w:val="24"/>
      <w:szCs w:val="24"/>
      <w:lang w:eastAsia="en-US"/>
    </w:rPr>
  </w:style>
  <w:style w:type="paragraph" w:customStyle="1" w:styleId="139">
    <w:name w:val="TableText"/>
    <w:basedOn w:val="1"/>
    <w:qFormat/>
    <w:uiPriority w:val="0"/>
    <w:pPr>
      <w:keepNext/>
      <w:keepLines/>
      <w:spacing w:before="60" w:after="120"/>
    </w:pPr>
    <w:rPr>
      <w:rFonts w:eastAsia="MS Mincho"/>
      <w:color w:val="000000"/>
      <w:sz w:val="16"/>
      <w:lang w:eastAsia="en-US"/>
    </w:rPr>
  </w:style>
  <w:style w:type="character" w:customStyle="1" w:styleId="140">
    <w:name w:val="Table Heading Char"/>
    <w:link w:val="141"/>
    <w:qFormat/>
    <w:uiPriority w:val="0"/>
    <w:rPr>
      <w:rFonts w:ascii="Arial" w:hAnsi="Arial" w:eastAsia="Times New Roman" w:cs="Arial"/>
    </w:rPr>
  </w:style>
  <w:style w:type="paragraph" w:customStyle="1" w:styleId="141">
    <w:name w:val="Table Heading"/>
    <w:basedOn w:val="139"/>
    <w:link w:val="140"/>
    <w:qFormat/>
    <w:uiPriority w:val="0"/>
    <w:pPr>
      <w:keepLines w:val="0"/>
      <w:overflowPunct/>
      <w:autoSpaceDE/>
      <w:autoSpaceDN/>
      <w:adjustRightInd/>
      <w:spacing w:before="120"/>
      <w:ind w:left="72"/>
      <w:textAlignment w:val="auto"/>
    </w:pPr>
    <w:rPr>
      <w:rFonts w:eastAsia="Times New Roman"/>
      <w:color w:val="auto"/>
      <w:sz w:val="20"/>
      <w:lang w:val="zh-CN" w:eastAsia="zh-CN"/>
    </w:rPr>
  </w:style>
  <w:style w:type="paragraph" w:customStyle="1" w:styleId="142">
    <w:name w:val="TableCaption"/>
    <w:basedOn w:val="1"/>
    <w:link w:val="143"/>
    <w:qFormat/>
    <w:uiPriority w:val="0"/>
    <w:pPr>
      <w:tabs>
        <w:tab w:val="left" w:pos="1440"/>
      </w:tabs>
      <w:spacing w:before="60" w:after="120"/>
      <w:ind w:left="1440" w:hanging="360"/>
      <w:jc w:val="center"/>
    </w:pPr>
    <w:rPr>
      <w:b/>
      <w:sz w:val="22"/>
      <w:szCs w:val="24"/>
      <w:lang w:val="zh-CN" w:eastAsia="en-US"/>
    </w:rPr>
  </w:style>
  <w:style w:type="character" w:customStyle="1" w:styleId="143">
    <w:name w:val="TableCaption Char"/>
    <w:link w:val="142"/>
    <w:qFormat/>
    <w:uiPriority w:val="0"/>
    <w:rPr>
      <w:rFonts w:ascii="Arial" w:hAnsi="Arial"/>
      <w:b/>
      <w:sz w:val="22"/>
      <w:szCs w:val="24"/>
      <w:lang w:eastAsia="en-US"/>
    </w:rPr>
  </w:style>
  <w:style w:type="paragraph" w:customStyle="1" w:styleId="144">
    <w:name w:val="TOC"/>
    <w:basedOn w:val="95"/>
    <w:qFormat/>
    <w:uiPriority w:val="0"/>
    <w:pPr>
      <w:keepNext/>
      <w:tabs>
        <w:tab w:val="left" w:pos="400"/>
        <w:tab w:val="left" w:pos="810"/>
        <w:tab w:val="right" w:leader="dot" w:pos="9810"/>
      </w:tabs>
      <w:jc w:val="center"/>
    </w:pPr>
    <w:rPr>
      <w:rFonts w:eastAsia="MS Mincho"/>
      <w:b/>
      <w:sz w:val="32"/>
      <w:lang w:eastAsia="en-US"/>
    </w:rPr>
  </w:style>
  <w:style w:type="paragraph" w:customStyle="1" w:styleId="145">
    <w:name w:val="Heading NoNum"/>
    <w:qFormat/>
    <w:uiPriority w:val="0"/>
    <w:pPr>
      <w:pageBreakBefore/>
      <w:tabs>
        <w:tab w:val="right" w:pos="8910"/>
      </w:tabs>
      <w:overflowPunct w:val="0"/>
      <w:autoSpaceDE w:val="0"/>
      <w:autoSpaceDN w:val="0"/>
      <w:adjustRightInd w:val="0"/>
      <w:spacing w:before="60" w:after="180"/>
      <w:jc w:val="center"/>
      <w:textAlignment w:val="baseline"/>
    </w:pPr>
    <w:rPr>
      <w:rFonts w:ascii="Arial" w:hAnsi="Arial" w:eastAsia="MS Mincho" w:cs="Times New Roman"/>
      <w:sz w:val="32"/>
      <w:lang w:val="en-US" w:eastAsia="en-US" w:bidi="ar-SA"/>
    </w:rPr>
  </w:style>
  <w:style w:type="paragraph" w:customStyle="1" w:styleId="146">
    <w:name w:val="Block Quotation"/>
    <w:basedOn w:val="1"/>
    <w:qFormat/>
    <w:uiPriority w:val="0"/>
    <w:pPr>
      <w:pBdr>
        <w:top w:val="single" w:color="FFFFFF" w:sz="12" w:space="12"/>
        <w:left w:val="single" w:color="FFFFFF" w:sz="6" w:space="12"/>
        <w:bottom w:val="single" w:color="FFFFFF" w:sz="6" w:space="12"/>
        <w:right w:val="single" w:color="FFFFFF" w:sz="6" w:space="12"/>
      </w:pBdr>
      <w:shd w:val="pct5" w:color="auto" w:fill="auto"/>
      <w:overflowPunct/>
      <w:autoSpaceDE/>
      <w:autoSpaceDN/>
      <w:adjustRightInd/>
      <w:spacing w:after="240" w:line="220" w:lineRule="atLeast"/>
      <w:ind w:left="1368" w:right="240"/>
      <w:jc w:val="both"/>
      <w:textAlignment w:val="auto"/>
    </w:pPr>
    <w:rPr>
      <w:rFonts w:ascii="Arial Narrow" w:hAnsi="Arial Narrow" w:eastAsia="Times New Roman"/>
      <w:spacing w:val="-5"/>
      <w:sz w:val="22"/>
      <w:lang w:eastAsia="en-US"/>
    </w:rPr>
  </w:style>
  <w:style w:type="character" w:customStyle="1" w:styleId="147">
    <w:name w:val="正文文本缩进 字符"/>
    <w:link w:val="27"/>
    <w:qFormat/>
    <w:uiPriority w:val="0"/>
    <w:rPr>
      <w:rFonts w:ascii="Arial" w:hAnsi="Arial"/>
      <w:sz w:val="22"/>
      <w:lang w:eastAsia="en-US"/>
    </w:rPr>
  </w:style>
  <w:style w:type="paragraph" w:customStyle="1" w:styleId="148">
    <w:name w:val="Body Text Keep"/>
    <w:basedOn w:val="13"/>
    <w:qFormat/>
    <w:uiPriority w:val="0"/>
    <w:pPr>
      <w:keepNext/>
      <w:overflowPunct/>
      <w:autoSpaceDE/>
      <w:autoSpaceDN/>
      <w:adjustRightInd/>
      <w:spacing w:before="120" w:after="120"/>
      <w:textAlignment w:val="auto"/>
    </w:pPr>
    <w:rPr>
      <w:sz w:val="22"/>
      <w:lang w:eastAsia="en-US"/>
    </w:rPr>
  </w:style>
  <w:style w:type="paragraph" w:customStyle="1" w:styleId="149">
    <w:name w:val="Picture"/>
    <w:basedOn w:val="13"/>
    <w:next w:val="21"/>
    <w:qFormat/>
    <w:uiPriority w:val="0"/>
    <w:pPr>
      <w:overflowPunct/>
      <w:autoSpaceDE/>
      <w:autoSpaceDN/>
      <w:adjustRightInd/>
      <w:spacing w:before="120" w:after="120"/>
      <w:jc w:val="center"/>
      <w:textAlignment w:val="auto"/>
    </w:pPr>
    <w:rPr>
      <w:sz w:val="22"/>
      <w:lang w:eastAsia="en-US"/>
    </w:rPr>
  </w:style>
  <w:style w:type="paragraph" w:customStyle="1" w:styleId="150">
    <w:name w:val="Title Cover"/>
    <w:basedOn w:val="51"/>
    <w:next w:val="1"/>
    <w:qFormat/>
    <w:uiPriority w:val="0"/>
    <w:pPr>
      <w:pBdr>
        <w:top w:val="single" w:color="auto" w:sz="48" w:space="31"/>
      </w:pBdr>
      <w:tabs>
        <w:tab w:val="left" w:pos="0"/>
      </w:tabs>
      <w:spacing w:before="240" w:after="500" w:line="640" w:lineRule="exact"/>
      <w:ind w:left="-840" w:right="-840"/>
    </w:pPr>
    <w:rPr>
      <w:rFonts w:ascii="Arial Black" w:hAnsi="Arial Black"/>
      <w:b/>
      <w:spacing w:val="-48"/>
      <w:sz w:val="64"/>
    </w:rPr>
  </w:style>
  <w:style w:type="paragraph" w:customStyle="1" w:styleId="151">
    <w:name w:val="Header Base"/>
    <w:basedOn w:val="1"/>
    <w:qFormat/>
    <w:uiPriority w:val="0"/>
    <w:pPr>
      <w:keepLines/>
      <w:tabs>
        <w:tab w:val="center" w:pos="4320"/>
        <w:tab w:val="right" w:pos="8640"/>
      </w:tabs>
      <w:overflowPunct/>
      <w:autoSpaceDE/>
      <w:autoSpaceDN/>
      <w:adjustRightInd/>
      <w:spacing w:line="190" w:lineRule="atLeast"/>
      <w:ind w:left="1080"/>
      <w:textAlignment w:val="auto"/>
    </w:pPr>
    <w:rPr>
      <w:rFonts w:eastAsia="Times New Roman"/>
      <w:caps/>
      <w:spacing w:val="-5"/>
      <w:sz w:val="15"/>
      <w:lang w:eastAsia="en-US"/>
    </w:rPr>
  </w:style>
  <w:style w:type="paragraph" w:customStyle="1" w:styleId="152">
    <w:name w:val="Footer Even"/>
    <w:basedOn w:val="46"/>
    <w:qFormat/>
    <w:uiPriority w:val="0"/>
    <w:pPr>
      <w:keepLines/>
      <w:pBdr>
        <w:top w:val="single" w:color="auto" w:sz="6" w:space="2"/>
      </w:pBdr>
      <w:overflowPunct/>
      <w:autoSpaceDE/>
      <w:autoSpaceDN/>
      <w:adjustRightInd/>
      <w:spacing w:before="600" w:line="190" w:lineRule="atLeast"/>
      <w:ind w:left="1080"/>
      <w:textAlignment w:val="auto"/>
    </w:pPr>
    <w:rPr>
      <w:rFonts w:eastAsia="Times New Roman"/>
      <w:caps/>
      <w:spacing w:val="-5"/>
      <w:sz w:val="15"/>
      <w:lang w:eastAsia="en-US"/>
    </w:rPr>
  </w:style>
  <w:style w:type="paragraph" w:customStyle="1" w:styleId="153">
    <w:name w:val="Footer First"/>
    <w:basedOn w:val="46"/>
    <w:qFormat/>
    <w:uiPriority w:val="0"/>
    <w:pPr>
      <w:keepLines/>
      <w:pBdr>
        <w:top w:val="single" w:color="auto" w:sz="6" w:space="2"/>
      </w:pBdr>
      <w:overflowPunct/>
      <w:autoSpaceDE/>
      <w:autoSpaceDN/>
      <w:adjustRightInd/>
      <w:spacing w:before="600" w:line="190" w:lineRule="atLeast"/>
      <w:ind w:left="1080"/>
      <w:textAlignment w:val="auto"/>
    </w:pPr>
    <w:rPr>
      <w:rFonts w:eastAsia="Times New Roman"/>
      <w:caps/>
      <w:spacing w:val="-5"/>
      <w:sz w:val="15"/>
      <w:lang w:eastAsia="en-US"/>
    </w:rPr>
  </w:style>
  <w:style w:type="paragraph" w:customStyle="1" w:styleId="154">
    <w:name w:val="Footer Odd"/>
    <w:basedOn w:val="46"/>
    <w:qFormat/>
    <w:uiPriority w:val="0"/>
    <w:pPr>
      <w:keepLines/>
      <w:pBdr>
        <w:top w:val="single" w:color="auto" w:sz="6" w:space="2"/>
      </w:pBdr>
      <w:overflowPunct/>
      <w:autoSpaceDE/>
      <w:autoSpaceDN/>
      <w:adjustRightInd/>
      <w:spacing w:before="600" w:line="190" w:lineRule="atLeast"/>
      <w:ind w:left="1080"/>
      <w:textAlignment w:val="auto"/>
    </w:pPr>
    <w:rPr>
      <w:rFonts w:eastAsia="Times New Roman"/>
      <w:caps/>
      <w:spacing w:val="-5"/>
      <w:sz w:val="15"/>
      <w:lang w:eastAsia="en-US"/>
    </w:rPr>
  </w:style>
  <w:style w:type="paragraph" w:customStyle="1" w:styleId="155">
    <w:name w:val="Header Even"/>
    <w:basedOn w:val="47"/>
    <w:qFormat/>
    <w:uiPriority w:val="0"/>
    <w:pPr>
      <w:keepLines/>
      <w:pBdr>
        <w:bottom w:val="single" w:color="auto" w:sz="6" w:space="1"/>
      </w:pBdr>
      <w:overflowPunct/>
      <w:autoSpaceDE/>
      <w:autoSpaceDN/>
      <w:adjustRightInd/>
      <w:spacing w:after="600" w:line="190" w:lineRule="atLeast"/>
      <w:ind w:left="1080"/>
      <w:textAlignment w:val="auto"/>
    </w:pPr>
    <w:rPr>
      <w:rFonts w:eastAsia="Times New Roman"/>
      <w:caps/>
      <w:spacing w:val="-5"/>
      <w:sz w:val="15"/>
    </w:rPr>
  </w:style>
  <w:style w:type="paragraph" w:customStyle="1" w:styleId="156">
    <w:name w:val="Header First"/>
    <w:basedOn w:val="47"/>
    <w:qFormat/>
    <w:uiPriority w:val="0"/>
    <w:pPr>
      <w:keepLines/>
      <w:pBdr>
        <w:top w:val="single" w:color="auto" w:sz="6" w:space="2"/>
      </w:pBdr>
      <w:overflowPunct/>
      <w:autoSpaceDE/>
      <w:autoSpaceDN/>
      <w:adjustRightInd/>
      <w:spacing w:line="190" w:lineRule="atLeast"/>
      <w:ind w:left="1080"/>
      <w:jc w:val="right"/>
      <w:textAlignment w:val="auto"/>
    </w:pPr>
    <w:rPr>
      <w:rFonts w:eastAsia="Times New Roman"/>
      <w:caps/>
      <w:spacing w:val="-5"/>
      <w:sz w:val="15"/>
    </w:rPr>
  </w:style>
  <w:style w:type="paragraph" w:customStyle="1" w:styleId="157">
    <w:name w:val="Header Odd"/>
    <w:basedOn w:val="47"/>
    <w:qFormat/>
    <w:uiPriority w:val="0"/>
    <w:pPr>
      <w:keepLines/>
      <w:pBdr>
        <w:bottom w:val="single" w:color="auto" w:sz="6" w:space="1"/>
      </w:pBdr>
      <w:overflowPunct/>
      <w:autoSpaceDE/>
      <w:autoSpaceDN/>
      <w:adjustRightInd/>
      <w:spacing w:after="600" w:line="190" w:lineRule="atLeast"/>
      <w:ind w:left="1080"/>
      <w:textAlignment w:val="auto"/>
    </w:pPr>
    <w:rPr>
      <w:rFonts w:eastAsia="Times New Roman"/>
      <w:caps/>
      <w:spacing w:val="-5"/>
      <w:sz w:val="15"/>
    </w:rPr>
  </w:style>
  <w:style w:type="character" w:customStyle="1" w:styleId="158">
    <w:name w:val="Lead-in Emphasis"/>
    <w:qFormat/>
    <w:uiPriority w:val="0"/>
    <w:rPr>
      <w:rFonts w:ascii="Arial Black" w:hAnsi="Arial Black"/>
      <w:spacing w:val="-4"/>
      <w:sz w:val="18"/>
    </w:rPr>
  </w:style>
  <w:style w:type="character" w:customStyle="1" w:styleId="159">
    <w:name w:val="尾注文本 字符"/>
    <w:link w:val="43"/>
    <w:semiHidden/>
    <w:qFormat/>
    <w:uiPriority w:val="0"/>
    <w:rPr>
      <w:rFonts w:ascii="Arial" w:hAnsi="Arial" w:eastAsia="Times New Roman"/>
      <w:spacing w:val="-5"/>
      <w:sz w:val="16"/>
      <w:lang w:eastAsia="en-US"/>
    </w:rPr>
  </w:style>
  <w:style w:type="character" w:customStyle="1" w:styleId="160">
    <w:name w:val="正文文本缩进 2 字符"/>
    <w:link w:val="42"/>
    <w:qFormat/>
    <w:uiPriority w:val="0"/>
    <w:rPr>
      <w:rFonts w:ascii="Arial" w:hAnsi="Arial" w:eastAsia="MS Mincho"/>
      <w:sz w:val="22"/>
      <w:lang w:eastAsia="en-US"/>
    </w:rPr>
  </w:style>
  <w:style w:type="paragraph" w:customStyle="1" w:styleId="161">
    <w:name w:val="Numbered 2"/>
    <w:basedOn w:val="1"/>
    <w:qFormat/>
    <w:uiPriority w:val="0"/>
    <w:pPr>
      <w:tabs>
        <w:tab w:val="left" w:pos="1080"/>
      </w:tabs>
      <w:spacing w:before="120"/>
      <w:ind w:left="1080" w:hanging="360"/>
    </w:pPr>
    <w:rPr>
      <w:rFonts w:eastAsia="MS Mincho"/>
      <w:sz w:val="22"/>
      <w:lang w:eastAsia="en-US"/>
    </w:rPr>
  </w:style>
  <w:style w:type="paragraph" w:customStyle="1" w:styleId="162">
    <w:name w:val="TOC Header"/>
    <w:basedOn w:val="1"/>
    <w:qFormat/>
    <w:uiPriority w:val="0"/>
    <w:pPr>
      <w:tabs>
        <w:tab w:val="left" w:pos="0"/>
      </w:tabs>
      <w:spacing w:before="240" w:after="240"/>
      <w:jc w:val="center"/>
    </w:pPr>
    <w:rPr>
      <w:rFonts w:eastAsia="MS Mincho"/>
      <w:b/>
      <w:kern w:val="28"/>
      <w:sz w:val="28"/>
      <w:u w:val="single"/>
      <w:lang w:eastAsia="en-US"/>
    </w:rPr>
  </w:style>
  <w:style w:type="paragraph" w:customStyle="1" w:styleId="163">
    <w:name w:val="Parameters"/>
    <w:basedOn w:val="1"/>
    <w:qFormat/>
    <w:uiPriority w:val="0"/>
    <w:rPr>
      <w:rFonts w:eastAsia="MS Mincho"/>
      <w:sz w:val="14"/>
      <w:lang w:eastAsia="en-US"/>
    </w:rPr>
  </w:style>
  <w:style w:type="paragraph" w:customStyle="1" w:styleId="164">
    <w:name w:val="Parameter"/>
    <w:basedOn w:val="1"/>
    <w:qFormat/>
    <w:uiPriority w:val="0"/>
    <w:pPr>
      <w:tabs>
        <w:tab w:val="left" w:pos="1872"/>
      </w:tabs>
      <w:ind w:left="1872" w:hanging="432"/>
    </w:pPr>
    <w:rPr>
      <w:rFonts w:eastAsia="MS Mincho"/>
      <w:sz w:val="22"/>
      <w:lang w:eastAsia="en-US"/>
    </w:rPr>
  </w:style>
  <w:style w:type="paragraph" w:customStyle="1" w:styleId="165">
    <w:name w:val="Header Entry"/>
    <w:basedOn w:val="47"/>
    <w:qFormat/>
    <w:uiPriority w:val="0"/>
    <w:pPr>
      <w:tabs>
        <w:tab w:val="clear" w:pos="4320"/>
        <w:tab w:val="clear" w:pos="8640"/>
      </w:tabs>
    </w:pPr>
    <w:rPr>
      <w:rFonts w:eastAsia="MS Mincho"/>
      <w:color w:val="000000"/>
    </w:rPr>
  </w:style>
  <w:style w:type="paragraph" w:customStyle="1" w:styleId="166">
    <w:name w:val="Header Descriptor"/>
    <w:basedOn w:val="47"/>
    <w:qFormat/>
    <w:uiPriority w:val="0"/>
    <w:pPr>
      <w:tabs>
        <w:tab w:val="clear" w:pos="4320"/>
        <w:tab w:val="clear" w:pos="8640"/>
      </w:tabs>
    </w:pPr>
    <w:rPr>
      <w:rFonts w:eastAsia="MS Mincho"/>
      <w:color w:val="000000"/>
      <w:sz w:val="18"/>
    </w:rPr>
  </w:style>
  <w:style w:type="paragraph" w:customStyle="1" w:styleId="167">
    <w:name w:val="Header Title"/>
    <w:basedOn w:val="47"/>
    <w:qFormat/>
    <w:uiPriority w:val="0"/>
    <w:pPr>
      <w:tabs>
        <w:tab w:val="clear" w:pos="4320"/>
        <w:tab w:val="clear" w:pos="8640"/>
      </w:tabs>
      <w:spacing w:before="40"/>
      <w:jc w:val="center"/>
    </w:pPr>
    <w:rPr>
      <w:rFonts w:eastAsia="MS Mincho"/>
      <w:b/>
      <w:color w:val="000000"/>
      <w:position w:val="6"/>
      <w:sz w:val="40"/>
    </w:rPr>
  </w:style>
  <w:style w:type="paragraph" w:customStyle="1" w:styleId="168">
    <w:name w:val="Bullet 1"/>
    <w:basedOn w:val="1"/>
    <w:qFormat/>
    <w:uiPriority w:val="0"/>
    <w:pPr>
      <w:tabs>
        <w:tab w:val="left" w:pos="360"/>
      </w:tabs>
      <w:overflowPunct/>
      <w:autoSpaceDE/>
      <w:autoSpaceDN/>
      <w:adjustRightInd/>
      <w:spacing w:before="120" w:after="120"/>
      <w:ind w:left="360" w:hanging="360"/>
      <w:textAlignment w:val="auto"/>
    </w:pPr>
    <w:rPr>
      <w:rFonts w:eastAsia="Times New Roman"/>
      <w:kern w:val="16"/>
      <w:sz w:val="22"/>
      <w:lang w:eastAsia="en-US"/>
    </w:rPr>
  </w:style>
  <w:style w:type="paragraph" w:customStyle="1" w:styleId="169">
    <w:name w:val="Table"/>
    <w:basedOn w:val="1"/>
    <w:qFormat/>
    <w:uiPriority w:val="0"/>
    <w:pPr>
      <w:keepNext/>
      <w:spacing w:before="60" w:after="120"/>
    </w:pPr>
    <w:rPr>
      <w:rFonts w:eastAsia="MS Mincho"/>
      <w:color w:val="000000"/>
      <w:sz w:val="22"/>
      <w:lang w:eastAsia="en-US"/>
    </w:rPr>
  </w:style>
  <w:style w:type="paragraph" w:customStyle="1" w:styleId="170">
    <w:name w:val="Approved by"/>
    <w:basedOn w:val="1"/>
    <w:qFormat/>
    <w:uiPriority w:val="0"/>
    <w:pPr>
      <w:keepNext/>
      <w:keepLines/>
      <w:spacing w:before="60" w:after="120"/>
    </w:pPr>
    <w:rPr>
      <w:rFonts w:eastAsia="MS Mincho"/>
      <w:b/>
      <w:sz w:val="22"/>
      <w:lang w:eastAsia="en-US"/>
    </w:rPr>
  </w:style>
  <w:style w:type="paragraph" w:customStyle="1" w:styleId="171">
    <w:name w:val="Table Head"/>
    <w:basedOn w:val="1"/>
    <w:qFormat/>
    <w:uiPriority w:val="0"/>
    <w:pPr>
      <w:keepNext/>
      <w:spacing w:before="60" w:after="120"/>
      <w:jc w:val="center"/>
    </w:pPr>
    <w:rPr>
      <w:rFonts w:eastAsia="MS Mincho"/>
      <w:b/>
      <w:sz w:val="22"/>
      <w:lang w:eastAsia="en-US"/>
    </w:rPr>
  </w:style>
  <w:style w:type="paragraph" w:customStyle="1" w:styleId="172">
    <w:name w:val="TableTransition"/>
    <w:basedOn w:val="173"/>
    <w:qFormat/>
    <w:uiPriority w:val="0"/>
    <w:pPr>
      <w:tabs>
        <w:tab w:val="left" w:pos="198"/>
      </w:tabs>
      <w:ind w:left="360" w:hanging="360"/>
    </w:pPr>
  </w:style>
  <w:style w:type="paragraph" w:customStyle="1" w:styleId="173">
    <w:name w:val="TableAction"/>
    <w:basedOn w:val="1"/>
    <w:qFormat/>
    <w:uiPriority w:val="0"/>
    <w:pPr>
      <w:keepNext/>
      <w:spacing w:before="120" w:after="120"/>
      <w:ind w:left="-18"/>
    </w:pPr>
    <w:rPr>
      <w:rFonts w:eastAsia="MS Mincho"/>
      <w:sz w:val="18"/>
      <w:lang w:eastAsia="en-US"/>
    </w:rPr>
  </w:style>
  <w:style w:type="paragraph" w:customStyle="1" w:styleId="174">
    <w:name w:val="Table Bullet"/>
    <w:basedOn w:val="139"/>
    <w:qFormat/>
    <w:uiPriority w:val="0"/>
    <w:pPr>
      <w:keepNext w:val="0"/>
      <w:tabs>
        <w:tab w:val="left" w:pos="162"/>
      </w:tabs>
      <w:spacing w:before="20"/>
      <w:ind w:left="162" w:hanging="162"/>
    </w:pPr>
  </w:style>
  <w:style w:type="paragraph" w:customStyle="1" w:styleId="175">
    <w:name w:val="Definition List"/>
    <w:basedOn w:val="1"/>
    <w:next w:val="176"/>
    <w:qFormat/>
    <w:uiPriority w:val="0"/>
    <w:pPr>
      <w:keepNext/>
      <w:spacing w:before="60" w:after="120"/>
      <w:ind w:left="360"/>
    </w:pPr>
    <w:rPr>
      <w:rFonts w:eastAsia="MS Mincho"/>
      <w:color w:val="000000"/>
      <w:sz w:val="22"/>
      <w:lang w:eastAsia="en-US"/>
    </w:rPr>
  </w:style>
  <w:style w:type="paragraph" w:customStyle="1" w:styleId="176">
    <w:name w:val="Definition Term"/>
    <w:basedOn w:val="1"/>
    <w:next w:val="175"/>
    <w:qFormat/>
    <w:uiPriority w:val="0"/>
    <w:pPr>
      <w:keepNext/>
      <w:spacing w:before="60" w:after="120"/>
    </w:pPr>
    <w:rPr>
      <w:rFonts w:eastAsia="MS Mincho"/>
      <w:color w:val="000000"/>
      <w:sz w:val="22"/>
      <w:lang w:eastAsia="en-US"/>
    </w:rPr>
  </w:style>
  <w:style w:type="paragraph" w:customStyle="1" w:styleId="177">
    <w:name w:val="Note table"/>
    <w:basedOn w:val="1"/>
    <w:qFormat/>
    <w:uiPriority w:val="0"/>
    <w:pPr>
      <w:tabs>
        <w:tab w:val="left" w:pos="360"/>
        <w:tab w:val="left" w:pos="612"/>
      </w:tabs>
      <w:suppressAutoHyphens/>
      <w:spacing w:before="60"/>
      <w:ind w:left="612" w:hanging="518"/>
    </w:pPr>
    <w:rPr>
      <w:rFonts w:eastAsia="MS Mincho"/>
      <w:i/>
      <w:sz w:val="16"/>
      <w:lang w:eastAsia="en-US"/>
    </w:rPr>
  </w:style>
  <w:style w:type="paragraph" w:customStyle="1" w:styleId="178">
    <w:name w:val="Requirement"/>
    <w:basedOn w:val="13"/>
    <w:qFormat/>
    <w:uiPriority w:val="0"/>
    <w:pPr>
      <w:tabs>
        <w:tab w:val="left" w:pos="1440"/>
      </w:tabs>
      <w:suppressAutoHyphens/>
      <w:spacing w:before="120" w:after="120"/>
      <w:jc w:val="left"/>
    </w:pPr>
    <w:rPr>
      <w:rFonts w:eastAsia="MS Mincho"/>
      <w:sz w:val="22"/>
      <w:lang w:eastAsia="en-US"/>
    </w:rPr>
  </w:style>
  <w:style w:type="paragraph" w:customStyle="1" w:styleId="179">
    <w:name w:val="question"/>
    <w:basedOn w:val="180"/>
    <w:qFormat/>
    <w:uiPriority w:val="0"/>
    <w:rPr>
      <w:i/>
      <w:color w:val="008080"/>
    </w:rPr>
  </w:style>
  <w:style w:type="paragraph" w:customStyle="1" w:styleId="180">
    <w:name w:val="TableDescriptor"/>
    <w:basedOn w:val="1"/>
    <w:qFormat/>
    <w:uiPriority w:val="0"/>
    <w:pPr>
      <w:spacing w:before="60" w:after="60"/>
    </w:pPr>
    <w:rPr>
      <w:rFonts w:eastAsia="MS Mincho"/>
      <w:sz w:val="24"/>
      <w:lang w:eastAsia="en-US"/>
    </w:rPr>
  </w:style>
  <w:style w:type="paragraph" w:customStyle="1" w:styleId="181">
    <w:name w:val="ParameterDescription"/>
    <w:basedOn w:val="1"/>
    <w:qFormat/>
    <w:uiPriority w:val="0"/>
    <w:pPr>
      <w:spacing w:before="120" w:after="120"/>
    </w:pPr>
    <w:rPr>
      <w:rFonts w:eastAsia="MS Mincho"/>
      <w:sz w:val="18"/>
      <w:lang w:eastAsia="en-US"/>
    </w:rPr>
  </w:style>
  <w:style w:type="paragraph" w:customStyle="1" w:styleId="182">
    <w:name w:val="Related Standard(s)"/>
    <w:basedOn w:val="13"/>
    <w:qFormat/>
    <w:uiPriority w:val="0"/>
    <w:pPr>
      <w:keepNext/>
      <w:pBdr>
        <w:top w:val="single" w:color="auto" w:sz="6" w:space="1"/>
      </w:pBdr>
      <w:tabs>
        <w:tab w:val="left" w:pos="1440"/>
      </w:tabs>
      <w:spacing w:before="120"/>
      <w:jc w:val="left"/>
    </w:pPr>
    <w:rPr>
      <w:rFonts w:eastAsia="MS Mincho"/>
      <w:sz w:val="22"/>
      <w:lang w:eastAsia="en-US"/>
    </w:rPr>
  </w:style>
  <w:style w:type="paragraph" w:customStyle="1" w:styleId="183">
    <w:name w:val="Text Centered"/>
    <w:basedOn w:val="1"/>
    <w:qFormat/>
    <w:uiPriority w:val="0"/>
    <w:pPr>
      <w:overflowPunct/>
      <w:autoSpaceDE/>
      <w:autoSpaceDN/>
      <w:adjustRightInd/>
      <w:spacing w:before="120" w:after="120"/>
      <w:jc w:val="center"/>
      <w:textAlignment w:val="auto"/>
    </w:pPr>
    <w:rPr>
      <w:rFonts w:eastAsia="Times New Roman"/>
      <w:sz w:val="22"/>
      <w:szCs w:val="24"/>
      <w:lang w:eastAsia="en-US"/>
    </w:rPr>
  </w:style>
  <w:style w:type="paragraph" w:customStyle="1" w:styleId="184">
    <w:name w:val="Product Bullets"/>
    <w:basedOn w:val="13"/>
    <w:qFormat/>
    <w:uiPriority w:val="0"/>
    <w:pPr>
      <w:overflowPunct/>
      <w:autoSpaceDE/>
      <w:autoSpaceDN/>
      <w:adjustRightInd/>
      <w:ind w:left="1440" w:hanging="360"/>
      <w:textAlignment w:val="auto"/>
    </w:pPr>
    <w:rPr>
      <w:sz w:val="22"/>
      <w:lang w:eastAsia="en-US"/>
    </w:rPr>
  </w:style>
  <w:style w:type="paragraph" w:customStyle="1" w:styleId="185">
    <w:name w:val="Numbered"/>
    <w:basedOn w:val="1"/>
    <w:qFormat/>
    <w:uiPriority w:val="0"/>
    <w:pPr>
      <w:tabs>
        <w:tab w:val="left" w:pos="1440"/>
      </w:tabs>
      <w:overflowPunct/>
      <w:autoSpaceDE/>
      <w:autoSpaceDN/>
      <w:adjustRightInd/>
      <w:ind w:left="1440" w:hanging="360"/>
      <w:textAlignment w:val="auto"/>
    </w:pPr>
    <w:rPr>
      <w:rFonts w:eastAsia="Times New Roman"/>
      <w:sz w:val="22"/>
      <w:lang w:eastAsia="en-US"/>
    </w:rPr>
  </w:style>
  <w:style w:type="paragraph" w:customStyle="1" w:styleId="186">
    <w:name w:val="Doc Details"/>
    <w:basedOn w:val="1"/>
    <w:qFormat/>
    <w:uiPriority w:val="0"/>
    <w:pPr>
      <w:overflowPunct/>
      <w:autoSpaceDE/>
      <w:autoSpaceDN/>
      <w:adjustRightInd/>
      <w:spacing w:before="60" w:after="180"/>
      <w:jc w:val="center"/>
      <w:textAlignment w:val="auto"/>
      <w:outlineLvl w:val="0"/>
    </w:pPr>
    <w:rPr>
      <w:rFonts w:eastAsia="Times New Roman"/>
      <w:b/>
      <w:sz w:val="24"/>
      <w:szCs w:val="24"/>
      <w:lang w:eastAsia="en-US"/>
    </w:rPr>
  </w:style>
  <w:style w:type="paragraph" w:customStyle="1" w:styleId="187">
    <w:name w:val="Table Text 8pt Left"/>
    <w:basedOn w:val="1"/>
    <w:qFormat/>
    <w:uiPriority w:val="0"/>
    <w:pPr>
      <w:overflowPunct/>
      <w:autoSpaceDE/>
      <w:autoSpaceDN/>
      <w:adjustRightInd/>
      <w:spacing w:before="20" w:after="20"/>
      <w:textAlignment w:val="auto"/>
    </w:pPr>
    <w:rPr>
      <w:rFonts w:eastAsia="Times New Roman"/>
      <w:sz w:val="22"/>
      <w:szCs w:val="24"/>
      <w:lang w:eastAsia="en-US"/>
    </w:rPr>
  </w:style>
  <w:style w:type="paragraph" w:customStyle="1" w:styleId="188">
    <w:name w:val="Table Text Left"/>
    <w:basedOn w:val="1"/>
    <w:qFormat/>
    <w:uiPriority w:val="0"/>
    <w:pPr>
      <w:overflowPunct/>
      <w:autoSpaceDE/>
      <w:autoSpaceDN/>
      <w:adjustRightInd/>
      <w:spacing w:before="60" w:after="60"/>
      <w:textAlignment w:val="auto"/>
    </w:pPr>
    <w:rPr>
      <w:rFonts w:eastAsia="Times New Roman"/>
      <w:sz w:val="22"/>
      <w:lang w:eastAsia="en-US"/>
    </w:rPr>
  </w:style>
  <w:style w:type="paragraph" w:customStyle="1" w:styleId="189">
    <w:name w:val="Caption Style"/>
    <w:basedOn w:val="1"/>
    <w:next w:val="27"/>
    <w:link w:val="190"/>
    <w:qFormat/>
    <w:uiPriority w:val="0"/>
    <w:pPr>
      <w:tabs>
        <w:tab w:val="left" w:pos="540"/>
      </w:tabs>
      <w:overflowPunct/>
      <w:autoSpaceDE/>
      <w:autoSpaceDN/>
      <w:adjustRightInd/>
      <w:spacing w:before="60" w:after="240" w:line="220" w:lineRule="atLeast"/>
      <w:jc w:val="center"/>
      <w:textAlignment w:val="auto"/>
    </w:pPr>
    <w:rPr>
      <w:rFonts w:eastAsia="Times New Roman"/>
      <w:bCs/>
      <w:sz w:val="18"/>
      <w:szCs w:val="18"/>
      <w:lang w:val="zh-CN"/>
    </w:rPr>
  </w:style>
  <w:style w:type="character" w:customStyle="1" w:styleId="190">
    <w:name w:val="Caption Style Char"/>
    <w:link w:val="189"/>
    <w:qFormat/>
    <w:uiPriority w:val="0"/>
    <w:rPr>
      <w:rFonts w:ascii="Arial" w:hAnsi="Arial" w:eastAsia="Times New Roman"/>
      <w:bCs/>
      <w:sz w:val="18"/>
      <w:szCs w:val="18"/>
      <w:lang w:val="zh-CN" w:eastAsia="zh-CN"/>
    </w:rPr>
  </w:style>
  <w:style w:type="character" w:customStyle="1" w:styleId="191">
    <w:name w:val="klink"/>
    <w:basedOn w:val="71"/>
    <w:qFormat/>
    <w:uiPriority w:val="0"/>
  </w:style>
  <w:style w:type="paragraph" w:customStyle="1" w:styleId="192">
    <w:name w:val="Requirement Prefix"/>
    <w:basedOn w:val="178"/>
    <w:qFormat/>
    <w:uiPriority w:val="0"/>
    <w:pPr>
      <w:ind w:right="-144"/>
      <w:jc w:val="right"/>
    </w:pPr>
    <w:rPr>
      <w:rFonts w:cs="Arial"/>
      <w:szCs w:val="22"/>
    </w:rPr>
  </w:style>
  <w:style w:type="paragraph" w:customStyle="1" w:styleId="193">
    <w:name w:val="Requirement Number"/>
    <w:basedOn w:val="192"/>
    <w:link w:val="194"/>
    <w:qFormat/>
    <w:uiPriority w:val="0"/>
    <w:pPr>
      <w:widowControl w:val="0"/>
      <w:spacing w:before="60" w:after="60"/>
      <w:ind w:left="360" w:right="0" w:hanging="360"/>
      <w:jc w:val="left"/>
    </w:pPr>
    <w:rPr>
      <w:rFonts w:cs="Times New Roman"/>
      <w:lang w:eastAsia="zh-CN"/>
    </w:rPr>
  </w:style>
  <w:style w:type="character" w:customStyle="1" w:styleId="194">
    <w:name w:val="Requirement Number Char"/>
    <w:link w:val="193"/>
    <w:qFormat/>
    <w:uiPriority w:val="0"/>
    <w:rPr>
      <w:rFonts w:ascii="Arial" w:hAnsi="Arial" w:eastAsia="MS Mincho"/>
      <w:sz w:val="22"/>
      <w:szCs w:val="22"/>
      <w:lang w:val="zh-CN" w:eastAsia="zh-CN"/>
    </w:rPr>
  </w:style>
  <w:style w:type="paragraph" w:customStyle="1" w:styleId="195">
    <w:name w:val="正文首行缩进 21"/>
    <w:basedOn w:val="27"/>
    <w:link w:val="196"/>
    <w:qFormat/>
    <w:uiPriority w:val="0"/>
    <w:pPr>
      <w:spacing w:before="0"/>
      <w:ind w:firstLine="210"/>
      <w:jc w:val="left"/>
    </w:pPr>
  </w:style>
  <w:style w:type="character" w:customStyle="1" w:styleId="196">
    <w:name w:val="正文首行缩进 2 Char"/>
    <w:link w:val="195"/>
    <w:qFormat/>
    <w:uiPriority w:val="0"/>
    <w:rPr>
      <w:rFonts w:ascii="Arial" w:hAnsi="Arial"/>
      <w:sz w:val="22"/>
      <w:lang w:eastAsia="en-US"/>
    </w:rPr>
  </w:style>
  <w:style w:type="character" w:customStyle="1" w:styleId="197">
    <w:name w:val="HTML 地址 字符"/>
    <w:link w:val="32"/>
    <w:qFormat/>
    <w:uiPriority w:val="0"/>
    <w:rPr>
      <w:rFonts w:ascii="Arial" w:hAnsi="Arial" w:eastAsia="Times New Roman"/>
      <w:i/>
      <w:iCs/>
      <w:sz w:val="22"/>
      <w:lang w:eastAsia="en-US"/>
    </w:rPr>
  </w:style>
  <w:style w:type="character" w:customStyle="1" w:styleId="198">
    <w:name w:val="WW8Num9z0"/>
    <w:qFormat/>
    <w:uiPriority w:val="0"/>
    <w:rPr>
      <w:rFonts w:ascii="Wingdings" w:hAnsi="Wingdings"/>
    </w:rPr>
  </w:style>
  <w:style w:type="character" w:customStyle="1" w:styleId="199">
    <w:name w:val="不明显强调1"/>
    <w:qFormat/>
    <w:uiPriority w:val="19"/>
    <w:rPr>
      <w:i/>
      <w:iCs/>
      <w:color w:val="808080"/>
    </w:rPr>
  </w:style>
  <w:style w:type="paragraph" w:customStyle="1" w:styleId="200">
    <w:name w:val="Char2 Char Char"/>
    <w:basedOn w:val="1"/>
    <w:qFormat/>
    <w:uiPriority w:val="0"/>
    <w:pPr>
      <w:overflowPunct/>
      <w:autoSpaceDE/>
      <w:autoSpaceDN/>
      <w:adjustRightInd/>
      <w:spacing w:before="100" w:beforeAutospacing="1" w:after="100" w:afterAutospacing="1"/>
      <w:ind w:firstLine="200" w:firstLineChars="200"/>
      <w:textAlignment w:val="auto"/>
    </w:pPr>
    <w:rPr>
      <w:rFonts w:ascii="Verdana" w:hAnsi="Verdana" w:eastAsia="仿宋_GB2312"/>
      <w:szCs w:val="21"/>
      <w:lang w:eastAsia="en-US"/>
    </w:rPr>
  </w:style>
  <w:style w:type="paragraph" w:customStyle="1" w:styleId="201">
    <w:name w:val="Body 1"/>
    <w:basedOn w:val="1"/>
    <w:qFormat/>
    <w:uiPriority w:val="0"/>
    <w:pPr>
      <w:overflowPunct/>
      <w:autoSpaceDE/>
      <w:autoSpaceDN/>
      <w:adjustRightInd/>
      <w:spacing w:before="120"/>
      <w:ind w:left="576"/>
      <w:textAlignment w:val="auto"/>
    </w:pPr>
    <w:rPr>
      <w:snapToGrid w:val="0"/>
      <w:lang w:eastAsia="en-US"/>
    </w:rPr>
  </w:style>
  <w:style w:type="table" w:customStyle="1" w:styleId="202">
    <w:name w:val="Light List - Accent 11"/>
    <w:basedOn w:val="69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table" w:customStyle="1" w:styleId="203">
    <w:name w:val="Light List - Accent 12"/>
    <w:basedOn w:val="69"/>
    <w:qFormat/>
    <w:uiPriority w:val="61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</w:style>
  <w:style w:type="paragraph" w:customStyle="1" w:styleId="204">
    <w:name w:val="版权信息"/>
    <w:basedOn w:val="36"/>
    <w:qFormat/>
    <w:uiPriority w:val="0"/>
    <w:pPr>
      <w:widowControl w:val="0"/>
      <w:overflowPunct/>
      <w:autoSpaceDE/>
      <w:autoSpaceDN/>
      <w:adjustRightInd/>
      <w:jc w:val="center"/>
      <w:textAlignment w:val="auto"/>
    </w:pPr>
    <w:rPr>
      <w:rFonts w:ascii="Arial" w:hAnsi="Arial" w:eastAsia="楷体_GB2312" w:cs="宋体"/>
      <w:kern w:val="2"/>
      <w:sz w:val="24"/>
      <w:szCs w:val="20"/>
    </w:rPr>
  </w:style>
  <w:style w:type="character" w:customStyle="1" w:styleId="205">
    <w:name w:val="纯文本 字符"/>
    <w:link w:val="36"/>
    <w:semiHidden/>
    <w:qFormat/>
    <w:uiPriority w:val="99"/>
    <w:rPr>
      <w:rFonts w:ascii="宋体" w:hAnsi="Courier New" w:cs="Courier New"/>
      <w:sz w:val="21"/>
      <w:szCs w:val="21"/>
    </w:rPr>
  </w:style>
  <w:style w:type="paragraph" w:styleId="206">
    <w:name w:val="No Spacing"/>
    <w:link w:val="227"/>
    <w:qFormat/>
    <w:uiPriority w:val="1"/>
    <w:pPr>
      <w:overflowPunct w:val="0"/>
      <w:autoSpaceDE w:val="0"/>
      <w:autoSpaceDN w:val="0"/>
      <w:adjustRightInd w:val="0"/>
      <w:textAlignment w:val="baseline"/>
    </w:pPr>
    <w:rPr>
      <w:rFonts w:ascii="Arial" w:hAnsi="Arial" w:eastAsia="微软雅黑" w:cs="Times New Roman"/>
      <w:lang w:val="en-US" w:eastAsia="zh-CN" w:bidi="ar-SA"/>
    </w:rPr>
  </w:style>
  <w:style w:type="character" w:customStyle="1" w:styleId="207">
    <w:name w:val="页脚 字符"/>
    <w:basedOn w:val="71"/>
    <w:qFormat/>
    <w:uiPriority w:val="99"/>
  </w:style>
  <w:style w:type="character" w:customStyle="1" w:styleId="208">
    <w:name w:val="正文缩进 字符"/>
    <w:link w:val="20"/>
    <w:qFormat/>
    <w:uiPriority w:val="0"/>
    <w:rPr>
      <w:kern w:val="2"/>
      <w:sz w:val="21"/>
    </w:rPr>
  </w:style>
  <w:style w:type="paragraph" w:customStyle="1" w:styleId="209">
    <w:name w:val="正文1"/>
    <w:basedOn w:val="1"/>
    <w:next w:val="1"/>
    <w:link w:val="210"/>
    <w:qFormat/>
    <w:uiPriority w:val="0"/>
    <w:pPr>
      <w:widowControl w:val="0"/>
      <w:overflowPunct/>
      <w:autoSpaceDE/>
      <w:autoSpaceDN/>
      <w:adjustRightInd/>
      <w:ind w:firstLine="200" w:firstLineChars="200"/>
      <w:jc w:val="both"/>
      <w:textAlignment w:val="auto"/>
    </w:pPr>
    <w:rPr>
      <w:rFonts w:ascii="Calibri" w:hAnsi="Calibri"/>
      <w:kern w:val="2"/>
      <w:sz w:val="24"/>
      <w:szCs w:val="22"/>
    </w:rPr>
  </w:style>
  <w:style w:type="character" w:customStyle="1" w:styleId="210">
    <w:name w:val="正文1 Char"/>
    <w:link w:val="209"/>
    <w:qFormat/>
    <w:uiPriority w:val="0"/>
    <w:rPr>
      <w:rFonts w:ascii="Calibri" w:hAnsi="Calibri"/>
      <w:kern w:val="2"/>
      <w:sz w:val="24"/>
      <w:szCs w:val="22"/>
    </w:rPr>
  </w:style>
  <w:style w:type="paragraph" w:styleId="211">
    <w:name w:val="List Paragraph"/>
    <w:basedOn w:val="1"/>
    <w:link w:val="212"/>
    <w:qFormat/>
    <w:uiPriority w:val="34"/>
    <w:pPr>
      <w:ind w:firstLine="420" w:firstLineChars="200"/>
    </w:pPr>
  </w:style>
  <w:style w:type="character" w:customStyle="1" w:styleId="212">
    <w:name w:val="列出段落 字符"/>
    <w:link w:val="211"/>
    <w:qFormat/>
    <w:uiPriority w:val="34"/>
    <w:rPr>
      <w:rFonts w:ascii="Arial" w:hAnsi="Arial"/>
    </w:rPr>
  </w:style>
  <w:style w:type="paragraph" w:customStyle="1" w:styleId="213">
    <w:name w:val="样式 样式2 + 左侧:  0 厘米 首行缩进:  0 厘米 段前: 0.5 行 段后: 0.5 行"/>
    <w:basedOn w:val="1"/>
    <w:qFormat/>
    <w:uiPriority w:val="0"/>
    <w:pPr>
      <w:widowControl w:val="0"/>
      <w:tabs>
        <w:tab w:val="left" w:pos="420"/>
      </w:tabs>
      <w:overflowPunct/>
      <w:autoSpaceDE/>
      <w:autoSpaceDN/>
      <w:adjustRightInd/>
      <w:spacing w:before="156" w:beforeLines="50" w:after="156" w:afterLines="50"/>
      <w:jc w:val="both"/>
      <w:textAlignment w:val="auto"/>
      <w:outlineLvl w:val="2"/>
    </w:pPr>
    <w:rPr>
      <w:rFonts w:ascii="Times New Roman" w:hAnsi="Times New Roman" w:cs="宋体"/>
      <w:kern w:val="2"/>
      <w:sz w:val="24"/>
    </w:rPr>
  </w:style>
  <w:style w:type="character" w:customStyle="1" w:styleId="214">
    <w:name w:val="日期 字符"/>
    <w:basedOn w:val="71"/>
    <w:link w:val="41"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</w:rPr>
  </w:style>
  <w:style w:type="character" w:customStyle="1" w:styleId="215">
    <w:name w:val="标题 5 字符"/>
    <w:basedOn w:val="71"/>
    <w:link w:val="6"/>
    <w:qFormat/>
    <w:uiPriority w:val="0"/>
    <w:rPr>
      <w:rFonts w:ascii="Arial" w:hAnsi="Arial"/>
      <w:sz w:val="22"/>
    </w:rPr>
  </w:style>
  <w:style w:type="character" w:customStyle="1" w:styleId="216">
    <w:name w:val="标题 6 字符"/>
    <w:basedOn w:val="71"/>
    <w:link w:val="7"/>
    <w:qFormat/>
    <w:uiPriority w:val="0"/>
    <w:rPr>
      <w:i/>
      <w:sz w:val="22"/>
    </w:rPr>
  </w:style>
  <w:style w:type="character" w:customStyle="1" w:styleId="217">
    <w:name w:val="标题 7 字符"/>
    <w:basedOn w:val="71"/>
    <w:link w:val="8"/>
    <w:qFormat/>
    <w:uiPriority w:val="0"/>
    <w:rPr>
      <w:rFonts w:ascii="Arial" w:hAnsi="Arial"/>
    </w:rPr>
  </w:style>
  <w:style w:type="character" w:customStyle="1" w:styleId="218">
    <w:name w:val="标题 8 字符"/>
    <w:basedOn w:val="71"/>
    <w:link w:val="9"/>
    <w:qFormat/>
    <w:uiPriority w:val="0"/>
    <w:rPr>
      <w:rFonts w:ascii="Arial" w:hAnsi="Arial"/>
      <w:i/>
    </w:rPr>
  </w:style>
  <w:style w:type="character" w:customStyle="1" w:styleId="219">
    <w:name w:val="标题 9 字符"/>
    <w:basedOn w:val="71"/>
    <w:link w:val="10"/>
    <w:qFormat/>
    <w:uiPriority w:val="0"/>
    <w:rPr>
      <w:rFonts w:ascii="Arial" w:hAnsi="Arial"/>
      <w:b/>
      <w:i/>
      <w:sz w:val="18"/>
    </w:rPr>
  </w:style>
  <w:style w:type="paragraph" w:customStyle="1" w:styleId="220">
    <w:name w:val="TOC 标题1"/>
    <w:basedOn w:val="2"/>
    <w:next w:val="1"/>
    <w:semiHidden/>
    <w:unhideWhenUsed/>
    <w:qFormat/>
    <w:uiPriority w:val="39"/>
    <w:pPr>
      <w:keepNext/>
      <w:keepLines/>
      <w:widowControl/>
      <w:numPr>
        <w:numId w:val="0"/>
      </w:numPr>
      <w:tabs>
        <w:tab w:val="clear" w:pos="320"/>
        <w:tab w:val="clear" w:pos="720"/>
      </w:tabs>
      <w:overflowPunct/>
      <w:autoSpaceDE/>
      <w:autoSpaceDN/>
      <w:adjustRightInd/>
      <w:spacing w:before="480" w:after="0" w:line="276" w:lineRule="auto"/>
      <w:textAlignment w:val="auto"/>
      <w:outlineLvl w:val="9"/>
    </w:pPr>
    <w:rPr>
      <w:rFonts w:asciiTheme="majorHAnsi" w:hAnsiTheme="majorHAnsi" w:eastAsiaTheme="majorEastAsia" w:cstheme="majorBidi"/>
      <w:bCs/>
      <w:color w:val="2F5597" w:themeColor="accent1" w:themeShade="BF"/>
      <w:kern w:val="0"/>
      <w:sz w:val="28"/>
      <w:szCs w:val="28"/>
      <w:lang w:val="en-US"/>
    </w:rPr>
  </w:style>
  <w:style w:type="character" w:customStyle="1" w:styleId="221">
    <w:name w:val="文档结构图 字符"/>
    <w:basedOn w:val="71"/>
    <w:link w:val="23"/>
    <w:semiHidden/>
    <w:qFormat/>
    <w:uiPriority w:val="99"/>
    <w:rPr>
      <w:rFonts w:ascii="Tahoma" w:hAnsi="Tahoma"/>
      <w:shd w:val="clear" w:color="auto" w:fill="000080"/>
    </w:rPr>
  </w:style>
  <w:style w:type="paragraph" w:customStyle="1" w:styleId="222">
    <w:name w:val="Char"/>
    <w:basedOn w:val="6"/>
    <w:qFormat/>
    <w:uiPriority w:val="0"/>
    <w:pPr>
      <w:keepNext/>
      <w:keepLines/>
      <w:numPr>
        <w:ilvl w:val="0"/>
        <w:numId w:val="0"/>
      </w:numPr>
      <w:tabs>
        <w:tab w:val="left" w:pos="1008"/>
        <w:tab w:val="left" w:pos="1701"/>
      </w:tabs>
      <w:overflowPunct/>
      <w:autoSpaceDE/>
      <w:autoSpaceDN/>
      <w:adjustRightInd/>
      <w:spacing w:before="280" w:after="160" w:line="240" w:lineRule="exact"/>
      <w:ind w:left="1701" w:hanging="850"/>
      <w:textAlignment w:val="auto"/>
    </w:pPr>
    <w:rPr>
      <w:rFonts w:ascii="Verdana" w:hAnsi="Verdana"/>
      <w:b/>
      <w:sz w:val="20"/>
      <w:lang w:eastAsia="en-US"/>
    </w:rPr>
  </w:style>
  <w:style w:type="paragraph" w:customStyle="1" w:styleId="223">
    <w:name w:val="正文无缩进"/>
    <w:basedOn w:val="1"/>
    <w:qFormat/>
    <w:uiPriority w:val="0"/>
    <w:pPr>
      <w:overflowPunct/>
      <w:autoSpaceDE/>
      <w:autoSpaceDN/>
      <w:adjustRightInd/>
      <w:spacing w:after="200"/>
      <w:textAlignment w:val="auto"/>
    </w:pPr>
    <w:rPr>
      <w:rFonts w:ascii="Calibri" w:hAnsi="Calibri" w:cs="宋体"/>
      <w:sz w:val="22"/>
    </w:rPr>
  </w:style>
  <w:style w:type="paragraph" w:customStyle="1" w:styleId="224">
    <w:name w:val="列出段落11"/>
    <w:basedOn w:val="1"/>
    <w:qFormat/>
    <w:uiPriority w:val="0"/>
    <w:pPr>
      <w:widowControl w:val="0"/>
      <w:overflowPunct/>
      <w:autoSpaceDE/>
      <w:autoSpaceDN/>
      <w:adjustRightInd/>
      <w:spacing w:line="240" w:lineRule="auto"/>
      <w:ind w:firstLine="420" w:firstLineChars="200"/>
      <w:jc w:val="both"/>
      <w:textAlignment w:val="auto"/>
    </w:pPr>
    <w:rPr>
      <w:rFonts w:ascii="Calibri" w:hAnsi="Calibri"/>
      <w:kern w:val="2"/>
      <w:sz w:val="21"/>
      <w:szCs w:val="22"/>
    </w:rPr>
  </w:style>
  <w:style w:type="character" w:customStyle="1" w:styleId="225">
    <w:name w:val="书籍标题1"/>
    <w:qFormat/>
    <w:uiPriority w:val="33"/>
    <w:rPr>
      <w:b/>
      <w:bCs/>
      <w:smallCaps/>
      <w:spacing w:val="5"/>
    </w:rPr>
  </w:style>
  <w:style w:type="paragraph" w:customStyle="1" w:styleId="226">
    <w:name w:val="My 正文"/>
    <w:basedOn w:val="1"/>
    <w:qFormat/>
    <w:uiPriority w:val="0"/>
    <w:pPr>
      <w:widowControl w:val="0"/>
      <w:overflowPunct/>
      <w:autoSpaceDE/>
      <w:autoSpaceDN/>
      <w:adjustRightInd/>
      <w:spacing w:line="520" w:lineRule="atLeast"/>
      <w:ind w:firstLine="480" w:firstLineChars="200"/>
      <w:jc w:val="both"/>
      <w:textAlignment w:val="auto"/>
    </w:pPr>
    <w:rPr>
      <w:rFonts w:ascii="Times New Roman" w:hAnsi="Times New Roman" w:cs="宋体"/>
      <w:kern w:val="2"/>
      <w:sz w:val="24"/>
    </w:rPr>
  </w:style>
  <w:style w:type="character" w:customStyle="1" w:styleId="227">
    <w:name w:val="无间隔 字符"/>
    <w:basedOn w:val="71"/>
    <w:link w:val="206"/>
    <w:qFormat/>
    <w:uiPriority w:val="1"/>
    <w:rPr>
      <w:rFonts w:ascii="Arial" w:hAnsi="Arial" w:eastAsia="微软雅黑"/>
    </w:rPr>
  </w:style>
  <w:style w:type="paragraph" w:customStyle="1" w:styleId="228">
    <w:name w:val="正文 New New New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customStyle="1" w:styleId="229">
    <w:name w:val="正文 New New New New New New New New New New New New New New New New New New New New New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customStyle="1" w:styleId="230">
    <w:name w:val="未处理的提及1"/>
    <w:basedOn w:val="71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31">
    <w:name w:val="HorizontalRule"/>
    <w:basedOn w:val="1"/>
    <w:qFormat/>
    <w:uiPriority w:val="0"/>
    <w:pPr>
      <w:spacing w:after="240"/>
    </w:pPr>
    <w:rPr>
      <w:color w:val="CCCCCC"/>
    </w:rPr>
  </w:style>
</w:styles>
</file>

<file path=word/_rels/document.xml.rels><?xml version="1.0" encoding="UTF-8"?>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2.xml"/><Relationship Id="rId7" Type="http://schemas.openxmlformats.org/officeDocument/2006/relationships/header" Target="header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HT</Company>
  <Pages>12</Pages>
  <Words>289</Words>
  <Characters>356</Characters>
  <Lines>10</Lines>
  <Paragraphs>2</Paragraphs>
  <TotalTime>0</TotalTime>
  <ScaleCrop>false</ScaleCrop>
  <LinksUpToDate>false</LinksUpToDate>
  <CharactersWithSpaces>406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2025-12-07T04:15:00Z</dcterms:created>
  <dc:creator>Hanthink</dc:creator>
  <cp:lastModifiedBy>李彦琦</cp:lastModifiedBy>
  <cp:lastPrinted>2022-10-25T23:50:00Z</cp:lastPrinted>
  <dcterms:modified xsi:type="dcterms:W3CDTF">2026-06-25T03:19:55Z</dcterms:modified>
  <dc:subject>文档编写规范</dc:subject>
  <dc:title>文档编写规范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0x01010054B7C7C3A7BD5149B59CBE5AAF498A0F</vt:lpwstr>
  </property>
  <property fmtid="{D5CDD505-2E9C-101B-9397-08002B2CF9AE}" pid="3" name="KSOProductBuildVer">
    <vt:lpwstr>2052-12.1.0.26895</vt:lpwstr>
  </property>
  <property fmtid="{D5CDD505-2E9C-101B-9397-08002B2CF9AE}" pid="4" name="ICV">
    <vt:lpwstr>88A036F855B5422AAEB41FE3E59FEBAE_13</vt:lpwstr>
  </property>
  <property fmtid="{D5CDD505-2E9C-101B-9397-08002B2CF9AE}" pid="5" name="KSOTemplateDocerSaveRecord">
    <vt:lpwstr>eyJoZGlkIjoiMDAwZTJjZjIyYjRjM2IzYjcxMzQ3ZmRjZGJjODc2MjUiLCJ1c2VySWQiOiIyMDAwNDQzMDYifQ==</vt:lpwstr>
  </property>
</Properties>
</file>