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https://goec-main.vercel.app/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Favicon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form here (red box)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230909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30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Lead for submit or next button need different or this same vibrant mint green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Reference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25189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1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Need to add trust building factors in the header or near to the bottom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74942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74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Need to change the current style, digits look small. If we can add the revenue, % increased or something related to that will help more.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taking for lead submission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details first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(Kerala and Karnataka investment amount and model is different)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State (if they are entering kerala 35L form need to open or they enter state Karnataka 50L - 55L form need to open)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the current form user enter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to this question </w:t>
      </w:r>
      <w:r w:rsidDel="00000000" w:rsidR="00000000" w:rsidRPr="00000000">
        <w:rPr>
          <w:b w:val="1"/>
          <w:bCs w:val="1"/>
          <w:rtl w:val="0"/>
        </w:rPr>
        <w:t xml:space="preserve">Our investment plan starts from ₹35 lakhs. Are you interested in proceeding? </w:t>
      </w:r>
      <w:r w:rsidDel="00000000" w:rsidR="00000000" w:rsidRPr="00000000">
        <w:rPr>
          <w:rtl w:val="0"/>
        </w:rPr>
        <w:t xml:space="preserve">The form allows that user to the next questions. If they submit No then the form needs to close with a thank you message.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Lead flow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307657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10299" r="13455" t="46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Remove 35L from here and while clicking Apply Now, redirect to new form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Add I COCO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Users can visit youtube from here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(remove all Outbound links from the landing page)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Frequently Asked Questions (kerala and karnata investment is different)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jp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oec-main.vercel.app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