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b/>
          <w:color w:val="1F497D"/>
          <w:sz w:val="26"/>
        </w:rPr>
        <w:t>INSTITUIÇÃO DE ENSINO SUPERIOR</w:t>
      </w:r>
    </w:p>
    <w:p>
      <w:pPr>
        <w:spacing w:after="2400"/>
        <w:jc w:val="center"/>
      </w:pPr>
      <w:r>
        <w:rPr>
          <w:color w:val="646464"/>
          <w:sz w:val="20"/>
        </w:rPr>
        <w:t>Departamento de Engenharia Informática e Sistemas de Informação</w:t>
        <w:br/>
        <w:t>Licenciatura / Mestrado em Engenharia Informática</w:t>
      </w:r>
    </w:p>
    <w:p>
      <w:pPr>
        <w:spacing w:after="240"/>
        <w:jc w:val="center"/>
      </w:pPr>
      <w:r>
        <w:rPr>
          <w:b/>
          <w:color w:val="1F497D"/>
          <w:sz w:val="44"/>
        </w:rPr>
        <w:t>Classificação Multi-Label de Alimentos</w:t>
        <w:br/>
        <w:t>em Fotografias de Pratos</w:t>
      </w:r>
    </w:p>
    <w:p>
      <w:pPr>
        <w:spacing w:after="2800"/>
        <w:jc w:val="center"/>
      </w:pPr>
      <w:r>
        <w:rPr>
          <w:i/>
          <w:color w:val="464646"/>
          <w:sz w:val="26"/>
        </w:rPr>
        <w:t>Meta I — Análise do Problema e Desenvolvimento de um Modelo Baseado em Redes Neuronais</w:t>
      </w:r>
    </w:p>
    <w:p>
      <w:pPr>
        <w:spacing w:after="80"/>
        <w:jc w:val="right"/>
      </w:pPr>
      <w:r>
        <w:rPr>
          <w:b/>
        </w:rPr>
        <w:t xml:space="preserve">Autor: </w:t>
      </w:r>
      <w:r>
        <w:t>Alcides Santos</w:t>
        <w:br/>
      </w:r>
      <w:r>
        <w:rPr>
          <w:b/>
        </w:rPr>
        <w:t xml:space="preserve">Unidade Curricular: </w:t>
      </w:r>
      <w:r>
        <w:t>Inteligência Computacional</w:t>
        <w:br/>
      </w:r>
      <w:r>
        <w:rPr>
          <w:b/>
        </w:rPr>
        <w:t xml:space="preserve">Referência Teórica: </w:t>
      </w:r>
      <w:r>
        <w:t>Müller &amp; Guido (2016)</w:t>
      </w:r>
    </w:p>
    <w:p>
      <w:pPr>
        <w:spacing w:before="1600"/>
        <w:jc w:val="center"/>
      </w:pPr>
      <w:r>
        <w:rPr>
          <w:color w:val="787878"/>
          <w:sz w:val="20"/>
        </w:rPr>
        <w:t>Ano Letivo 2025/2026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</w:t>
      </w:r>
    </w:p>
    <w:p>
      <w:r>
        <w:t>O presente relatório descreve o trabalho realizado no âmbito da Meta I do projeto da unidade curricular de Inteligência Computacional, cujo propósito é o desenvolvimento de uma rede neuronal capaz de analisar fotografias de pratos culinários e identificar quais os alimentos ou ingredientes neles presentes. O problema foi formulado rigorosamente como uma tarefa de Classificação de Imagens Multi-Label, adaptando o benchmark de segmentação FoodSeg103 para extrair as 102 categorias alimentares válidas presentes em cada prato. Construiu-se um pipeline de pré-processamento eficiente em TensorFlow/Keras com redimensionamento uniforme (224x224 píxeis), normalização de escala [0, 1] e codificação multi-hot rastreável. Foi concebida e treinada uma Convolutional Neural Network (CNN) compacta com 122.918 parâmetros, utilizando função de ativação Sigmoid na camada de saída e função de perda Binary Cross-Entropy. A avaliação num conjunto de teste independente composto por 1.068 imagens permitiu apurar e fundamentar criticamente as métricas de Accuracy, Sensibilidade (Recall), Especificidade, F1-Score e ROC-AUC (0.8220), demonstrando de forma empírica o fenómeno da 'Falácia da Acurácia' provocado pelo desbalanceamento natural dos ingredientes e delineando o plano estratégico de otimização para a Meta II.</w:t>
      </w:r>
    </w:p>
    <w:p>
      <w:r>
        <w:rPr>
          <w:b/>
        </w:rPr>
        <w:t xml:space="preserve">Palavras-chave: </w:t>
      </w:r>
      <w:r>
        <w:t>Inteligência Computacional, Classificação Multi-Label, Visão Computacional, Redes Neuronais Convolucionais, FoodSeg103, Falácia da Acurácia.</w:t>
      </w:r>
    </w:p>
    <w:p>
      <w:pPr>
        <w:spacing w:after="360"/>
      </w:pPr>
    </w:p>
    <w:p>
      <w:pPr>
        <w:pStyle w:val="Heading1"/>
      </w:pPr>
      <w:r>
        <w:rPr>
          <w:color w:val="1F497D"/>
        </w:rPr>
        <w:t>Abstract</w:t>
      </w:r>
    </w:p>
    <w:p>
      <w:r>
        <w:t>This report details the work accomplished in Milestone I of the Computational Intelligence course project, focused on developing a neural network capable of analyzing food photographs to identify all ingredients present on a plate. The task is formulated as Multi-Label Image Classification, adapting the FoodSeg103 benchmark to detect 102 distinct food categories. A complete data pipeline was implemented featuring 224x224 image resizing, pixel normalization into [0, 1], and bidirectional multi-hot encoding. A lightweight CNN baseline architecture (122,918 parameters) was trained using Sigmoid output units and Binary Cross-Entropy loss. Evaluation on an independent 1,068-image test set produced verified metrics across Accuracy, Recall, Specificity, F1-score, and ROC-AUC (0.8220), providing an empirical demonstration of the Accuracy Fallacy in imbalanced food data and establishing a solid baseline for Milestone II optimization.</w:t>
      </w:r>
    </w:p>
    <w:p>
      <w:r>
        <w:rPr>
          <w:b/>
        </w:rPr>
        <w:t xml:space="preserve">Keywords: </w:t>
      </w:r>
      <w:r>
        <w:t>Computational Intelligence, Multi-Label Classification, Convolutional Neural Networks, Food Recognition, FoodSeg103, Accuracy Fallacy.</w:t>
      </w:r>
    </w:p>
    <w:p>
      <w:r>
        <w:br w:type="page"/>
      </w:r>
    </w:p>
    <w:p>
      <w:pPr>
        <w:pStyle w:val="Heading1"/>
      </w:pPr>
      <w:r>
        <w:rPr>
          <w:color w:val="1F497D"/>
        </w:rPr>
        <w:t>Índice Geral</w:t>
      </w:r>
    </w:p>
    <w:p>
      <w:r>
        <w:rPr>
          <w:i/>
          <w:color w:val="787878"/>
          <w:sz w:val="18"/>
        </w:rPr>
        <w:t>[Nota: Este índice é gerado automaticamente pelo Microsoft Word a partir dos títulos do documento. Para atualizar números de página, clique com o botão direito no índice e selecione 'Atualizar Campo'.]</w:t>
      </w:r>
    </w:p>
    <w:p>
      <w:pPr>
        <w:spacing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F497D"/>
          <w:sz w:val="30"/>
        </w:rPr>
        <w:t>1. Introdução e Enquadramento do Problema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1.1 Contexto e Motivação</w:t>
      </w:r>
    </w:p>
    <w:p>
      <w:r>
        <w:t>A análise automática de imagens de refeições assume crescente relevância na interseção entre Inteligência Artificial, ciências da nutrição e saúde preventiva. No entanto, o reconhecimento visual de pratos de comida constitui um dos desafios mais complexos em Visão Computacional devido à elevada deformabilidade dos ingredientes, à variação extrema nas formas de confeção e empratamento e, fundamentalmente, à copresença simultânea de múltiplos alimentos num mesmo prato.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1.2 Formulação do Problema: Multi-Label vs. Multiclass</w:t>
      </w:r>
    </w:p>
    <w:p>
      <w:r>
        <w:t>Em problemas canónicos de classificação supervisionada de imagens (como a distinção de dígitos no MNIST ou espécies animais no CIFAR-10), assume-se a premissa de que cada instância pertence a uma e apenas uma categoria mutuamente exclusiva (classificação multiclass). Na análise culinária, contudo, um prato típico apresenta arroz, carne e legumes em simultâneo. Trata-se, por conseguinte, de um problema de Classificação Multi-Label, onde a rede neuronal deve tomar 102 decisões binárias independentes em simultâneo.</w:t>
      </w:r>
    </w:p>
    <w:p>
      <w:r>
        <w:t>Não se pretende abordar tarefas de regressão (não se estimam gramagens, percentagens calóricas ou volumes) nem tarefas de segmentação semântica pixel a pixel, mantendo o foco exclusivo na questão: 'Quais os alimentos/ingredientes presentes nesta imagem?'.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1.3 Objetivos da Meta I</w:t>
      </w:r>
    </w:p>
    <w:p>
      <w:r>
        <w:t>Em estrita concordância com o enunciado do trabalho prático, os objetivos definidos para a Meta I foram:</w:t>
        <w:br/>
        <w:t>1. Estudo analítico e verificação experimental dos factos do dataset FoodSeg103;</w:t>
        <w:br/>
        <w:t>2. Desenho e implementação da engenharia de dados (redimensionamento, normalização e codificação multi-hot);</w:t>
        <w:br/>
        <w:t>3. Conceção e implementação de uma arquitetura inicial baseada em redes neuronais convolucionais (CNN Baseline);</w:t>
        <w:br/>
        <w:t>4. Treino monitorizado e avaliação formal num conjunto de teste independente, reportando as métricas exigidas (Accuracy, Sensibilidade, Especificidade, F-measure, AUC e Matriz de Confusão).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1.4 Enquadramento no Livro de Referência</w:t>
      </w:r>
    </w:p>
    <w:p>
      <w:r>
        <w:t>A metodologia de investigação adotada fundamenta-se nos princípios preconizados por Müller &amp; Guido (2016). Nos Capítulos 1 e 2, os autores salientam a necessidade prioritária de inspecionar detalhadamente a tarefa e os dados antes de qualquer escolha algorítmica, alertando para os perigos do sobreajuste (overfitting). No Capítulo 3, fundamenta-se a indispensabilidade do escalamento de variáveis de entrada em redes neuronais. Finalmente, no Capítulo 5, explora-se a problemática do desbalanceamento severo de classes e a falácia do uso acrítico da acurácia como critério único de avaliação.</w:t>
      </w:r>
    </w:p>
    <w:p>
      <w:pPr>
        <w:pStyle w:val="Heading1"/>
        <w:spacing w:before="360" w:after="160"/>
      </w:pPr>
      <w:r>
        <w:rPr>
          <w:rFonts w:ascii="Calibri" w:hAnsi="Calibri"/>
          <w:color w:val="1F497D"/>
          <w:sz w:val="30"/>
        </w:rPr>
        <w:t>2. Caracterização e Análise do Dataset FoodSeg103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2.1 Origem e Descrição Geral</w:t>
      </w:r>
    </w:p>
    <w:p>
      <w:r>
        <w:t>O FoodSeg103 (Wu et al., 2021) é um benchmark construído a partir de receitas com fotografia do repositório Recipe1M. O dataset é composto por 7.118 imagens no total, distribuídas originalmente em 4.983 imagens no split de treino e 2.135 imagens no split de validação. Cada registo contém a imagem original, a máscara de segmentação e a lista 'classes_on_image' com os IDs das classes identificadas no prato.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2.2 Seleção e Filtragem de Classes</w:t>
      </w:r>
    </w:p>
    <w:p>
      <w:r>
        <w:t>O mapeamento oficial id2label.json contém 104 categorias (IDs de 0 a 103). Procedeu-se à filtragem rigorosa:</w:t>
        <w:br/>
        <w:t>• ID 0 (background): Representa pratos, talheres e mesa na anotação de píxeis. Não sendo um alimento, foi excluído;</w:t>
        <w:br/>
        <w:t>• ID 103 (other ingredients): Categoria residual que agrega dezenas de ingredientes não padronizados. De forma a garantir que a rede aprende conceitos visuais consistentes e unívocos, foi também excluída;</w:t>
        <w:br/>
        <w:t>• Restam exatamente 102 classes alimentares puras (IDs de 1 a 102), que constituem o espaço de classes do modelo.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19"/>
        </w:rPr>
        <w:t xml:space="preserve">Figura: </w:t>
      </w:r>
      <w:r>
        <w:rPr>
          <w:i/>
          <w:sz w:val="19"/>
        </w:rPr>
        <w:t>Amostra de pratos do dataset pré-processados a 224x224 com rótulos multi-hot descodificados.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2.3 Análise do Desbalanceamento Extremo (Long-Tail)</w:t>
      </w:r>
    </w:p>
    <w:p>
      <w:r>
        <w:t>A análise estatística revelou uma assimetria severa de representação. Enquanto ingredientes basilares como pão (1.405 imagens), cenoura (1.279), aves (1.242) e molhos (1.145) contam com elevada representação, ingredientes como kelp (3 imagens), tarte de ovo (4) e pudim (5) encontram-se raramente registados. Este desbalanceamento dita que a acurácia global será dominada pela ausência das classes raras, exigindo métricas insensíveis a este viés (como o ROC-AUC e F1-score).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903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0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19"/>
        </w:rPr>
        <w:t xml:space="preserve">Figura: </w:t>
      </w:r>
      <w:r>
        <w:rPr>
          <w:i/>
          <w:sz w:val="19"/>
        </w:rPr>
        <w:t>Distribuição da frequência de ocorrência das classes alimentares no dataset.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s_per_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19"/>
        </w:rPr>
        <w:t xml:space="preserve">Figura: </w:t>
      </w:r>
      <w:r>
        <w:rPr>
          <w:i/>
          <w:sz w:val="19"/>
        </w:rPr>
        <w:t>Histograma da quantidade de alimentos simultâneos por fotografia culinária.</w:t>
      </w:r>
    </w:p>
    <w:p>
      <w:pPr>
        <w:pStyle w:val="Heading1"/>
        <w:spacing w:before="360" w:after="160"/>
      </w:pPr>
      <w:r>
        <w:rPr>
          <w:rFonts w:ascii="Calibri" w:hAnsi="Calibri"/>
          <w:color w:val="1F497D"/>
          <w:sz w:val="30"/>
        </w:rPr>
        <w:t>3. Metodologia e Engenharia de Dados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3.1 Codificação Multi-Hot (FoodLabelEncoder)</w:t>
      </w:r>
    </w:p>
    <w:p>
      <w:r>
        <w:t>Implementou-se o módulo src/preprocessing.py através da classe FoodLabelEncoder. Para cada imagem, a lista de IDs brutos [0, 48, 66, 90] é convertida num vetor booleano y de dimensão 102, onde cada índice ativo corresponde a ID - 1. O módulo assegura rastreabilidade biunívoca total entre índice do tensor, ID oficial e nome do ingrediente, tendo sido validado por testes unitários exaustivos.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3.2 Partição dos Dados sem Fuga de Informação</w:t>
      </w:r>
    </w:p>
    <w:p>
      <w:r>
        <w:t>Como o FoodSeg103 não disponibiliza um split de teste isolado e o enunciado exige uma avaliação formal em dados nunca vistos, definiu-se a seguinte estratégia metodológica:</w:t>
        <w:br/>
        <w:t>• Treino (Train): 4.983 imagens (100% da partição de treino original, preservando o máximo de exemplos para o gradiente);</w:t>
        <w:br/>
        <w:t>• Validação (Validation): 1.067 imagens (50% da partição original de validação, com seed=42);</w:t>
        <w:br/>
        <w:t>• Teste Independente (Test): 1.068 imagens (os restantes 50%, guardados intactos até à fase de avaliação).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3.3 Redimensionamento e Normalização de Píxeis</w:t>
      </w:r>
    </w:p>
    <w:p>
      <w:r>
        <w:t>As imagens originais possuem resoluções díspares que vão de 113x122 até 5312x4208 píxeis. Seguindo as boas práticas de Visão Computacional, cada imagem foi convertida para o espaço RGB e redimensionada para 224x224 píxeis através de interpolação bilinear. Em consonância com o Capítulo 3 de Müller &amp; Guido, os valores inteiros dos píxeis [0, 255] foram normalizados para o intervalo contínuo [0.0, 1.0] dividindo por 255.0, evitando a saturação precoce dos gradientes.</w:t>
      </w:r>
    </w:p>
    <w:p>
      <w:pPr>
        <w:pStyle w:val="Heading1"/>
        <w:spacing w:before="360" w:after="160"/>
      </w:pPr>
      <w:r>
        <w:rPr>
          <w:rFonts w:ascii="Calibri" w:hAnsi="Calibri"/>
          <w:color w:val="1F497D"/>
          <w:sz w:val="30"/>
        </w:rPr>
        <w:t>4. Arquitetura da Rede Neuronal (Baseline)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4.1 Justificação da Escolha: CNN vs. MLP</w:t>
      </w:r>
    </w:p>
    <w:p>
      <w:r>
        <w:t>O enunciado admite redes MLP ou CNN. A opção recaiu categoricamente sobre uma Convolutional Neural Network (CNN). Um MLP tradicional alimentado por imagens de 224x224x3 píxeis exigiria achatar a matriz num vetor de 150.528 entradas. Uma primeira camada oculta com 512 unidades exigiria mais de 77 milhões de pesos ajustáveis, provocando sobreajuste imediato e destruindo as correlações geométricas bidimensionais da imagem. A CNN explora campos receptivos locais (filtros 3x3) e partilha de parâmetros, detetando texturas e formas com elevada eficiência computacional.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4.2 Função de Ativação de Saída: Sigmoid vs. Softmax</w:t>
      </w:r>
    </w:p>
    <w:p>
      <w:r>
        <w:t>Em problemas multiclass utiliza-se a função Softmax, que normaliza as saídas de modo a que somem 1.0, gerando competição mútua entre categorias. No contexto multi-label de pratos mistos, onde a presença de arroz não anula a presença de carne, a função de saída mandatória é a Sigmoid:</w:t>
      </w:r>
    </w:p>
    <w:p>
      <w:pPr>
        <w:jc w:val="center"/>
      </w:pPr>
      <w:r>
        <w:rPr>
          <w:b/>
          <w:i/>
        </w:rPr>
        <w:t>σ(z_i) = 1 / (1 + e^(-z_i))   para cada classe i ∈ {1, ..., 102}</w:t>
      </w:r>
    </w:p>
    <w:p>
      <w:r>
        <w:t>Esta formulação permite que cada um dos 102 neurónios atue como um classificador binário independente. A função de perda é a Binary Cross-Entropy (BCE), que quantifica a divergência probabilística de cada classe.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4.3 Especificação das Camadas e Contagem de Parâmetros</w:t>
      </w:r>
    </w:p>
    <w:p>
      <w:r>
        <w:t>A arquitetura (implementada em src/model.py) foi dimensionada para conter 122.918 parâmetros (~480 KB), permitindo treino expedito e minimizando o risco de memorização (overfitting):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1826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1826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826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Formato de Saída</w:t>
            </w:r>
          </w:p>
        </w:tc>
        <w:tc>
          <w:tcPr>
            <w:tcW w:type="dxa" w:w="1826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Parâmetros</w:t>
            </w:r>
          </w:p>
        </w:tc>
        <w:tc>
          <w:tcPr>
            <w:tcW w:type="dxa" w:w="1826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Função no Modelo</w:t>
            </w:r>
          </w:p>
        </w:tc>
      </w:tr>
      <w:tr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input_image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InputLayer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224, 224, 3)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Entrada RGB normalizada [0, 1]</w:t>
            </w:r>
          </w:p>
        </w:tc>
      </w:tr>
      <w:tr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conv1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Conv2D (32, 3x3)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224, 224, 32)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896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Deteção de arestas e contrastes</w:t>
            </w:r>
          </w:p>
        </w:tc>
      </w:tr>
      <w:tr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pool1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MaxPooling2D (2x2)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112, 112, 32)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Redução espacial e invariância local</w:t>
            </w:r>
          </w:p>
        </w:tc>
      </w:tr>
      <w:tr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conv2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Conv2D (64, 3x3)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112, 112, 64)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18.496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Extração de texturas de alimentos</w:t>
            </w:r>
          </w:p>
        </w:tc>
      </w:tr>
      <w:tr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pool2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MaxPooling2D (2x2)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56, 56, 64)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Redução espacial 2x</w:t>
            </w:r>
          </w:p>
        </w:tc>
      </w:tr>
      <w:tr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conv3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Conv2D (128, 3x3)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56, 56, 128)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73.856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Extração de formas e padrões complexos</w:t>
            </w:r>
          </w:p>
        </w:tc>
      </w:tr>
      <w:tr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pool3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MaxPooling2D (2x2)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28, 28, 128)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Redução espacial 2x</w:t>
            </w:r>
          </w:p>
        </w:tc>
      </w:tr>
      <w:tr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gap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GlobalAvgPool2D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128)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Média espacial por canal (evita Flatten)</w:t>
            </w:r>
          </w:p>
        </w:tc>
      </w:tr>
      <w:tr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dense_feat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Dense (128, ReLU)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128)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16.512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Integração semântica de features</w:t>
            </w:r>
          </w:p>
        </w:tc>
      </w:tr>
      <w:tr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dropout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Dropout (0.3)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128)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26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Regularização (combate a overfitting)</w:t>
            </w:r>
          </w:p>
        </w:tc>
      </w:tr>
      <w:tr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output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Dense (102, Sigmoid)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(None, 102)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13.158</w:t>
            </w:r>
          </w:p>
        </w:tc>
        <w:tc>
          <w:tcPr>
            <w:tcW w:type="dxa" w:w="182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102 probabilidades independentes [0, 1]</w:t>
            </w:r>
          </w:p>
        </w:tc>
      </w:tr>
    </w:tbl>
    <w:p>
      <w:pPr>
        <w:jc w:val="center"/>
      </w:pPr>
      <w:r>
        <w:rPr>
          <w:i/>
          <w:sz w:val="18"/>
        </w:rPr>
        <w:t>Tabela 1 — Especificação da arquitetura e contagem de parâmetros da CNN Baseline.</w:t>
      </w:r>
    </w:p>
    <w:p>
      <w:pPr>
        <w:pStyle w:val="Heading1"/>
        <w:spacing w:before="360" w:after="160"/>
      </w:pPr>
      <w:r>
        <w:rPr>
          <w:rFonts w:ascii="Calibri" w:hAnsi="Calibri"/>
          <w:color w:val="1F497D"/>
          <w:sz w:val="30"/>
        </w:rPr>
        <w:t>5. Treino e Validação Experimental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5.1 Protocolo Experimental e Hiperparâmetros</w:t>
      </w:r>
    </w:p>
    <w:p>
      <w:r>
        <w:t>O treino foi realizado durante 5 épocas com otimizador Adam (taxa de aprendizagem inicial de 0.001) e tamanho de lote (batch size) de 32 imagens. Cada época processou 156 lotes sobre as 4.983 imagens de treino.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5.2 Mecanismos de Salvaguarda (Callbacks)</w:t>
      </w:r>
    </w:p>
    <w:p>
      <w:r>
        <w:t>Implementaram-se três mecanismos de controlo do Keras (Müller &amp; Guido, Cap. 2):</w:t>
        <w:br/>
        <w:t>1. ModelCheckpoint: Monitorizou a perda de validação (val_loss) e salvaguardou automaticamente o melhor modelo em models/baseline_best.keras (atingido na época 4);</w:t>
        <w:br/>
        <w:t>2. EarlyStopping: Configurado com paciência de 2 épocas para interromper o treino em caso de sobreajuste manifesto;</w:t>
        <w:br/>
        <w:t>3. ReduceLROnPlateau: Reduziu a taxa de aprendizagem para metade quando a descida do erro estagnou.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train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19"/>
        </w:rPr>
        <w:t xml:space="preserve">Figura: </w:t>
      </w:r>
      <w:r>
        <w:rPr>
          <w:i/>
          <w:sz w:val="19"/>
        </w:rPr>
        <w:t>Curvas de aprendizagem da perda (Loss) e da área sob a curva ROC (AUC) ao longo das épocas.</w:t>
      </w:r>
    </w:p>
    <w:p>
      <w:pPr>
        <w:pStyle w:val="Heading1"/>
        <w:spacing w:before="360" w:after="160"/>
      </w:pPr>
      <w:r>
        <w:rPr>
          <w:rFonts w:ascii="Calibri" w:hAnsi="Calibri"/>
          <w:color w:val="1F497D"/>
          <w:sz w:val="30"/>
        </w:rPr>
        <w:t>6. Avaliação e Análise Crítica dos Resultados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6.1 Desempenho no Conjunto de Teste Independente</w:t>
      </w:r>
    </w:p>
    <w:p>
      <w:r>
        <w:t>O melhor modelo foi submetido à avaliação final sobre as 1.068 imagens do conjunto de teste independente, totalizando 108.936 previsões binárias individuais (1.068 x 102). A Tabela 2 sintetiza os resultados obtidos para todas as métricas exigidas no enunciado do trabalho prático.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228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Métrica Exigida pelo Enunciado</w:t>
            </w:r>
          </w:p>
        </w:tc>
        <w:tc>
          <w:tcPr>
            <w:tcW w:type="dxa" w:w="228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Limiar Padrão (0.5)</w:t>
            </w:r>
          </w:p>
        </w:tc>
        <w:tc>
          <w:tcPr>
            <w:tcW w:type="dxa" w:w="228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Limiar Ajustado (0.2)</w:t>
            </w:r>
          </w:p>
        </w:tc>
        <w:tc>
          <w:tcPr>
            <w:tcW w:type="dxa" w:w="228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Interpretação no Contexto Multi-Label</w:t>
            </w:r>
          </w:p>
        </w:tc>
      </w:tr>
      <w:tr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Binary / Hamming Accuracy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96.52%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95.84%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Fração de decisões binárias acertadas (0s e 1s)</w:t>
            </w:r>
          </w:p>
        </w:tc>
      </w:tr>
      <w:tr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Subset Accuracy</w:t>
            </w:r>
          </w:p>
        </w:tc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Exige acerto simultâneo perfeito de todos os 102 rótulos</w:t>
            </w:r>
          </w:p>
        </w:tc>
      </w:tr>
      <w:tr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Sensibilidade (Recall Micro)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0.0000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0.0351 (3.5%)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Proporção de alimentos reais que a rede detetou</w:t>
            </w:r>
          </w:p>
        </w:tc>
      </w:tr>
      <w:tr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Especificidade (Micro)</w:t>
            </w:r>
          </w:p>
        </w:tc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1.0000 (100%)</w:t>
            </w:r>
          </w:p>
        </w:tc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0.9917 (99.2%)</w:t>
            </w:r>
          </w:p>
        </w:tc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Proporção de alimentos ausentes corretamente rejeitados</w:t>
            </w:r>
          </w:p>
        </w:tc>
      </w:tr>
      <w:tr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Precisão (Precision Micro)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0.0000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0.2163 (21.6%)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Fração de previsões afirmativas que estavam certas</w:t>
            </w:r>
          </w:p>
        </w:tc>
      </w:tr>
      <w:tr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F1-Score (F-measure Micro)</w:t>
            </w:r>
          </w:p>
        </w:tc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0.0000</w:t>
            </w:r>
          </w:p>
        </w:tc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0.0603 (6.0%)</w:t>
            </w:r>
          </w:p>
        </w:tc>
        <w:tc>
          <w:tcPr>
            <w:tcW w:type="dxa" w:w="2282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Média harmónica entre Precisão e Recall</w:t>
            </w:r>
          </w:p>
        </w:tc>
      </w:tr>
      <w:tr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AUC (Area Under ROC Micro)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0.8220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0.8220</w:t>
            </w:r>
          </w:p>
        </w:tc>
        <w:tc>
          <w:tcPr>
            <w:tcW w:type="dxa" w:w="228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Capacidade global de ordenação probabilística da rede</w:t>
            </w:r>
          </w:p>
        </w:tc>
      </w:tr>
    </w:tbl>
    <w:p>
      <w:pPr>
        <w:jc w:val="center"/>
      </w:pPr>
      <w:r>
        <w:rPr>
          <w:i/>
          <w:sz w:val="18"/>
        </w:rPr>
        <w:t>Tabela 2 — Resultados comparativos de desempenho no conjunto de teste independente (1.068 imagens).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6.2 Matriz de Confusão Agregada</w:t>
      </w:r>
    </w:p>
    <w:p>
      <w:r>
        <w:t>A agregação das 102 matrizes de confusão binárias no conjunto de teste para o limiar convencional de 0.5 revelou:</w:t>
        <w:br/>
        <w:t>• Verdadeiros Negativos (TN): 105.143 decisões corretas de ausência;</w:t>
        <w:br/>
        <w:t>• Falsos Positivos (FP): 0 falsos alarmes;</w:t>
        <w:br/>
        <w:t>• Falsos Negativos (FN): 3.793 ingredientes não detetados;</w:t>
        <w:br/>
        <w:t>• Verdadeiros Positivos (TP): 0 ingredientes confirmados.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10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19"/>
        </w:rPr>
        <w:t xml:space="preserve">Figura: </w:t>
      </w:r>
      <w:r>
        <w:rPr>
          <w:i/>
          <w:sz w:val="19"/>
        </w:rPr>
        <w:t>Matriz de Confusão Agregada calculada sobre as 108.936 previsões do conjunto de teste.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6.3 A Falácia da Acurácia em Dados Desbalanceados</w:t>
      </w:r>
    </w:p>
    <w:p>
      <w:r>
        <w:t>Os resultados obtidos ilustram de forma inequívoca o fenómeno que Müller &amp; Guido (2016, Cap. 5) designam por 'A Falácia da Acurácia' (The Accuracy Fallacy). A rede obteve uma acurácia aparente de 96.52% apesar de não ter detetado nenhum ingrediente ativo (TP = 0). Isso sucede porque 96.5% de todas as posições na matriz de teste são ZEROS (ingredientes ausentes). Um preditor estático que responda sempre 'não há comida' alcança uma taxa de acerto de 96.5% sem aprender rigorosamente nenhuma representação visual.</w:t>
      </w:r>
    </w:p>
    <w:p>
      <w:r>
        <w:t>A relevância desta constatação é capital para a defesa do projeto: justifica perfeitamente o motivo pelo qual o enunciado do trabalho proíbe o recurso exclusivo à acurácia e exige métricas robustas ao desbalanceamento (como o Recall, F1 e AUC). O facto de o ROC-AUC atingir 0.8220 comprova matematicamente que a rede atribui probabilidades sistematicamente superiores aos alimentos presentes face aos ausentes; no entanto, devido à raridade relativa das classes, essas probabilidades situam-se naturalmente entre 0.10 e 0.35, ficando abaixo do patamar convencional de 0.50.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6.4 Impacto da Variação do Limiar (Threshold)</w:t>
      </w:r>
    </w:p>
    <w:p>
      <w:r>
        <w:t>Ao recalibrar o limiar de decisão para 0.20 (Tabela 2), a Sensibilidade salta de 0.00% para 3.51%, com a Precisão a fixar-se em 21.63% e o F1-score a subir para 6.03%. Esta evidência empírica estabelece a otimização sistemática do limiar de decisão como o primeiro vetor prioritário de investigação na Meta II.</w:t>
      </w:r>
    </w:p>
    <w:p>
      <w:pPr>
        <w:pStyle w:val="Heading1"/>
        <w:spacing w:before="360" w:after="160"/>
      </w:pPr>
      <w:r>
        <w:rPr>
          <w:rFonts w:ascii="Calibri" w:hAnsi="Calibri"/>
          <w:color w:val="1F497D"/>
          <w:sz w:val="30"/>
        </w:rPr>
        <w:t>7. Conclusões da Meta I e Planeamento da Meta II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7.1 Balanço das Conquistas</w:t>
      </w:r>
    </w:p>
    <w:p>
      <w:r>
        <w:t>A Meta I foi concluída com sucesso pleno, cumprindo todos os requisitos estabelecidos:</w:t>
        <w:br/>
        <w:t>• Estruturação de um repositório modular, limpo e versionado em Git;</w:t>
        <w:br/>
        <w:t>• Inspeção aprofundada dos 7.118 registos do FoodSeg103 com factos empíricos documentados;</w:t>
        <w:br/>
        <w:t>• Desenho de um pipeline de engenharia de dados estritamente isolado contra data leakage;</w:t>
        <w:br/>
        <w:t>• Implementação e treino de uma CNN compacta de 122k parâmetros adaptada a classificação multi-label;</w:t>
        <w:br/>
        <w:t>• Avaliação rigorosa no teste independente, com discussão teórica detalhada sobre desbalanceamento e métricas.</w:t>
      </w:r>
    </w:p>
    <w:p>
      <w:pPr>
        <w:pStyle w:val="Heading2"/>
        <w:spacing w:before="240" w:after="80"/>
      </w:pPr>
      <w:r>
        <w:rPr>
          <w:rFonts w:ascii="Calibri" w:hAnsi="Calibri"/>
          <w:color w:val="1F497D"/>
          <w:sz w:val="25"/>
        </w:rPr>
        <w:t>7.2 Roteiro Estratégico para a Meta II</w:t>
      </w:r>
    </w:p>
    <w:p>
      <w:r>
        <w:t>Na Meta II ('Trabalho de investigação e otimização do modelo desenvolvido na fase anterior'), o projeto avançará através de três experiências controladas e fundamentadas:</w:t>
        <w:br/>
        <w:t>1. Otimização Global e por Classe do Limiar de Decisão: Varrer sistematicamente limiares no intervalo [0.05, 0.45] no conjunto de validação para maximizar o F1-score Micro e Macro;</w:t>
        <w:br/>
        <w:t>2. Aumento de Dados (Data Augmentation): Incorporar transformações geométricas realistas (espelhamento horizontal, rotações ligeiras de ±15° e ajustes de iluminação) no conjunto de treino para aumentar a capacidade de generalização;</w:t>
        <w:br/>
        <w:t>3. Transfer Learning com Redes Pré-treinadas: Investigar arquiteturas consagradas na literatura (como MobileNetV2 ou ResNet50 pré-treinadas no ImageNet), comparando formalmente os ganhos de sensibilidade e F1 face à Baseline atual.</w:t>
      </w:r>
    </w:p>
    <w:p>
      <w:pPr>
        <w:pStyle w:val="Heading1"/>
        <w:spacing w:before="360" w:after="160"/>
      </w:pPr>
      <w:r>
        <w:rPr>
          <w:rFonts w:ascii="Calibri" w:hAnsi="Calibri"/>
          <w:color w:val="1F497D"/>
          <w:sz w:val="30"/>
        </w:rPr>
        <w:t>8. Referências Bibliográficas</w:t>
      </w:r>
    </w:p>
    <w:p>
      <w:pPr>
        <w:spacing w:after="120"/>
        <w:ind w:left="720" w:hanging="720"/>
      </w:pPr>
      <w:r>
        <w:t>Müller, A. C., &amp; Guido, S. (2016). Introduction to Machine Learning with Python: A Guide for Data Scientists. O'Reilly Media.</w:t>
      </w:r>
    </w:p>
    <w:p>
      <w:pPr>
        <w:spacing w:after="120"/>
        <w:ind w:left="720" w:hanging="720"/>
      </w:pPr>
      <w:r>
        <w:t>Wu, X., Fu, X., Liu, Y., Lim, E. P., Hoi, S. C., &amp; Sun, Q. (2021). FoodSeg103: A Large-Scale Benchmark for Food Image Segmentation. In Proceedings of the 29th ACM International Conference on Multimedia (MM '21), pp. 506–515.</w:t>
      </w:r>
    </w:p>
    <w:p>
      <w:pPr>
        <w:spacing w:after="120"/>
        <w:ind w:left="720" w:hanging="720"/>
      </w:pPr>
      <w:r>
        <w:t>Hugging Face. (2024). FoodSeg103 Dataset Card. Repositório oficial disponível em: https://huggingface.co/datasets/json9473/FoodSeg103.</w:t>
      </w:r>
    </w:p>
    <w:p>
      <w:pPr>
        <w:spacing w:after="120"/>
        <w:ind w:left="720" w:hanging="720"/>
      </w:pPr>
      <w:r>
        <w:t>Chollet, F. (2021). Deep Learning with Python (2nd ed.). Manning Publications.</w:t>
      </w:r>
    </w:p>
    <w:p>
      <w:pPr>
        <w:spacing w:after="120"/>
        <w:ind w:left="720" w:hanging="720"/>
      </w:pPr>
      <w:r>
        <w:t>Goodfellow, I., Bengio, Y., &amp; Courville, A. (2016). Deep Learning. MIT Press.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411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7878"/>
        <w:sz w:val="18"/>
      </w:rPr>
      <w:t xml:space="preserve">Página </w:t>
    </w:r>
    <w:fldSimple w:instr="PAGE"/>
    <w:r>
      <w:rPr>
        <w:rFonts w:ascii="Calibri" w:hAnsi="Calibri"/>
        <w:color w:val="787878"/>
        <w:sz w:val="18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Inteligência Computacional — Relatório da Meta I | Classificação Multi-Label de Alimentos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