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DATOS PERSONALES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</w:r>
      <w:r w:rsidDel="00000000" w:rsidR="00000000" w:rsidRPr="00000000">
        <w:drawing>
          <wp:inline distB="114300" distT="114300" distL="114300" distR="114300">
            <wp:extent cx="982162" cy="932052"/>
            <wp:effectExtent b="0" l="0" r="0" t="0"/>
            <wp:docPr descr="IMG_7702.JPG" id="1" name="image01.jpg"/>
            <a:graphic>
              <a:graphicData uri="http://schemas.openxmlformats.org/drawingml/2006/picture">
                <pic:pic>
                  <pic:nvPicPr>
                    <pic:cNvPr descr="IMG_7702.JPG" id="0" name="image01.jpg"/>
                    <pic:cNvPicPr preferRelativeResize="0"/>
                  </pic:nvPicPr>
                  <pic:blipFill>
                    <a:blip r:embed="rId5"/>
                    <a:srcRect b="0" l="18689" r="3638" t="5944"/>
                    <a:stretch>
                      <a:fillRect/>
                    </a:stretch>
                  </pic:blipFill>
                  <pic:spPr>
                    <a:xfrm>
                      <a:off x="0" y="0"/>
                      <a:ext cx="982162" cy="932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Nombres y apellido: Micaela Alejandra Altamirano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Lugar y fecha de nacimiento: Rosario, 01/03/1996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DNI: 39.567.851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Nacionalidad: Argentina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Domicilio: Av. del Rosario 2161 – Funes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Teléfonos: (0341) 155793194 / (0341) 4937740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Correo electrónico: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mikaa.altamirano@gmail.com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EDUCACIÓN FORMAL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-Nivel Universitario: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Universidad Nacional de Rosario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Carrera: Lic. en Educación Musical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Año de ingreso: 2014 (cursando 3º año)</w:t>
      </w:r>
    </w:p>
    <w:p w:rsidR="00000000" w:rsidDel="00000000" w:rsidP="00000000" w:rsidRDefault="00000000" w:rsidRPr="00000000">
      <w:pPr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-Nivel Secundario: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Escuela de Enseñanza Secundaria Orientada nº 398 - Funes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Título: Orientación Humanidades y Cs. Sociales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Año de egreso: 2013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CURSOS REALIZADOS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CIT (Curso de Introducción al Trabajo)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CECLA – Funes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Duración: 2 meses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Egreso: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Programador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CECLA – Funes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Duración: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Ingreso: 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Secretariado Administrativo Contable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CECLA – Funes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Duración: 2 meses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Egreso: 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Administración y Liquidación de Sueldos e Impuestos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CECLA – Funes</w:t>
        <w:br w:type="textWrapping"/>
        <w:tab/>
        <w:t xml:space="preserve">Duración: 400 horas cátedras</w:t>
        <w:br w:type="textWrapping"/>
        <w:tab/>
        <w:t xml:space="preserve">Egreso: 2013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Mediación (Proyecto de mediación entre pares)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Centro de Mediación – Municipalidad de Funes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Duración: 18 horas reloj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Egreso: 2013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Diseño y Animación Web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CECLA – Funes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Duración: 120 horas cátedras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Egreso: 2013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Operador de Informática para la Administración y Gestión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CECLA – Funes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Duración: 450 horas cátedras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Egreso: 2013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OTROS CONOCIMIENTOS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Manejo de PC: Word, Excel, Power Point, Redes sociales.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Idiomas: </w:t>
        <w:tab/>
        <w:t xml:space="preserve">- inglés (nivel básico)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portugués (nivel básico)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italiano (nivel básico)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ANTECEDENTES LABORALES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Colegio de Profesionales de la Agrimensura de la Provincia de Santa Fe – Distrito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Junio 2016 – Actualidad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Secretaría de Presidencia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Atención al Cliente – Manejo de Agenda – Gestiones Legales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Frickx Agrimensura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Marzo 2014 – Mayo 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Secretaria Administrativa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Atención al cliente – Arqueo de caja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REFERENCIAS LABORALES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Colegio de Profesionales de la Agrimensura de la Prov. de Sta. Fe – Distrito Sur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6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José Micciche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6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(0341) 4387082 int. 104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80" w:before="0" w:line="240" w:lineRule="auto"/>
        <w:ind w:left="106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Frickx Agrimensura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6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Gabriel Omar Frickx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80" w:before="0" w:line="240" w:lineRule="auto"/>
        <w:ind w:left="106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(0341) 493</w:t>
      </w:r>
      <w:r w:rsidDel="00000000" w:rsidR="00000000" w:rsidRPr="00000000">
        <w:rPr>
          <w:rtl w:val="0"/>
        </w:rPr>
        <w:t xml:space="preserve">1416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1133.8582677165355" w:left="1700.7874015748032" w:right="1700.78740157480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065" w:firstLine="7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85" w:firstLine="1425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05" w:firstLine="2145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25" w:firstLine="2865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45" w:firstLine="3585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65" w:firstLine="4305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85" w:firstLine="5025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05" w:firstLine="5745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25" w:firstLine="6465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8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mailto:mikaa.altamirano@gmail.com" TargetMode="External"/><Relationship Id="rId7" Type="http://schemas.openxmlformats.org/officeDocument/2006/relationships/hyperlink" Target="mailto:mikaa.altamirano@gmail.com" TargetMode="External"/><Relationship Id="rId8" Type="http://schemas.openxmlformats.org/officeDocument/2006/relationships/hyperlink" Target="mailto:mikaa.altamirano@gmail.com" TargetMode="External"/></Relationships>
</file>