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Fractal Adam Reset Memo</w:t>
      </w:r>
    </w:p>
    <w:p>
      <w:pPr>
        <w:spacing w:after="160"/>
        <w:jc w:val="center"/>
      </w:pPr>
      <w:r>
        <w:rPr>
          <w:i/>
          <w:color w:val="5A5A5A"/>
          <w:sz w:val="18"/>
        </w:rPr>
        <w:t>Version 1 internal reset | 2026-03-09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20"/>
              </w:rPr>
              <w:t xml:space="preserve">Operational summary: </w:t>
            </w:r>
            <w:r>
              <w:rPr>
                <w:sz w:val="20"/>
              </w:rPr>
              <w:t>Fractal Adam is now treated as a bounded research program. Only registry-linked, falsifiable, reproducible claims advance in the empirical lane.</w:t>
            </w:r>
          </w:p>
        </w:tc>
      </w:tr>
    </w:tbl>
    <w:p>
      <w:pPr>
        <w:spacing w:before="120" w:after="40"/>
      </w:pPr>
      <w:r>
        <w:rPr>
          <w:b/>
          <w:color w:val="1F4E79"/>
          <w:sz w:val="25"/>
        </w:rPr>
        <w:t>Purpose</w:t>
      </w:r>
    </w:p>
    <w:p>
      <w:pPr>
        <w:spacing w:after="40"/>
      </w:pPr>
      <w:r>
        <w:rPr>
          <w:sz w:val="20"/>
        </w:rPr>
        <w:t>This memo resets the project from broad theory presentation to disciplined claim-by-claim empirical work.</w:t>
      </w:r>
    </w:p>
    <w:p>
      <w:pPr>
        <w:spacing w:after="40"/>
      </w:pPr>
      <w:r>
        <w:rPr>
          <w:sz w:val="20"/>
        </w:rPr>
        <w:t>The objective is not to defend Fractal Adam as a universal law. The objective is to determine, by bounded tests and transparent failure handling, which parts survive contact with data.</w:t>
      </w:r>
    </w:p>
    <w:p>
      <w:pPr>
        <w:spacing w:before="120" w:after="40"/>
      </w:pPr>
      <w:r>
        <w:rPr>
          <w:b/>
          <w:color w:val="1F4E79"/>
          <w:sz w:val="25"/>
        </w:rPr>
        <w:t>What is being reset</w:t>
      </w:r>
    </w:p>
    <w:p>
      <w:pPr>
        <w:pStyle w:val="ListBullet"/>
        <w:spacing w:after="0"/>
      </w:pPr>
      <w:r>
        <w:rPr>
          <w:sz w:val="20"/>
        </w:rPr>
        <w:t>Universal framing is no longer the operational center of the project.</w:t>
      </w:r>
    </w:p>
    <w:p>
      <w:pPr>
        <w:pStyle w:val="ListBullet"/>
        <w:spacing w:after="0"/>
      </w:pPr>
      <w:r>
        <w:rPr>
          <w:sz w:val="20"/>
        </w:rPr>
        <w:t>Symbolic, theological, and philosophical material is no longer treated as evidence for empirical claims.</w:t>
      </w:r>
    </w:p>
    <w:p>
      <w:pPr>
        <w:pStyle w:val="ListBullet"/>
        <w:spacing w:after="0"/>
      </w:pPr>
      <w:r>
        <w:rPr>
          <w:sz w:val="20"/>
        </w:rPr>
        <w:t>Cross-domain resemblance is no longer treated as confirmation.</w:t>
      </w:r>
    </w:p>
    <w:p>
      <w:pPr>
        <w:pStyle w:val="ListBullet"/>
        <w:spacing w:after="0"/>
      </w:pPr>
      <w:r>
        <w:rPr>
          <w:sz w:val="20"/>
        </w:rPr>
        <w:t>Rhetorical coherence is no longer treated as scientific progress.</w:t>
      </w:r>
    </w:p>
    <w:p>
      <w:pPr>
        <w:pStyle w:val="ListBullet"/>
        <w:spacing w:after="0"/>
      </w:pPr>
      <w:r>
        <w:rPr>
          <w:sz w:val="20"/>
        </w:rPr>
        <w:t>Notebook experiments are no longer treated as durable results unless they are tied to registered claims, fixed inputs, versioned code, and reproducible outputs.</w:t>
      </w:r>
    </w:p>
    <w:p>
      <w:pPr>
        <w:spacing w:before="120" w:after="40"/>
      </w:pPr>
      <w:r>
        <w:rPr>
          <w:b/>
          <w:color w:val="1F4E79"/>
          <w:sz w:val="25"/>
        </w:rPr>
        <w:t>What remains in scope</w:t>
      </w:r>
    </w:p>
    <w:p>
      <w:pPr>
        <w:pStyle w:val="ListBullet"/>
        <w:spacing w:after="0"/>
      </w:pPr>
      <w:r>
        <w:rPr>
          <w:sz w:val="20"/>
        </w:rPr>
        <w:t>Bounded claims that can be written clearly, linked to a registry ID, and exposed to possible failure.</w:t>
      </w:r>
    </w:p>
    <w:p>
      <w:pPr>
        <w:pStyle w:val="ListBullet"/>
        <w:spacing w:after="0"/>
      </w:pPr>
      <w:r>
        <w:rPr>
          <w:sz w:val="20"/>
        </w:rPr>
        <w:t>Reusable infrastructure for preregistration, dataset tracking, code versioning, and results logging.</w:t>
      </w:r>
    </w:p>
    <w:p>
      <w:pPr>
        <w:pStyle w:val="ListBullet"/>
        <w:spacing w:after="0"/>
      </w:pPr>
      <w:r>
        <w:rPr>
          <w:sz w:val="20"/>
        </w:rPr>
        <w:t>Exploratory work only when it is clearly labeled as exploratory and separated from confirmatory claims.</w:t>
      </w:r>
    </w:p>
    <w:p>
      <w:pPr>
        <w:pStyle w:val="ListBullet"/>
        <w:spacing w:after="0"/>
      </w:pPr>
      <w:r>
        <w:rPr>
          <w:sz w:val="20"/>
        </w:rPr>
        <w:t>Symbolic or philosophical work only when it is explicitly quarantined from empirical inference.</w:t>
      </w:r>
    </w:p>
    <w:p>
      <w:pPr>
        <w:spacing w:before="120" w:after="40"/>
      </w:pPr>
      <w:r>
        <w:rPr>
          <w:b/>
          <w:color w:val="1F4E79"/>
          <w:sz w:val="25"/>
        </w:rPr>
        <w:t>Operating rules going forward</w:t>
      </w:r>
    </w:p>
    <w:p>
      <w:pPr>
        <w:pStyle w:val="ListBullet"/>
        <w:spacing w:after="0"/>
      </w:pPr>
      <w:r>
        <w:rPr>
          <w:sz w:val="20"/>
        </w:rPr>
        <w:t>Every serious study starts from a claim ID in the master claim registry.</w:t>
      </w:r>
    </w:p>
    <w:p>
      <w:pPr>
        <w:pStyle w:val="ListBullet"/>
        <w:spacing w:after="0"/>
      </w:pPr>
      <w:r>
        <w:rPr>
          <w:sz w:val="20"/>
        </w:rPr>
        <w:t>Every claim must state what would count against it.</w:t>
      </w:r>
    </w:p>
    <w:p>
      <w:pPr>
        <w:pStyle w:val="ListBullet"/>
        <w:spacing w:after="0"/>
      </w:pPr>
      <w:r>
        <w:rPr>
          <w:sz w:val="20"/>
        </w:rPr>
        <w:t>Every dataset used in analysis must appear in a dataset manifest.</w:t>
      </w:r>
    </w:p>
    <w:p>
      <w:pPr>
        <w:pStyle w:val="ListBullet"/>
        <w:spacing w:after="0"/>
      </w:pPr>
      <w:r>
        <w:rPr>
          <w:sz w:val="20"/>
        </w:rPr>
        <w:t>Every preregistered study must point to a fixed dataset, a fixed analysis plan, and a fixed repo state.</w:t>
      </w:r>
    </w:p>
    <w:p>
      <w:pPr>
        <w:pStyle w:val="ListBullet"/>
        <w:spacing w:after="0"/>
      </w:pPr>
      <w:r>
        <w:rPr>
          <w:sz w:val="20"/>
        </w:rPr>
        <w:t>Raw data are immutable once acquired.</w:t>
      </w:r>
    </w:p>
    <w:p>
      <w:pPr>
        <w:pStyle w:val="ListBullet"/>
        <w:spacing w:after="0"/>
      </w:pPr>
      <w:r>
        <w:rPr>
          <w:sz w:val="20"/>
        </w:rPr>
        <w:t>Processed data must be script-generated.</w:t>
      </w:r>
    </w:p>
    <w:p>
      <w:pPr>
        <w:pStyle w:val="ListBullet"/>
        <w:spacing w:after="0"/>
      </w:pPr>
      <w:r>
        <w:rPr>
          <w:sz w:val="20"/>
        </w:rPr>
        <w:t>Important logic belongs in versioned scripts, not only in notebooks.</w:t>
      </w:r>
    </w:p>
    <w:p>
      <w:pPr>
        <w:pStyle w:val="ListBullet"/>
        <w:spacing w:after="0"/>
      </w:pPr>
      <w:r>
        <w:rPr>
          <w:sz w:val="20"/>
        </w:rPr>
        <w:t>Each results folder must record inputs, parameters, outputs, and commit hash.</w:t>
      </w:r>
    </w:p>
    <w:p>
      <w:pPr>
        <w:pStyle w:val="ListBullet"/>
        <w:spacing w:after="0"/>
      </w:pPr>
      <w:r>
        <w:rPr>
          <w:sz w:val="20"/>
        </w:rPr>
        <w:t>Negative results are retained. Failed claims move to the graveyard instead of being silently reworded.</w:t>
      </w:r>
    </w:p>
    <w:p>
      <w:pPr>
        <w:spacing w:before="120" w:after="40"/>
      </w:pPr>
      <w:r>
        <w:rPr>
          <w:b/>
          <w:color w:val="1F4E79"/>
          <w:sz w:val="25"/>
        </w:rPr>
        <w:t>Default study ladder</w:t>
      </w:r>
    </w:p>
    <w:p>
      <w:pPr>
        <w:pStyle w:val="ListBullet"/>
        <w:spacing w:after="0"/>
      </w:pPr>
      <w:r>
        <w:rPr>
          <w:sz w:val="20"/>
        </w:rPr>
        <w:t>Claim registry entry</w:t>
      </w:r>
    </w:p>
    <w:p>
      <w:pPr>
        <w:pStyle w:val="ListBullet"/>
        <w:spacing w:after="0"/>
      </w:pPr>
      <w:r>
        <w:rPr>
          <w:sz w:val="20"/>
        </w:rPr>
        <w:t>Dataset manifest entry</w:t>
      </w:r>
    </w:p>
    <w:p>
      <w:pPr>
        <w:pStyle w:val="ListBullet"/>
        <w:spacing w:after="0"/>
      </w:pPr>
      <w:r>
        <w:rPr>
          <w:sz w:val="20"/>
        </w:rPr>
        <w:t>Study-specific prereg copied from the reusable template</w:t>
      </w:r>
    </w:p>
    <w:p>
      <w:pPr>
        <w:pStyle w:val="ListBullet"/>
        <w:spacing w:after="0"/>
      </w:pPr>
      <w:r>
        <w:rPr>
          <w:sz w:val="20"/>
        </w:rPr>
        <w:t>Scripted analysis in the repo scaffold</w:t>
      </w:r>
    </w:p>
    <w:p>
      <w:pPr>
        <w:pStyle w:val="ListBullet"/>
        <w:spacing w:after="0"/>
      </w:pPr>
      <w:r>
        <w:rPr>
          <w:sz w:val="20"/>
        </w:rPr>
        <w:t>Results log tied back to claim ID</w:t>
      </w:r>
    </w:p>
    <w:p>
      <w:pPr>
        <w:pStyle w:val="ListBullet"/>
        <w:spacing w:after="0"/>
      </w:pPr>
      <w:r>
        <w:rPr>
          <w:sz w:val="20"/>
        </w:rPr>
        <w:t>Decision: supported, mixed, inconclusive, or falsified</w:t>
      </w:r>
    </w:p>
    <w:p>
      <w:pPr>
        <w:spacing w:before="120" w:after="40"/>
      </w:pPr>
      <w:r>
        <w:rPr>
          <w:b/>
          <w:color w:val="1F4E79"/>
          <w:sz w:val="25"/>
        </w:rPr>
        <w:t>Non-goals for Version 1</w:t>
      </w:r>
    </w:p>
    <w:p>
      <w:pPr>
        <w:pStyle w:val="ListBullet"/>
        <w:spacing w:after="0"/>
      </w:pPr>
      <w:r>
        <w:rPr>
          <w:sz w:val="20"/>
        </w:rPr>
        <w:t>No attempt to prove a grand unified theory.</w:t>
      </w:r>
    </w:p>
    <w:p>
      <w:pPr>
        <w:pStyle w:val="ListBullet"/>
        <w:spacing w:after="0"/>
      </w:pPr>
      <w:r>
        <w:rPr>
          <w:sz w:val="20"/>
        </w:rPr>
        <w:t>No claim that one pattern governs all domains.</w:t>
      </w:r>
    </w:p>
    <w:p>
      <w:pPr>
        <w:pStyle w:val="ListBullet"/>
        <w:spacing w:after="0"/>
      </w:pPr>
      <w:r>
        <w:rPr>
          <w:sz w:val="20"/>
        </w:rPr>
        <w:t>No use of aesthetic resonance, sacred imagery, or interpretive depth as empirical support.</w:t>
      </w:r>
    </w:p>
    <w:p>
      <w:pPr>
        <w:pStyle w:val="ListBullet"/>
        <w:spacing w:after="0"/>
      </w:pPr>
      <w:r>
        <w:rPr>
          <w:sz w:val="20"/>
        </w:rPr>
        <w:t>No expansion of scope during analysis to preserve a preferred conclusion.</w:t>
      </w:r>
    </w:p>
    <w:p>
      <w:pPr>
        <w:spacing w:before="120" w:after="40"/>
      </w:pPr>
      <w:r>
        <w:rPr>
          <w:b/>
          <w:color w:val="1F4E79"/>
          <w:sz w:val="25"/>
        </w:rPr>
        <w:t>Immediate repository anchors</w:t>
      </w:r>
    </w:p>
    <w:p>
      <w:pPr>
        <w:pStyle w:val="ListBullet"/>
        <w:spacing w:after="0"/>
      </w:pPr>
      <w:r>
        <w:rPr>
          <w:sz w:val="20"/>
        </w:rPr>
        <w:t>`registry/claims/` holds the master claim registry.</w:t>
      </w:r>
    </w:p>
    <w:p>
      <w:pPr>
        <w:pStyle w:val="ListBullet"/>
        <w:spacing w:after="0"/>
      </w:pPr>
      <w:r>
        <w:rPr>
          <w:sz w:val="20"/>
        </w:rPr>
        <w:t>`registry/prereg/` holds the reusable template and study-specific preregistrations.</w:t>
      </w:r>
    </w:p>
    <w:p>
      <w:pPr>
        <w:pStyle w:val="ListBullet"/>
        <w:spacing w:after="0"/>
      </w:pPr>
      <w:r>
        <w:rPr>
          <w:sz w:val="20"/>
        </w:rPr>
        <w:t>`data/manifests/` holds dataset manifests.</w:t>
      </w:r>
    </w:p>
    <w:p>
      <w:pPr>
        <w:pStyle w:val="ListBullet"/>
        <w:spacing w:after="0"/>
      </w:pPr>
      <w:r>
        <w:rPr>
          <w:sz w:val="20"/>
        </w:rPr>
        <w:t>`src/`, `scripts/`, `notebooks/`, `results/`, and `tests/` hold the executable research workflow.</w:t>
      </w:r>
    </w:p>
    <w:p>
      <w:pPr>
        <w:spacing w:before="120" w:after="40"/>
      </w:pPr>
      <w:r>
        <w:rPr>
          <w:b/>
          <w:color w:val="1F4E79"/>
          <w:sz w:val="25"/>
        </w:rPr>
        <w:t>Decision standard</w:t>
      </w:r>
    </w:p>
    <w:p>
      <w:pPr>
        <w:pStyle w:val="ListBullet"/>
        <w:spacing w:after="0"/>
      </w:pPr>
      <w:r>
        <w:rPr>
          <w:sz w:val="20"/>
        </w:rPr>
        <w:t>A claim advances only when the evidence path is transparent, reproducible, and domain-bounded.</w:t>
      </w:r>
    </w:p>
    <w:p>
      <w:pPr>
        <w:pStyle w:val="ListBullet"/>
        <w:spacing w:after="0"/>
      </w:pPr>
      <w:r>
        <w:rPr>
          <w:sz w:val="20"/>
        </w:rPr>
        <w:t>If a claim cannot be operationalized, it does not enter the empirical lane.</w:t>
      </w:r>
    </w:p>
    <w:p>
      <w:pPr>
        <w:pStyle w:val="ListBullet"/>
        <w:spacing w:after="0"/>
      </w:pPr>
      <w:r>
        <w:rPr>
          <w:sz w:val="20"/>
        </w:rPr>
        <w:t>If a result depends on reinterpretation after failure, the claim is not yet ready.</w:t>
      </w:r>
    </w:p>
    <w:p>
      <w:pPr>
        <w:spacing w:before="120" w:after="40"/>
      </w:pPr>
      <w:r>
        <w:rPr>
          <w:b/>
          <w:color w:val="1F4E79"/>
          <w:sz w:val="25"/>
        </w:rPr>
        <w:t>Bottom line</w:t>
      </w:r>
    </w:p>
    <w:p>
      <w:pPr>
        <w:spacing w:after="40"/>
      </w:pPr>
      <w:r>
        <w:rPr>
          <w:sz w:val="20"/>
        </w:rPr>
        <w:t>The reset is from worldview defense to research discipline.</w:t>
      </w:r>
    </w:p>
    <w:p>
      <w:pPr>
        <w:spacing w:after="40"/>
      </w:pPr>
      <w:r>
        <w:rPr>
          <w:sz w:val="20"/>
        </w:rPr>
        <w:t>The project earns credibility only by surviving loss, constraint, and external inspection.</w:t>
      </w:r>
    </w:p>
    <w:p>
      <w:pPr>
        <w:spacing w:before="120" w:after="40"/>
      </w:pPr>
      <w:r>
        <w:rPr>
          <w:b/>
          <w:color w:val="1F4E79"/>
          <w:sz w:val="25"/>
        </w:rPr>
        <w:t>Version 1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Reject</w:t>
            </w:r>
          </w:p>
        </w:tc>
        <w:tc>
          <w:tcPr>
            <w:tcW w:type="dxa" w:w="4968"/>
            <w:shd w:fill="D9EAF7"/>
            <w:tcMar>
              <w:top w:w="40" w:type="dxa"/>
              <w:start w:w="60" w:type="dxa"/>
              <w:bottom w:w="40" w:type="dxa"/>
              <w:end w:w="6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</w:rPr>
              <w:t>Require</w:t>
            </w:r>
          </w:p>
        </w:tc>
      </w:tr>
      <w:tr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Universal claims without bounded tests</w:t>
            </w:r>
          </w:p>
        </w:tc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Claim ID, scope, falsifier</w:t>
            </w:r>
          </w:p>
        </w:tc>
      </w:tr>
      <w:tr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Post hoc reinterpretation after failure</w:t>
            </w:r>
          </w:p>
        </w:tc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Predeclared decision rule</w:t>
            </w:r>
          </w:p>
        </w:tc>
      </w:tr>
      <w:tr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Untracked datasets</w:t>
            </w:r>
          </w:p>
        </w:tc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Manifested dataset provenance</w:t>
            </w:r>
          </w:p>
        </w:tc>
      </w:tr>
      <w:tr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Notebook-only logic</w:t>
            </w:r>
          </w:p>
        </w:tc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Versioned scripts and recorded outputs</w:t>
            </w:r>
          </w:p>
        </w:tc>
      </w:tr>
      <w:tr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Silent abandonment of bad results</w:t>
            </w:r>
          </w:p>
        </w:tc>
        <w:tc>
          <w:tcPr>
            <w:tcW w:type="dxa" w:w="4968"/>
            <w:tcMar>
              <w:top w:w="35" w:type="dxa"/>
              <w:start w:w="55" w:type="dxa"/>
              <w:bottom w:w="35" w:type="dxa"/>
              <w:end w:w="5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Graveyard entry or explicit status update</w:t>
            </w:r>
          </w:p>
        </w:tc>
      </w:tr>
    </w:tbl>
    <w:sectPr w:rsidR="00FC693F" w:rsidRPr="0006063C" w:rsidSect="00034616">
      <w:pgSz w:w="12240" w:h="15840"/>
      <w:pgMar w:top="936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