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398E6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Visual Analysis and Decision Support Metrics: A Banking Perspective</w:t>
      </w:r>
    </w:p>
    <w:p w14:paraId="0183CD2B">
      <w:pPr>
        <w:rPr>
          <w:rFonts w:hint="default"/>
          <w:sz w:val="24"/>
          <w:szCs w:val="24"/>
        </w:rPr>
      </w:pPr>
    </w:p>
    <w:p w14:paraId="60063522">
      <w:pPr>
        <w:rPr>
          <w:rFonts w:hint="default"/>
          <w:sz w:val="24"/>
          <w:szCs w:val="24"/>
        </w:rPr>
      </w:pPr>
    </w:p>
    <w:p w14:paraId="755E9F3D">
      <w:pPr>
        <w:rPr>
          <w:rFonts w:hint="default"/>
          <w:b/>
          <w:bCs/>
          <w:color w:val="2E75B6" w:themeColor="accent1" w:themeShade="BF"/>
          <w:sz w:val="28"/>
          <w:szCs w:val="28"/>
        </w:rPr>
      </w:pPr>
      <w:r>
        <w:rPr>
          <w:rFonts w:hint="default"/>
          <w:b/>
          <w:bCs/>
          <w:color w:val="2E75B6" w:themeColor="accent1" w:themeShade="BF"/>
          <w:sz w:val="28"/>
          <w:szCs w:val="28"/>
        </w:rPr>
        <w:t xml:space="preserve"> 1. Establishing the Baseline (EPIC: Problem)</w:t>
      </w:r>
    </w:p>
    <w:p w14:paraId="46F5E583">
      <w:pPr>
        <w:rPr>
          <w:rFonts w:hint="default"/>
          <w:sz w:val="24"/>
          <w:szCs w:val="24"/>
        </w:rPr>
      </w:pPr>
    </w:p>
    <w:p w14:paraId="1BBFD03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1. Subscription vs. Non-subscription (Campaign Conversion Rate</w:t>
      </w:r>
      <w:r>
        <w:rPr>
          <w:rFonts w:hint="default"/>
          <w:sz w:val="24"/>
          <w:szCs w:val="24"/>
        </w:rPr>
        <w:t>)</w:t>
      </w:r>
    </w:p>
    <w:p w14:paraId="6A52E628">
      <w:pPr>
        <w:rPr>
          <w:rFonts w:hint="default"/>
          <w:sz w:val="24"/>
          <w:szCs w:val="24"/>
        </w:rPr>
      </w:pPr>
    </w:p>
    <w:p w14:paraId="65EC3FEC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</w:t>
      </w:r>
      <w:r>
        <w:rPr>
          <w:rFonts w:hint="default"/>
          <w:sz w:val="24"/>
          <w:szCs w:val="24"/>
        </w:rPr>
        <w:t>: To establish the baseline conversion rate (the percentage of "yes" responses) and confirm the level of data imbalance.</w:t>
      </w:r>
    </w:p>
    <w:p w14:paraId="2D23378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</w:t>
      </w:r>
      <w:r>
        <w:rPr>
          <w:rFonts w:hint="default"/>
          <w:sz w:val="24"/>
          <w:szCs w:val="24"/>
        </w:rPr>
        <w:t>: Reveals the overall scale of the challenge. If the "yes" ratio is extremely low (e.g., $10\%$), it signals a high operational cost per acquisition and validates the need for a data-driven solution.</w:t>
      </w:r>
    </w:p>
    <w:p w14:paraId="4F81A270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DSS Application: </w:t>
      </w:r>
      <w:r>
        <w:rPr>
          <w:rFonts w:hint="default"/>
          <w:sz w:val="24"/>
          <w:szCs w:val="24"/>
        </w:rPr>
        <w:t>Serves as the reference point (Campaign Conversion Rate)—any segmentation or machine learning model must demonstrate improvement upon this metric.</w:t>
      </w:r>
    </w:p>
    <w:p w14:paraId="3861210A">
      <w:pPr>
        <w:rPr>
          <w:rFonts w:hint="default"/>
          <w:sz w:val="24"/>
          <w:szCs w:val="24"/>
        </w:rPr>
      </w:pPr>
    </w:p>
    <w:p w14:paraId="7DF66B96">
      <w:pPr>
        <w:rPr>
          <w:rFonts w:hint="default"/>
          <w:sz w:val="24"/>
          <w:szCs w:val="24"/>
          <w:lang w:val="en-US"/>
        </w:rPr>
      </w:pPr>
    </w:p>
    <w:p w14:paraId="7D3BC99F">
      <w:pPr>
        <w:rPr>
          <w:rFonts w:hint="default"/>
          <w:sz w:val="24"/>
          <w:szCs w:val="24"/>
        </w:rPr>
      </w:pPr>
    </w:p>
    <w:p w14:paraId="19DFFAB9">
      <w:pPr>
        <w:rPr>
          <w:rFonts w:hint="default"/>
          <w:b/>
          <w:bCs/>
          <w:color w:val="2E75B6" w:themeColor="accent1" w:themeShade="BF"/>
          <w:sz w:val="28"/>
          <w:szCs w:val="28"/>
        </w:rPr>
      </w:pPr>
      <w:r>
        <w:rPr>
          <w:rFonts w:hint="default"/>
          <w:b/>
          <w:bCs/>
          <w:color w:val="2E75B6" w:themeColor="accent1" w:themeShade="BF"/>
          <w:sz w:val="28"/>
          <w:szCs w:val="28"/>
        </w:rPr>
        <w:t xml:space="preserve"> 2. Customer Segmentation and Profiling (EPIC: Insight)</w:t>
      </w:r>
    </w:p>
    <w:p w14:paraId="0C1B4E7D">
      <w:pPr>
        <w:rPr>
          <w:rFonts w:hint="default"/>
          <w:sz w:val="24"/>
          <w:szCs w:val="24"/>
        </w:rPr>
      </w:pPr>
    </w:p>
    <w:p w14:paraId="5F75EEF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2. Balance Distribution (Average Customer Balance)</w:t>
      </w:r>
    </w:p>
    <w:p w14:paraId="24971F15">
      <w:pPr>
        <w:rPr>
          <w:rFonts w:hint="default"/>
          <w:sz w:val="24"/>
          <w:szCs w:val="24"/>
        </w:rPr>
      </w:pPr>
    </w:p>
    <w:p w14:paraId="0CDBEDBD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</w:t>
      </w:r>
      <w:r>
        <w:rPr>
          <w:rFonts w:hint="default"/>
          <w:sz w:val="24"/>
          <w:szCs w:val="24"/>
        </w:rPr>
        <w:t xml:space="preserve"> To show how client account balances are spread across the customer base and identify potential wealth segments.</w:t>
      </w:r>
    </w:p>
    <w:p w14:paraId="39846188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Insight:</w:t>
      </w:r>
      <w:r>
        <w:rPr>
          <w:rFonts w:hint="default"/>
          <w:sz w:val="24"/>
          <w:szCs w:val="24"/>
        </w:rPr>
        <w:t xml:space="preserve"> Identifies the financial health of the customer base. A long tail of high balances signals a segment of high-value clients who should be prioritized for long-term investment products.</w:t>
      </w:r>
    </w:p>
    <w:p w14:paraId="61E0AEAD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DSS Application:</w:t>
      </w:r>
      <w:r>
        <w:rPr>
          <w:rFonts w:hint="default"/>
          <w:sz w:val="24"/>
          <w:szCs w:val="24"/>
        </w:rPr>
        <w:t xml:space="preserve"> Supports Customer Value Segmentation. High-balance clients are prioritized in the lead scoring system to maximize return on investment (ROI).</w:t>
      </w:r>
    </w:p>
    <w:p w14:paraId="4241EE1A">
      <w:pPr>
        <w:rPr>
          <w:rFonts w:hint="default"/>
          <w:b/>
          <w:bCs/>
          <w:sz w:val="24"/>
          <w:szCs w:val="24"/>
        </w:rPr>
      </w:pPr>
    </w:p>
    <w:p w14:paraId="5261D5A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3. Subscription Rate by Education</w:t>
      </w:r>
    </w:p>
    <w:p w14:paraId="0045C6AE">
      <w:pPr>
        <w:rPr>
          <w:rFonts w:hint="default"/>
          <w:sz w:val="24"/>
          <w:szCs w:val="24"/>
        </w:rPr>
      </w:pPr>
    </w:p>
    <w:p w14:paraId="60923C12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</w:t>
      </w:r>
      <w:r>
        <w:rPr>
          <w:rFonts w:hint="default"/>
          <w:sz w:val="24"/>
          <w:szCs w:val="24"/>
        </w:rPr>
        <w:t xml:space="preserve"> To determine which education levels correlate with the highest ratio of "yes" subscriptions.</w:t>
      </w:r>
    </w:p>
    <w:p w14:paraId="322C2B2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Insight:</w:t>
      </w:r>
      <w:r>
        <w:rPr>
          <w:rFonts w:hint="default"/>
          <w:sz w:val="24"/>
          <w:szCs w:val="24"/>
        </w:rPr>
        <w:t xml:space="preserve"> Education level is a strong predictor of financial literacy and investment awareness. This metric highlights groups (e.g., tertiary) that are naturally more receptive to complex investment products.</w:t>
      </w:r>
    </w:p>
    <w:p w14:paraId="592412F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DSS Application:</w:t>
      </w:r>
      <w:r>
        <w:rPr>
          <w:rFonts w:hint="default"/>
          <w:sz w:val="24"/>
          <w:szCs w:val="24"/>
        </w:rPr>
        <w:t xml:space="preserve"> Enables Segment-Based Conversion Rates. Marketing can tailor complex messaging to high-converting education groups and simplify approaches for lower-performing groups, thereby reducing wasted effort.</w:t>
      </w:r>
    </w:p>
    <w:p w14:paraId="24103E14">
      <w:pPr>
        <w:rPr>
          <w:rFonts w:hint="default"/>
          <w:sz w:val="24"/>
          <w:szCs w:val="24"/>
        </w:rPr>
      </w:pPr>
    </w:p>
    <w:p w14:paraId="1819E49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4. Subscription Rate by Job Type (Occupation-Based Response Trends)</w:t>
      </w:r>
    </w:p>
    <w:p w14:paraId="32C3F2F5">
      <w:pPr>
        <w:rPr>
          <w:rFonts w:hint="default"/>
          <w:sz w:val="24"/>
          <w:szCs w:val="24"/>
        </w:rPr>
      </w:pPr>
    </w:p>
    <w:p w14:paraId="00BEA658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 </w:t>
      </w:r>
      <w:r>
        <w:rPr>
          <w:rFonts w:hint="default"/>
          <w:sz w:val="24"/>
          <w:szCs w:val="24"/>
        </w:rPr>
        <w:t xml:space="preserve">To show conversion rates across different professions (e.g., management, </w:t>
      </w:r>
      <w:bookmarkStart w:id="0" w:name="_GoBack"/>
      <w:r>
        <w:rPr>
          <w:rFonts w:hint="default"/>
          <w:sz w:val="24"/>
          <w:szCs w:val="24"/>
        </w:rPr>
        <w:t>blue-collar, retired).</w:t>
      </w:r>
    </w:p>
    <w:bookmarkEnd w:id="0"/>
    <w:p w14:paraId="3942BBC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Insight:</w:t>
      </w:r>
      <w:r>
        <w:rPr>
          <w:rFonts w:hint="default"/>
          <w:sz w:val="24"/>
          <w:szCs w:val="24"/>
        </w:rPr>
        <w:t xml:space="preserve"> Certain occupations (like retired or student) often align with higher disposable time or a specific need for security, making them high-potential segments.</w:t>
      </w:r>
    </w:p>
    <w:p w14:paraId="146C459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DSS Application: </w:t>
      </w:r>
      <w:r>
        <w:rPr>
          <w:rFonts w:hint="default"/>
          <w:sz w:val="24"/>
          <w:szCs w:val="24"/>
        </w:rPr>
        <w:t>Provides a critical input for job-based prioritization. The system can automatically score leads higher if they belong to jobs with historically high success rates, directly reducing wasted call time.</w:t>
      </w:r>
    </w:p>
    <w:p w14:paraId="4A7D9C9E">
      <w:pPr>
        <w:rPr>
          <w:rFonts w:hint="default"/>
          <w:sz w:val="24"/>
          <w:szCs w:val="24"/>
        </w:rPr>
      </w:pPr>
    </w:p>
    <w:p w14:paraId="0B53D5D7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5. Subscription Rate by Age Group (Subscription Growth Patterns)</w:t>
      </w:r>
    </w:p>
    <w:p w14:paraId="1F71A61C">
      <w:pPr>
        <w:rPr>
          <w:rFonts w:hint="default"/>
          <w:sz w:val="24"/>
          <w:szCs w:val="24"/>
        </w:rPr>
      </w:pPr>
    </w:p>
    <w:p w14:paraId="612CA3F2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</w:t>
      </w:r>
      <w:r>
        <w:rPr>
          <w:rFonts w:hint="default"/>
          <w:sz w:val="24"/>
          <w:szCs w:val="24"/>
        </w:rPr>
        <w:t xml:space="preserve"> To show the response distribution across different age categories.</w:t>
      </w:r>
    </w:p>
    <w:p w14:paraId="327FC17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 xml:space="preserve">Key Insight: </w:t>
      </w:r>
      <w:r>
        <w:rPr>
          <w:rFonts w:hint="default"/>
          <w:sz w:val="24"/>
          <w:szCs w:val="24"/>
        </w:rPr>
        <w:t>Different age groups have different investment goals (e.g., retirement planning for older clients). The chart helps identify which age groups are most receptive to the Term Deposit product.</w:t>
      </w:r>
    </w:p>
    <w:p w14:paraId="0A3E0385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DSS Application:</w:t>
      </w:r>
      <w:r>
        <w:rPr>
          <w:rFonts w:hint="default"/>
          <w:sz w:val="24"/>
          <w:szCs w:val="24"/>
        </w:rPr>
        <w:t xml:space="preserve"> Allows for tailored messaging and confirms the best target demographic for the product, supporting Subscription Growth Patterns.</w:t>
      </w:r>
    </w:p>
    <w:p w14:paraId="0C1B4AD5">
      <w:pPr>
        <w:rPr>
          <w:rFonts w:hint="default"/>
          <w:sz w:val="24"/>
          <w:szCs w:val="24"/>
        </w:rPr>
      </w:pPr>
    </w:p>
    <w:p w14:paraId="2A094F0E">
      <w:pPr>
        <w:rPr>
          <w:rFonts w:hint="default"/>
          <w:sz w:val="24"/>
          <w:szCs w:val="24"/>
          <w:lang w:val="en-US"/>
        </w:rPr>
      </w:pPr>
    </w:p>
    <w:p w14:paraId="35A97B9D">
      <w:pPr>
        <w:rPr>
          <w:rFonts w:hint="default"/>
          <w:sz w:val="24"/>
          <w:szCs w:val="24"/>
        </w:rPr>
      </w:pPr>
    </w:p>
    <w:p w14:paraId="4ECE5E7C">
      <w:pPr>
        <w:rPr>
          <w:rFonts w:hint="default"/>
          <w:b/>
          <w:bCs/>
          <w:color w:val="2E75B6" w:themeColor="accent1" w:themeShade="BF"/>
          <w:sz w:val="28"/>
          <w:szCs w:val="28"/>
        </w:rPr>
      </w:pPr>
      <w:r>
        <w:rPr>
          <w:rFonts w:hint="default"/>
          <w:color w:val="2E75B6" w:themeColor="accent1" w:themeShade="BF"/>
          <w:sz w:val="24"/>
          <w:szCs w:val="24"/>
        </w:rPr>
        <w:t xml:space="preserve"> </w:t>
      </w:r>
      <w:r>
        <w:rPr>
          <w:rFonts w:hint="default"/>
          <w:b/>
          <w:bCs/>
          <w:color w:val="2E75B6" w:themeColor="accent1" w:themeShade="BF"/>
          <w:sz w:val="28"/>
          <w:szCs w:val="28"/>
        </w:rPr>
        <w:t>3. Operational Efficiency and Predictive Modeling (EPIC: Change)</w:t>
      </w:r>
    </w:p>
    <w:p w14:paraId="030FFB89">
      <w:pPr>
        <w:rPr>
          <w:rFonts w:hint="default"/>
          <w:sz w:val="24"/>
          <w:szCs w:val="24"/>
        </w:rPr>
      </w:pPr>
    </w:p>
    <w:p w14:paraId="111EDB5F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6. Call Duration vs. Subscription (Average Campaign Call Duration)</w:t>
      </w:r>
    </w:p>
    <w:p w14:paraId="08B32170">
      <w:pPr>
        <w:rPr>
          <w:rFonts w:hint="default"/>
          <w:sz w:val="24"/>
          <w:szCs w:val="24"/>
        </w:rPr>
      </w:pPr>
    </w:p>
    <w:p w14:paraId="44697912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 </w:t>
      </w:r>
      <w:r>
        <w:rPr>
          <w:rFonts w:hint="default"/>
          <w:sz w:val="24"/>
          <w:szCs w:val="24"/>
        </w:rPr>
        <w:t>To analyze the relationship between the campaign feature call length and subscription outcome.</w:t>
      </w:r>
    </w:p>
    <w:p w14:paraId="70FDDCCC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Insight:</w:t>
      </w:r>
      <w:r>
        <w:rPr>
          <w:rFonts w:hint="default"/>
          <w:sz w:val="24"/>
          <w:szCs w:val="24"/>
        </w:rPr>
        <w:t xml:space="preserve"> Call duration is typically one of the strongest indicators of success. Longer calls usually signal high customer engagement and interest. The chart identifies the optimal duration window for a successful call.</w:t>
      </w:r>
    </w:p>
    <w:p w14:paraId="5113574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DSS Application:</w:t>
      </w:r>
      <w:r>
        <w:rPr>
          <w:rFonts w:hint="default"/>
          <w:sz w:val="24"/>
          <w:szCs w:val="24"/>
        </w:rPr>
        <w:t xml:space="preserve"> Provides a direct measure for operational optimization. It guides agents on when to push for conversion (long, engaged call) versus when to terminate early, helping to reduce cost per conversion.</w:t>
      </w:r>
    </w:p>
    <w:p w14:paraId="04C03A42">
      <w:pPr>
        <w:rPr>
          <w:rFonts w:hint="default"/>
          <w:sz w:val="24"/>
          <w:szCs w:val="24"/>
        </w:rPr>
      </w:pPr>
    </w:p>
    <w:p w14:paraId="0D24105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7. Correlation Heatmap (Predictive Drivers of Subscription)</w:t>
      </w:r>
    </w:p>
    <w:p w14:paraId="1451891D">
      <w:pPr>
        <w:rPr>
          <w:rFonts w:hint="default"/>
          <w:sz w:val="24"/>
          <w:szCs w:val="24"/>
        </w:rPr>
      </w:pPr>
    </w:p>
    <w:p w14:paraId="6659D6A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Objective:</w:t>
      </w:r>
      <w:r>
        <w:rPr>
          <w:rFonts w:hint="default"/>
          <w:sz w:val="24"/>
          <w:szCs w:val="24"/>
        </w:rPr>
        <w:t xml:space="preserve"> To visualize the statistical strength of relationships between all numeric features (e.g., age, balance, duration) and the target variable (subscription).</w:t>
      </w:r>
    </w:p>
    <w:p w14:paraId="54552BF6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Key Insight:</w:t>
      </w:r>
      <w:r>
        <w:rPr>
          <w:rFonts w:hint="default"/>
          <w:sz w:val="24"/>
          <w:szCs w:val="24"/>
        </w:rPr>
        <w:t xml:space="preserve"> Clearly reveals which variables are the strongest statistical predictors (e.g., call duration, previous campaign success, or balance). This is the basis for feature selection in the DSS model.</w:t>
      </w:r>
    </w:p>
    <w:p w14:paraId="3F8112C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DSS Application:</w:t>
      </w:r>
      <w:r>
        <w:rPr>
          <w:rFonts w:hint="default"/>
          <w:sz w:val="24"/>
          <w:szCs w:val="24"/>
        </w:rPr>
        <w:t xml:space="preserve"> Serves as the blueprint for the Predictive Drivers of Subscription.</w:t>
      </w:r>
    </w:p>
    <w:p w14:paraId="16EF42F0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 It directs the data science team to focus the lead scoring model on the most impactful features, ensuring the Decision Support System is both accurate and efficient.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8098D"/>
    <w:rsid w:val="4208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2025-11-23T12:55:00Z</dcterms:created>
  <dc:creator>User</dc:creator>
  <cp:lastModifiedBy>User</cp:lastModifiedBy>
  <dcterms:modified xsi:type="dcterms:W3CDTF">2025-11-23T13:15:27Z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A83B4CCA42F14464B8CFD72F6D239D5D_11</vt:lpwstr>
  </property>
</Properties>
</file>