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A1B19" w:val="clear"/>
          </w:tcPr>
          <w:p>
            <w:pPr>
              <w:jc w:val="left"/>
            </w:pPr>
            <w:r>
              <w:rPr>
                <w:rFonts w:ascii="Consolas" w:hAnsi="Consolas" w:eastAsia="Consolas"/>
                <w:b/>
                <w:i w:val="0"/>
                <w:color w:val="FFFFFF"/>
                <w:sz w:val="28"/>
              </w:rPr>
              <w:t xml:space="preserve">  Dx</w:t>
            </w:r>
          </w:p>
        </w:tc>
      </w:tr>
    </w:tbl>
    <w:p/>
    <w:p/>
    <w:p>
      <w:pPr>
        <w:jc w:val="center"/>
      </w:pPr>
      <w:r>
        <w:rPr>
          <w:rFonts w:ascii="Consolas" w:hAnsi="Consolas" w:eastAsia="Consolas"/>
          <w:b/>
          <w:i w:val="0"/>
          <w:color w:val="9B6D4D"/>
          <w:sz w:val="22"/>
        </w:rPr>
        <w:t>Manual de operación</w:t>
      </w:r>
    </w:p>
    <w:p>
      <w:pPr>
        <w:jc w:val="center"/>
      </w:pPr>
      <w:r>
        <w:rPr>
          <w:rFonts w:ascii="Georgia" w:hAnsi="Georgia" w:eastAsia="Georgia"/>
          <w:b w:val="0"/>
          <w:i w:val="0"/>
          <w:color w:val="171717"/>
          <w:sz w:val="72"/>
        </w:rPr>
        <w:t>ARHIAX Dx Pro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706F69"/>
          <w:sz w:val="24"/>
        </w:rPr>
        <w:t>Diagnóstico organizacional gobernado · PMEL/ATK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706F69"/>
          <w:sz w:val="28"/>
        </w:rPr>
        <w:t>—</w:t>
      </w:r>
    </w:p>
    <w:p>
      <w:pPr>
        <w:jc w:val="center"/>
      </w:pPr>
      <w:r>
        <w:rPr>
          <w:rFonts w:ascii="Consolas" w:hAnsi="Consolas" w:eastAsia="Consolas"/>
          <w:b w:val="0"/>
          <w:i w:val="0"/>
          <w:color w:val="706F69"/>
          <w:sz w:val="20"/>
        </w:rPr>
        <w:t>Versión 1.1 · 08 de July de 2026</w:t>
        <w:br/>
        <w:t>Entorno: https://arhiax-dx-pro-187668243215.southamerica-east1.run.app</w:t>
        <w:br/>
        <w:t>Audiencia: consultores y validadores HIL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Actualice en Word: Referencias → Tabla de contenido → Actualizar tabla.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1. Para quién es este manual y qué resuelve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2. Acceso, credenciales y primer ingreso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3. Mapa de pantallas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4. Operación estándar — de cero a informe PDF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5. Crear un caso (wizard paso a paso)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6. Gestionar un caso en cada estado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7. Encuesta pública — instrucciones para participantes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8. Validación HIL y entregables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9. Casos de error — qué significan y qué hacer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10. Ejemplos reales del entorno (referencia operativa)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11. Clientes, revisiones, evidencia y compliance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12. Glosario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13. Matriz de resolución de incidentes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Anexo A — Checklist de capturas</w:t>
      </w:r>
    </w:p>
    <w:p>
      <w:pPr>
        <w:spacing w:after="4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Anexo B — Rutas URL del sistema</w:t>
      </w:r>
    </w:p>
    <w:p>
      <w:r>
        <w:br w:type="page"/>
      </w:r>
    </w:p>
    <w:p>
      <w:pPr>
        <w:pStyle w:val="Heading1"/>
      </w:pPr>
      <w:r>
        <w:t>1. Para quién es este manual y qué resuelve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Este documento describe cómo opera ARIHAX Dx Pro en el día a día: crear diagnósticos, distribuir encuestas multi-rater, ejecutar el pipeline de IA bajo gobernanza PMEL/ATK, validar resultados (HIL) y entregar el informe. No es documentación técnica de desarrollo; es la guía del consultor que usa la plataforma.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EDE6" w:val="clear"/>
          </w:tcPr>
          <w:p>
            <w:pPr>
              <w:spacing w:after="80"/>
            </w:pPr>
            <w:r>
              <w:rPr>
                <w:rFonts w:ascii="Consolas" w:hAnsi="Consolas" w:eastAsia="Consolas"/>
                <w:b/>
                <w:i w:val="0"/>
                <w:color w:val="9B6D4D"/>
                <w:sz w:val="18"/>
              </w:rPr>
              <w:t>PRINCIPIO OPERATIVO</w:t>
            </w:r>
          </w:p>
          <w:p>
            <w:pPr>
              <w:spacing w:line="288" w:lineRule="auto"/>
            </w:pPr>
            <w:r>
              <w:rPr>
                <w:rFonts w:ascii="Calibri" w:hAnsi="Calibri" w:eastAsia="Calibri"/>
                <w:b w:val="0"/>
                <w:i w:val="0"/>
                <w:color w:val="171717"/>
                <w:sz w:val="21"/>
              </w:rPr>
              <w:t>El sistema no inventa datos si algo falla (fail-closed). Si un caso queda en Error, no hay PDF parcial ni atajos: se corrige la causa o se crea un caso nuevo.</w:t>
            </w:r>
          </w:p>
        </w:tc>
      </w:tr>
    </w:tbl>
    <w:p/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Flujo resumido en cuatro movimientos: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Qué ocurre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Quién actúa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1. Configuración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Wizard → arquitectura G09 del instrumento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Consultor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2. Recolección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Participantes responden por rol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Cliente / informantes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3. Fusión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Pipeline IA procesa respuestas reales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Sistema (automático)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4. Cierre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Revisión HIL → aprobación → PDF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Consultor senior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1.1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Vista general del dashboard Pro con menú lateral y listado de casos</w:t>
            </w:r>
          </w:p>
        </w:tc>
      </w:tr>
    </w:tbl>
    <w:p/>
    <w:p>
      <w:pPr>
        <w:pStyle w:val="Heading1"/>
      </w:pPr>
      <w:r>
        <w:t>2. Acceso, credenciales y primer ingreso</w:t>
      </w:r>
    </w:p>
    <w:p>
      <w:pPr>
        <w:spacing w:after="80" w:before="240"/>
      </w:pPr>
      <w:r>
        <w:rPr>
          <w:rFonts w:ascii="Consolas" w:hAnsi="Consolas" w:eastAsia="Consolas"/>
          <w:b/>
          <w:i w:val="0"/>
          <w:color w:val="9B6D4D"/>
          <w:sz w:val="18"/>
        </w:rPr>
        <w:t>§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Recurso</w:t>
            </w:r>
          </w:p>
        </w:tc>
        <w:tc>
          <w:tcPr>
            <w:tcW w:type="dxa" w:w="432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URL login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https://arhiax-dx-pro-187668243215.southamerica-east1.run.app/login</w:t>
            </w:r>
          </w:p>
        </w:tc>
      </w:tr>
      <w:tr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URL dashboard</w:t>
            </w:r>
          </w:p>
        </w:tc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https://arhiax-dx-pro-187668243215.southamerica-east1.run.app/dashboard-pro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Usuario demo consultor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admin@arhiax.com</w:t>
            </w:r>
          </w:p>
        </w:tc>
      </w:tr>
      <w:tr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Contraseña demo</w:t>
            </w:r>
          </w:p>
        </w:tc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arhiax-admin-2026</w:t>
            </w:r>
          </w:p>
        </w:tc>
      </w:tr>
    </w:tbl>
    <w:p/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Abra /login en el navegador (Chrome o Edge recomendados).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Ingrese correo y contraseña. Pulse Iniciar sesión.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Será redirigido a /dashboard-pro.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Si la sesión expiró (mensaje en pantalla o error al guardar), cierre y vuelva a entrar — no pierde casos ya creados.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E4E4" w:val="clear"/>
          </w:tcPr>
          <w:p>
            <w:pPr>
              <w:spacing w:after="80"/>
            </w:pPr>
            <w:r>
              <w:rPr>
                <w:rFonts w:ascii="Consolas" w:hAnsi="Consolas" w:eastAsia="Consolas"/>
                <w:b/>
                <w:i w:val="0"/>
                <w:color w:val="8B3A3A"/>
                <w:sz w:val="18"/>
              </w:rPr>
              <w:t>SESIÓN EXPIRADA</w:t>
            </w:r>
          </w:p>
          <w:p>
            <w:pPr>
              <w:spacing w:line="288" w:lineRule="auto"/>
            </w:pPr>
            <w:r>
              <w:rPr>
                <w:rFonts w:ascii="Calibri" w:hAnsi="Calibri" w:eastAsia="Calibri"/>
                <w:b w:val="0"/>
                <w:i w:val="0"/>
                <w:color w:val="171717"/>
                <w:sz w:val="21"/>
              </w:rPr>
              <w:t>Síntoma: al crear un caso aparece error de conexión o redirección al login. Causa: token JWT vencido. Acción: reingresar y continuar desde el listado de casos.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2.1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Pantalla de login — campos, botón, logo ARHIAX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2.2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Mensaje de sesión expirada (si aplica)</w:t>
            </w:r>
          </w:p>
        </w:tc>
      </w:tr>
    </w:tbl>
    <w:p/>
    <w:p>
      <w:pPr>
        <w:pStyle w:val="Heading1"/>
      </w:pPr>
      <w:r>
        <w:t>3. Mapa de pantallas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Menú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Casos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/dashboard-pro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Listado y filtros de todos los diagnósticos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Nuevo caso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/dashboard-pro/new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Wizard de creación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Clientes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/dashboard-pro/clients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Casos agrupados por organización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Revisiones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/dashboard-pro/reviews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Cola HIL y decisiones recientes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Evidencia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/dashboard-pro/evidence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Ledger global de eventos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Compliance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/dashboard-pro/compliance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Postura PMEL/ATK del runtime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Detalle caso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/dashboard-pro/cases/{uuid}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Operación central de un diagnóstico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Encuesta pública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/survey/pro/{token}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Sin login — participantes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3.1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Menú lateral completo (fondo oscuro #1a1b19, ítems activos resaltados)</w:t>
            </w:r>
          </w:p>
        </w:tc>
      </w:tr>
    </w:tbl>
    <w:p/>
    <w:p>
      <w:pPr>
        <w:pStyle w:val="Heading1"/>
      </w:pPr>
      <w:r>
        <w:t>4. Operación estándar — de cero a informe PDF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Procedimiento que debe seguir todo consultor. Tiempo estimado: 2–5 días según respuesta de participantes.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Nuevo caso → completar Perfil (datos cliente + síntoma claro, máx. ~500 palabras).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Arquitectura → seleccionar 3 roles (Estratégico, Operativo, Táctico), dimensiones e hipótesis con incidente real.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Validación → revisar resumen y enviar. El caso pasa a Diseñando.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Esperar arquitectura G09 (1–3 min). Estado cambia a Encuesta abierta.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Copiar enlace del Hub de recolección. Enviar a un participante por rol.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Verificar contador X/Y respuestas. Mínimo = cantidad de roles configurados.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Lanzar síntesis de diagnóstico. Estado: Ejecutando (5–15 min).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Al terminar: En revisión. Revisar paneles de resultados.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Aprobar (HIL) → descargar PDF desde panel de entregables.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EDE4" w:val="clear"/>
          </w:tcPr>
          <w:p>
            <w:pPr>
              <w:spacing w:after="80"/>
            </w:pPr>
            <w:r>
              <w:rPr>
                <w:rFonts w:ascii="Consolas" w:hAnsi="Consolas" w:eastAsia="Consolas"/>
                <w:b/>
                <w:i w:val="0"/>
                <w:color w:val="56624B"/>
                <w:sz w:val="18"/>
              </w:rPr>
              <w:t>PRÓXIMO PASO</w:t>
            </w:r>
          </w:p>
          <w:p>
            <w:pPr>
              <w:spacing w:line="288" w:lineRule="auto"/>
            </w:pPr>
            <w:r>
              <w:rPr>
                <w:rFonts w:ascii="Calibri" w:hAnsi="Calibri" w:eastAsia="Calibri"/>
                <w:b w:val="0"/>
                <w:i w:val="0"/>
                <w:color w:val="171717"/>
                <w:sz w:val="21"/>
              </w:rPr>
              <w:t>En el detalle de cada caso, el banner verde «Próximo paso» indica exactamente qué hacer ahora. Úselo como guía principal si no está seguro del estado.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4.1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Stepper del caso: Arquitectura → Recolección → Fusión IA → Validación HIL</w:t>
            </w:r>
          </w:p>
        </w:tc>
      </w:tr>
    </w:tbl>
    <w:p/>
    <w:p>
      <w:pPr>
        <w:pStyle w:val="Heading1"/>
      </w:pPr>
      <w:r>
        <w:t>5. Crear un caso (wizard paso a paso)</w:t>
      </w:r>
    </w:p>
    <w:p>
      <w:pPr>
        <w:spacing w:after="80" w:before="240"/>
      </w:pPr>
      <w:r>
        <w:rPr>
          <w:rFonts w:ascii="Consolas" w:hAnsi="Consolas" w:eastAsia="Consolas"/>
          <w:b/>
          <w:i w:val="0"/>
          <w:color w:val="9B6D4D"/>
          <w:sz w:val="18"/>
        </w:rPr>
        <w:t>§ WIZARD · /DASHBOARD-PRO/NEW</w:t>
      </w:r>
    </w:p>
    <w:p>
      <w:pPr>
        <w:pStyle w:val="Heading2"/>
      </w:pPr>
      <w:r>
        <w:t>5.1 Paso 1 — Perfil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Datos que alimentan el diseño del instrumento. El síntoma es crítico: debe ser concreto y medible.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EDE6" w:val="clear"/>
          </w:tcPr>
          <w:p>
            <w:pPr>
              <w:spacing w:after="80"/>
            </w:pPr>
            <w:r>
              <w:rPr>
                <w:rFonts w:ascii="Consolas" w:hAnsi="Consolas" w:eastAsia="Consolas"/>
                <w:b/>
                <w:i w:val="0"/>
                <w:color w:val="9B6D4D"/>
                <w:sz w:val="18"/>
              </w:rPr>
              <w:t>REGLA DEL SÍNTOMA</w:t>
            </w:r>
          </w:p>
          <w:p>
            <w:pPr>
              <w:spacing w:line="288" w:lineRule="auto"/>
            </w:pPr>
            <w:r>
              <w:rPr>
                <w:rFonts w:ascii="Calibri" w:hAnsi="Calibri" w:eastAsia="Calibri"/>
                <w:b w:val="0"/>
                <w:i w:val="0"/>
                <w:color w:val="171717"/>
                <w:sz w:val="21"/>
              </w:rPr>
              <w:t>Mínimo 20 caracteres. Recomendado: 2–4 oraciones (80–400 caracteres). Evite pegar informes completos: casos con +4.000 caracteres han fallado en arquitectura por límite de tokens.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color w:val="171717"/>
          <w:sz w:val="22"/>
        </w:rPr>
        <w:t>Identidad: nombre comercial, razón social, NIT, sector, ciudad, tamaño.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1717"/>
          <w:sz w:val="22"/>
        </w:rPr>
        <w:t>Contacto: nombre, cargo, email, teléfono.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1717"/>
          <w:sz w:val="22"/>
        </w:rPr>
        <w:t>Problema: dominio, síntoma, desde cuándo, resultado esperado.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1717"/>
          <w:sz w:val="22"/>
        </w:rPr>
        <w:t>Alcance: engagement ID, confidencialidad.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5.1a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Paso 1 — sección Identidad y Contacto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5.1b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Paso 1 — síntoma y dominio (campo El problema)</w:t>
            </w:r>
          </w:p>
        </w:tc>
      </w:tr>
    </w:tbl>
    <w:p/>
    <w:p>
      <w:pPr>
        <w:pStyle w:val="Heading2"/>
      </w:pPr>
      <w:r>
        <w:t>5.2 Paso 2 — Arquitectura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Separe claramente roles (quién responde) de dimensiones (qué se evalúa).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Concepto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Opciones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Roles (multi-rater)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Estratégico · Operativo · Táctico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3 perspectivas. Cada una responde una vez.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Dimensiones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Estrategia, Procesos, Tecnología, Personas, Finanzas, Gobernanza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Qué mide el instrumento, no quién responde.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Hipótesis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Enunciado + incidente + informante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Ancla las preguntas a hechos reales.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5.2a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Selección de 3 roles con texto explicativo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5.2b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Dimensiones e hipótesis ancladas</w:t>
            </w:r>
          </w:p>
        </w:tc>
      </w:tr>
    </w:tbl>
    <w:p/>
    <w:p>
      <w:pPr>
        <w:pStyle w:val="Heading2"/>
      </w:pPr>
      <w:r>
        <w:t>5.3 Paso 3 — Validación y envío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Revise tarjetas Empresa, El problema y Alcance.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Marque consentimientos.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Pulse Iniciar ciclo de diagnóstico.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Será redirigido al detalle del caso en estado Diseñando.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5.3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Resumen final y botón de envío</w:t>
            </w:r>
          </w:p>
        </w:tc>
      </w:tr>
    </w:tbl>
    <w:p/>
    <w:p>
      <w:pPr>
        <w:pStyle w:val="Heading1"/>
      </w:pPr>
      <w:r>
        <w:t>6. Gestionar un caso en cada estado</w:t>
      </w:r>
    </w:p>
    <w:p>
      <w:pPr>
        <w:spacing w:after="80" w:before="240"/>
      </w:pPr>
      <w:r>
        <w:rPr>
          <w:rFonts w:ascii="Consolas" w:hAnsi="Consolas" w:eastAsia="Consolas"/>
          <w:b/>
          <w:i w:val="0"/>
          <w:color w:val="9B6D4D"/>
          <w:sz w:val="18"/>
        </w:rPr>
        <w:t>§ CASO · /DASHBOARD-PRO/CASES/{ID}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Estado en UI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Significado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Acción inmediata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Borrador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Sin enviar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Completar wizard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Diseñando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G09 generando preguntas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Esperar — pantalla se actualiza sola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Encuesta abierta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Instrumento listo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Compartir enlace; monitorear X/Y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Ejecutando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Pipeline IA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No cerrar; esperar banner de fusión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En revisión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Listo para HIL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Revisar y aprobar/rechazar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Aprobado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Sellado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Descargar PDF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Error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Pipeline bloqueado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Leer mensaje; ver capítulo 9</w:t>
            </w:r>
          </w:p>
        </w:tc>
      </w:tr>
    </w:tbl>
    <w:p/>
    <w:p>
      <w:pPr>
        <w:pStyle w:val="Heading2"/>
      </w:pPr>
      <w:r>
        <w:t>6.1 Hub de recolección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Localice el bloque ENLACE SEGURO DE ACCESO.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Pulse COPIAR y envíe por canal acordado con el cliente (email, Teams, etc.).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Verifique PARTICIPANTES ESPERADOS — debe coincidir con los roles definidos.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Cuando responses_count ≥ min_responses, habilite Lanzar síntesis de diagnóstico.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6.1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Hub: enlace, contadores, chips de roles, botón lanzar</w:t>
            </w:r>
          </w:p>
        </w:tc>
      </w:tr>
    </w:tbl>
    <w:p/>
    <w:p>
      <w:pPr>
        <w:pStyle w:val="Heading2"/>
      </w:pPr>
      <w:r>
        <w:t>6.2 Fusión y revisión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6.2a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Banner ciclo de fusión en ejecución + pipeline de etapas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6.2b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Panel HIL lateral — Aprobar / Rechazar</w:t>
            </w:r>
          </w:p>
        </w:tc>
      </w:tr>
    </w:tbl>
    <w:p/>
    <w:p>
      <w:pPr>
        <w:pStyle w:val="Heading2"/>
      </w:pPr>
      <w:r>
        <w:t>6.3 Resultados y descarga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Tras aprobar: PDF, DOCX y MD según disponibilidad. El sello criptográfico queda en evidencia.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6.3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Panel de entregables con botones de descarga</w:t>
            </w:r>
          </w:p>
        </w:tc>
      </w:tr>
    </w:tbl>
    <w:p/>
    <w:p>
      <w:pPr>
        <w:pStyle w:val="Heading1"/>
      </w:pPr>
      <w:r>
        <w:t>7. Encuesta pública — instrucciones para participantes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Texto que puede copiar y enviar al cliente junto con el enlace: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EDE4" w:val="clear"/>
          </w:tcPr>
          <w:p>
            <w:pPr>
              <w:spacing w:after="80"/>
            </w:pPr>
            <w:r>
              <w:rPr>
                <w:rFonts w:ascii="Consolas" w:hAnsi="Consolas" w:eastAsia="Consolas"/>
                <w:b/>
                <w:i w:val="0"/>
                <w:color w:val="56624B"/>
                <w:sz w:val="18"/>
              </w:rPr>
              <w:t>MENSAJE SUGERIDO AL CLIENTE</w:t>
            </w:r>
          </w:p>
          <w:p>
            <w:pPr>
              <w:spacing w:line="288" w:lineRule="auto"/>
            </w:pPr>
            <w:r>
              <w:rPr>
                <w:rFonts w:ascii="Calibri" w:hAnsi="Calibri" w:eastAsia="Calibri"/>
                <w:b w:val="0"/>
                <w:i w:val="0"/>
                <w:color w:val="171717"/>
                <w:sz w:val="21"/>
              </w:rPr>
              <w:t>«Estimado/a: le comparto el enlace del diagnóstico organizacional. Seleccione el rol que mejor describe su función (solo uno por persona). Tiempo estimado: 15–20 minutos. Sus respuestas son anónimas y tratadas bajo protocolo de gobernanza.»</w:t>
            </w:r>
          </w:p>
        </w:tc>
      </w:tr>
    </w:tbl>
    <w:p/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Abrir enlace /survey/pro/{token}.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Leer introducción (organización, tiempo, privacidad).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Elegir perspectiva (Estratégico / Operativo / Táctico).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Responder ítems Likert (1–5) u abiertos.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Finalizar — pantalla de confirmación.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7.1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Selección de rol en encuesta pública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7.2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Ítem Likert con escala 1–5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7.3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Pantalla Diagnóstico Finalizado</w:t>
            </w:r>
          </w:p>
        </w:tc>
      </w:tr>
    </w:tbl>
    <w:p/>
    <w:p>
      <w:pPr>
        <w:pStyle w:val="Heading1"/>
      </w:pPr>
      <w:r>
        <w:t>8. Validación HIL y entregables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La aprobación humana es obligatoria. Sin ella no hay descarga de informe.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Abra el caso en estado En revisión.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Revise ProResultsPanel: madurez, dimensiones, riesgos, hipótesis.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Opcional: SurveyAuditPanel para auditar respuestas por rol.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Escriba observaciones si aplica.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Pulse APROBAR — se genera sello y entregables.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Descargue PDF y comparta con el cliente.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EDE6" w:val="clear"/>
          </w:tcPr>
          <w:p>
            <w:pPr>
              <w:spacing w:after="80"/>
            </w:pPr>
            <w:r>
              <w:rPr>
                <w:rFonts w:ascii="Consolas" w:hAnsi="Consolas" w:eastAsia="Consolas"/>
                <w:b/>
                <w:i w:val="0"/>
                <w:color w:val="9B6D4D"/>
                <w:sz w:val="18"/>
              </w:rPr>
              <w:t>RECHAZO</w:t>
            </w:r>
          </w:p>
          <w:p>
            <w:pPr>
              <w:spacing w:line="288" w:lineRule="auto"/>
            </w:pPr>
            <w:r>
              <w:rPr>
                <w:rFonts w:ascii="Calibri" w:hAnsi="Calibri" w:eastAsia="Calibri"/>
                <w:b w:val="0"/>
                <w:i w:val="0"/>
                <w:color w:val="171717"/>
                <w:sz w:val="21"/>
              </w:rPr>
              <w:t>Si rechaza, el caso queda en Rechazado. No hay PDF. Documente el motivo en observaciones para trazabilidad.</w:t>
            </w:r>
          </w:p>
        </w:tc>
      </w:tr>
    </w:tbl>
    <w:p/>
    <w:p>
      <w:pPr>
        <w:pStyle w:val="Heading1"/>
      </w:pPr>
      <w:r>
        <w:t>9. Casos de error — qué significan y qué hacer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Capítulo operativo crítico. Un caso en Error no se «arregla» con reintentos mágicos: hay que entender la causa y actuar según la tabla.</w:t>
      </w:r>
    </w:p>
    <w:p>
      <w:pPr>
        <w:pStyle w:val="Heading2"/>
      </w:pPr>
      <w:r>
        <w:t>9.1 Error en arquitectura (G09)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Síntoma en pantalla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Causa probable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Estado Error + encuesta no disponible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Síntoma excesivamente largo (&gt;~2.000 caracteres)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Crear caso nuevo con síntoma resumido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Encuesta: «no se generó correctamente»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Fallo en generación de preguntas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Revisar evidencia pipeline_failed; nuevo caso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Survey status = error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G09 no completó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No compartir enlace; caso nuevo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E4E4" w:val="clear"/>
          </w:tcPr>
          <w:p>
            <w:pPr>
              <w:spacing w:after="80"/>
            </w:pPr>
            <w:r>
              <w:rPr>
                <w:rFonts w:ascii="Consolas" w:hAnsi="Consolas" w:eastAsia="Consolas"/>
                <w:b/>
                <w:i w:val="0"/>
                <w:color w:val="8B3A3A"/>
                <w:sz w:val="18"/>
              </w:rPr>
              <w:t>EJEMPLO REAL — case-3046bf33de (CD Global)</w:t>
            </w:r>
          </w:p>
          <w:p>
            <w:pPr>
              <w:spacing w:line="288" w:lineRule="auto"/>
            </w:pPr>
            <w:r>
              <w:rPr>
                <w:rFonts w:ascii="Calibri" w:hAnsi="Calibri" w:eastAsia="Calibri"/>
                <w:b w:val="0"/>
                <w:i w:val="0"/>
                <w:color w:val="171717"/>
                <w:sz w:val="21"/>
              </w:rPr>
              <w:t>Cliente: CD Global. Síntoma: 4.577 caracteres (texto pegado completo). Resultado: pipeline_failed en agente G09, 0 preguntas, encuesta en error. Solución aplicada: no reutilizar ese caso; crear uno nuevo con síntoma de 2–4 párrafos.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9.1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Caso en error: banner rojo + mensaje pipeline + stepper con X</w:t>
            </w:r>
          </w:p>
        </w:tc>
      </w:tr>
    </w:tbl>
    <w:p/>
    <w:p>
      <w:pPr>
        <w:pStyle w:val="Heading2"/>
      </w:pPr>
      <w:r>
        <w:t>9.2 Error en fusión (post-recolección)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Síntoma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Causa probable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Error tras Lanzar síntesis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Etapa del pipeline sin salida LLM válida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Leer pipeline_error; revisar evidencia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No se puede aprobar (409)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Etapas comprometidas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No aprobar; caso queda bloqueado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PDF no disponible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Caso no aprobado o en error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Completar HIL o corregir error primero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EDE6" w:val="clear"/>
          </w:tcPr>
          <w:p>
            <w:pPr>
              <w:spacing w:after="80"/>
            </w:pPr>
            <w:r>
              <w:rPr>
                <w:rFonts w:ascii="Consolas" w:hAnsi="Consolas" w:eastAsia="Consolas"/>
                <w:b/>
                <w:i w:val="0"/>
                <w:color w:val="9B6D4D"/>
                <w:sz w:val="18"/>
              </w:rPr>
              <w:t>POLÍTICA FAIL-CLOSED</w:t>
            </w:r>
          </w:p>
          <w:p>
            <w:pPr>
              <w:spacing w:line="288" w:lineRule="auto"/>
            </w:pPr>
            <w:r>
              <w:rPr>
                <w:rFonts w:ascii="Calibri" w:hAnsi="Calibri" w:eastAsia="Calibri"/>
                <w:b w:val="0"/>
                <w:i w:val="0"/>
                <w:color w:val="171717"/>
                <w:sz w:val="21"/>
              </w:rPr>
              <w:t>El sistema no entrega informes con datos simulados ni omite etapas fallidas. Esto es intencional para auditoría y confianza del cliente.</w:t>
            </w:r>
          </w:p>
        </w:tc>
      </w:tr>
    </w:tbl>
    <w:p/>
    <w:p>
      <w:pPr>
        <w:pStyle w:val="Heading2"/>
      </w:pPr>
      <w:r>
        <w:t>9.3 Errores de operación del consultor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Situación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Qué ve</w:t>
            </w:r>
          </w:p>
        </w:tc>
        <w:tc>
          <w:tcPr>
            <w:tcW w:type="dxa" w:w="288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Sesión expirada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Redirect a login o error al crear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Reingresar; caso no se pierde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Lanzar síntesis deshabilitado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0 respuestas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Esperar al menos 1 respuesta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Faltan respuestas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X/Y incompleto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Recordar a participantes por rol faltante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Rol duplicado en encuesta legacy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4 roles incl. Planeación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Cada rol distinto responde una vez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Encuesta cerrada (410)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Participante no puede entrar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Caso ya pasó de fase; no reabrir</w:t>
            </w:r>
          </w:p>
        </w:tc>
      </w:tr>
      <w:tr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PDF 500 en caso viejo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Pre-pipeline sin validación</w:t>
            </w:r>
          </w:p>
        </w:tc>
        <w:tc>
          <w:tcPr>
            <w:tcW w:type="dxa" w:w="288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Solo casos aprobados post-fix tienen PDF válido</w:t>
            </w:r>
          </w:p>
        </w:tc>
      </w:tr>
    </w:tbl>
    <w:p/>
    <w:p>
      <w:pPr>
        <w:pStyle w:val="Heading2"/>
      </w:pPr>
      <w:r>
        <w:t>9.4 Qué NO hacer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1717"/>
          <w:sz w:val="22"/>
        </w:rPr>
        <w:t>No pegar informes enteros en el campo síntoma.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1717"/>
          <w:sz w:val="22"/>
        </w:rPr>
        <w:t>No mezclar dimensiones como si fueran roles (el wizard actual ya lo previene).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1717"/>
          <w:sz w:val="22"/>
        </w:rPr>
        <w:t>No aprobar un caso sin revisar resultados — el sello HIL es su responsabilidad.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1717"/>
          <w:sz w:val="22"/>
        </w:rPr>
        <w:t>No eliminar casos del entorno de producción sin acuerdo del equipo.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71717"/>
          <w:sz w:val="22"/>
        </w:rPr>
        <w:t>No compartir el enlace de encuesta antes de que el estado sea Encuesta abierta.</w:t>
      </w:r>
    </w:p>
    <w:p>
      <w:pPr>
        <w:pStyle w:val="Heading1"/>
      </w:pPr>
      <w:r>
        <w:t>10. Ejemplos reales del entorno (referencia operativa)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Casos existentes en producción al momento de redactar este manual. Sirven como referencia para el consultor senior.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Referencia</w:t>
            </w:r>
          </w:p>
        </w:tc>
        <w:tc>
          <w:tcPr>
            <w:tcW w:type="dxa" w:w="216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Cliente</w:t>
            </w:r>
          </w:p>
        </w:tc>
        <w:tc>
          <w:tcPr>
            <w:tcW w:type="dxa" w:w="216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216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Lección operativa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case-ffbf1ae77b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Agencia Innovación São Caetano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Aprobado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Flujo completo OK: 3 respuestas, 21/21 etapas, PDF disponible</w:t>
            </w:r>
          </w:p>
        </w:tc>
      </w:tr>
      <w:tr>
        <w:tc>
          <w:tcPr>
            <w:tcW w:type="dxa" w:w="216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case-b957403514</w:t>
            </w:r>
          </w:p>
        </w:tc>
        <w:tc>
          <w:tcPr>
            <w:tcW w:type="dxa" w:w="216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CD GLOBAL (Ivania Rua)</w:t>
            </w:r>
          </w:p>
        </w:tc>
        <w:tc>
          <w:tcPr>
            <w:tcW w:type="dxa" w:w="216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Encuesta abierta</w:t>
            </w:r>
          </w:p>
        </w:tc>
        <w:tc>
          <w:tcPr>
            <w:tcW w:type="dxa" w:w="216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19 preguntas, 0/4 respuestas — pendiente distribuir enlace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case-3046bf33de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CD Global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Error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Síntoma 4.577 chars → fallo G09 — crear caso nuevo</w:t>
            </w:r>
          </w:p>
        </w:tc>
      </w:tr>
      <w:tr>
        <w:tc>
          <w:tcPr>
            <w:tcW w:type="dxa" w:w="216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case-1b8c4eb343</w:t>
            </w:r>
          </w:p>
        </w:tc>
        <w:tc>
          <w:tcPr>
            <w:tcW w:type="dxa" w:w="216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Smoke Test</w:t>
            </w:r>
          </w:p>
        </w:tc>
        <w:tc>
          <w:tcPr>
            <w:tcW w:type="dxa" w:w="216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Encuesta abierta</w:t>
            </w:r>
          </w:p>
        </w:tc>
        <w:tc>
          <w:tcPr>
            <w:tcW w:type="dxa" w:w="216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Prueba interna, 0/3 respuestas</w:t>
            </w:r>
          </w:p>
        </w:tc>
      </w:tr>
    </w:tbl>
    <w:p/>
    <w:p>
      <w:pPr>
        <w:pStyle w:val="Heading2"/>
      </w:pPr>
      <w:r>
        <w:t>10.1 Recorrido exitoso — São Caetano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Caso creado con síntoma conciso (118 caracteres) y 3 hipótesis.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Encuesta: 19 preguntas, 3 respuestas (una por rol).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Síntesis lanzada → 21 etapas pipeline completadas.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Aprobación HIL → 3 entregables generados.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Índice de madurez: 50.0 — PDF descargable.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10.1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Caso São Caetano aprobado — panel resultados y descarga PDF</w:t>
            </w:r>
          </w:p>
        </w:tc>
      </w:tr>
    </w:tbl>
    <w:p/>
    <w:p>
      <w:pPr>
        <w:pStyle w:val="Heading2"/>
      </w:pPr>
      <w:r>
        <w:t>10.2 Caso en curso — Ivania (CD Global)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Enlace encuesta: https://arhiax-dx-pro-187668243215.southamerica-east1.run.app/survey/pro/01076dc4b8d24b129ec3f219f1185b26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Distribuir enlace a 4 participantes (roles: Estratégico, Operativo, Táctico, Planeación en casos legacy).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Confirmar 4/4 respuestas en el hub.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Lanzar síntesis.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Revisar y aprobar.</w:t>
      </w:r>
    </w:p>
    <w:p>
      <w:pPr>
        <w:pStyle w:val="ListNumber"/>
        <w:ind w:left="283"/>
      </w:pPr>
      <w:r>
        <w:rPr>
          <w:rFonts w:ascii="Calibri" w:hAnsi="Calibri" w:eastAsia="Calibri"/>
          <w:b w:val="0"/>
          <w:i w:val="0"/>
          <w:color w:val="171717"/>
          <w:sz w:val="22"/>
        </w:rPr>
        <w:t>Entregar PDF al cliente.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10.2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Caso Ivania — hub de recolección con 0/4 y roles esperados</w:t>
            </w:r>
          </w:p>
        </w:tc>
      </w:tr>
    </w:tbl>
    <w:p/>
    <w:p>
      <w:pPr>
        <w:pStyle w:val="Heading2"/>
      </w:pPr>
      <w:r>
        <w:t>10.3 Caso fallido — CD Global (síntoma largo)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Referencia de lo que NO debe repetirse. El consultor debe reconocer este patrón en el banner de error.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10.3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Caso CD Global error — pipeline_failed visible en evidencia</w:t>
            </w:r>
          </w:p>
        </w:tc>
      </w:tr>
    </w:tbl>
    <w:p/>
    <w:p>
      <w:pPr>
        <w:pStyle w:val="Heading1"/>
      </w:pPr>
      <w:r>
        <w:t>11. Clientes, revisiones, evidencia y compliance</w:t>
      </w:r>
    </w:p>
    <w:p>
      <w:pPr>
        <w:pStyle w:val="Heading2"/>
      </w:pPr>
      <w:r>
        <w:t>11.1 Clientes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Agrupa diagnósticos por organización. Útil cuando un mismo cliente tiene varios engagements.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11.1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Vista /dashboard-pro/clients</w:t>
            </w:r>
          </w:p>
        </w:tc>
      </w:tr>
    </w:tbl>
    <w:p/>
    <w:p>
      <w:pPr>
        <w:pStyle w:val="Heading2"/>
      </w:pPr>
      <w:r>
        <w:t>11.2 Revisiones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Cola de casos En revisión y historial de aprobados/rechazados.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11.2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Vista /dashboard-pro/reviews</w:t>
            </w:r>
          </w:p>
        </w:tc>
      </w:tr>
    </w:tbl>
    <w:p/>
    <w:p>
      <w:pPr>
        <w:pStyle w:val="Heading2"/>
      </w:pPr>
      <w:r>
        <w:t>11.3 Evidencia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Ledger append-only. Filtro por trace_id. Botón Verificar HMAC valida integridad de la cadena.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11.3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Vista /dashboard-pro/evidence + resultado HMAC</w:t>
            </w:r>
          </w:p>
        </w:tc>
      </w:tr>
    </w:tbl>
    <w:p/>
    <w:p>
      <w:pPr>
        <w:pStyle w:val="Heading2"/>
      </w:pPr>
      <w:r>
        <w:t>11.4 Compliance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Postura del runtime: policy engine, ledger HEAD, cobertura PMEL.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1EA" w:val="clear"/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┌─────────────────────────────────────────┐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eastAsia="Consolas"/>
                <w:b w:val="0"/>
                <w:i/>
                <w:color w:val="706F69"/>
                <w:sz w:val="20"/>
              </w:rPr>
              <w:t xml:space="preserve">  Fig. 11.4</w:t>
              <w:br/>
              <w:t xml:space="preserve">  INSERTAR CAPTURA DE PANTALLA AQUÍ</w:t>
              <w:br/>
            </w:r>
            <w:r>
              <w:rPr>
                <w:rFonts w:ascii="Consolas" w:hAnsi="Consolas" w:eastAsia="Consolas"/>
                <w:b w:val="0"/>
                <w:i w:val="0"/>
                <w:color w:val="706F69"/>
                <w:sz w:val="18"/>
              </w:rPr>
              <w:t>└─────────────────────────────────────────┘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706F69"/>
                <w:sz w:val="19"/>
              </w:rPr>
              <w:t>Vista /dashboard-pro/compliance</w:t>
            </w:r>
          </w:p>
        </w:tc>
      </w:tr>
    </w:tbl>
    <w:p/>
    <w:p>
      <w:pPr>
        <w:pStyle w:val="Heading1"/>
      </w:pPr>
      <w:r>
        <w:t>12.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432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Multi-rater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Encuesta con varios roles; cada perspectiva responde por separado</w:t>
            </w:r>
          </w:p>
        </w:tc>
      </w:tr>
      <w:tr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HIL</w:t>
            </w:r>
          </w:p>
        </w:tc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Human-in-the-Loop — validación humana obligatoria antes de entregar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PMEL/ATK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Capa de políticas y gobernanza del pipeline</w:t>
            </w:r>
          </w:p>
        </w:tc>
      </w:tr>
      <w:tr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G09</w:t>
            </w:r>
          </w:p>
        </w:tc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Agentes que diseñan el instrumento de encuesta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Fail-closed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Ante fallo, el sistema se detiene sin datos ficticios</w:t>
            </w:r>
          </w:p>
        </w:tc>
      </w:tr>
      <w:tr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Trace ID</w:t>
            </w:r>
          </w:p>
        </w:tc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Identificador de trazabilidad en evidencia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Hub de recolección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Pantalla con enlace y contadores de respuestas</w:t>
            </w:r>
          </w:p>
        </w:tc>
      </w:tr>
      <w:tr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Síntesis</w:t>
            </w:r>
          </w:p>
        </w:tc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Ejecución del pipeline IA tras recolección</w:t>
            </w:r>
          </w:p>
        </w:tc>
      </w:tr>
    </w:tbl>
    <w:p/>
    <w:p>
      <w:pPr>
        <w:pStyle w:val="Heading1"/>
      </w:pPr>
      <w:r>
        <w:t>13. Matriz de resolución de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Incidente</w:t>
            </w:r>
          </w:p>
        </w:tc>
        <w:tc>
          <w:tcPr>
            <w:tcW w:type="dxa" w:w="1728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Severidad</w:t>
            </w:r>
          </w:p>
        </w:tc>
        <w:tc>
          <w:tcPr>
            <w:tcW w:type="dxa" w:w="1728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Resolución</w:t>
            </w:r>
          </w:p>
        </w:tc>
        <w:tc>
          <w:tcPr>
            <w:tcW w:type="dxa" w:w="1728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Tiempo est.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Sesión expirada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Baja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Re-login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&lt; 1 min</w:t>
            </w:r>
          </w:p>
        </w:tc>
      </w:tr>
      <w:tr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2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Encuesta no disponible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Media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Esperar G09 o nuevo caso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1–5 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Caso Error G09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Nuevo caso, síntoma corto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15 min</w:t>
            </w:r>
          </w:p>
        </w:tc>
      </w:tr>
      <w:tr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4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Fusión fallida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Alta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Revisar error; soporte si persiste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Variable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PDF no descarga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Media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Verificar aprobación HIL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Inmediato</w:t>
            </w:r>
          </w:p>
        </w:tc>
      </w:tr>
      <w:tr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6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Respuestas incompletas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Baja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Reenviar enlace a rol faltante</w:t>
            </w:r>
          </w:p>
        </w:tc>
        <w:tc>
          <w:tcPr>
            <w:tcW w:type="dxa" w:w="172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Días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HMAC comprometido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Crítica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Escalar a administrador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Urgente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A — Checklist de capturas</w:t>
      </w:r>
    </w:p>
    <w:p>
      <w:pPr>
        <w:spacing w:after="160" w:line="300" w:lineRule="auto"/>
      </w:pPr>
      <w:r>
        <w:rPr>
          <w:rFonts w:ascii="Calibri" w:hAnsi="Calibri" w:eastAsia="Calibri"/>
          <w:b w:val="0"/>
          <w:i w:val="0"/>
          <w:color w:val="171717"/>
          <w:sz w:val="22"/>
        </w:rPr>
        <w:t>Marque cada figura al insertarla. Total: 28 espacios.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1.1 Dashboard general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2.1 Login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2.2 Sesión expirada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3.1 Menú lateral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4.1 Stepper ciclo de vida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5.1a-b Wizard perfil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5.2a-b Wizard arquitectura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5.3 Validación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6.1 Hub recolección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6.2a Fusión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6.2b HIL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6.3 Entregables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7.1-7.3 Encuesta pública (3)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9.1 Caso error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10.1 São Caetano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10.2 Ivania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10.3 CD Global error   ☐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71717"/>
          <w:sz w:val="20"/>
        </w:rPr>
        <w:t>Fig. 11.1-11.4 Clientes, revisiones, evidencia, compliance   ☐</w:t>
      </w:r>
    </w:p>
    <w:p>
      <w:pPr>
        <w:pStyle w:val="Heading1"/>
      </w:pPr>
      <w:r>
        <w:t>Anexo B — Rutas URL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Pantalla</w:t>
            </w:r>
          </w:p>
        </w:tc>
        <w:tc>
          <w:tcPr>
            <w:tcW w:type="dxa" w:w="4320"/>
            <w:shd w:fill="1A1B19" w:val="clear"/>
          </w:tcPr>
          <w:p>
            <w:r/>
            <w:r>
              <w:rPr>
                <w:rFonts w:ascii="Consolas" w:hAnsi="Consolas" w:eastAsia="Consolas"/>
                <w:b/>
                <w:i w:val="0"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Login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https://arhiax-dx-pro-187668243215.southamerica-east1.run.app/login</w:t>
            </w:r>
          </w:p>
        </w:tc>
      </w:tr>
      <w:tr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Casos</w:t>
            </w:r>
          </w:p>
        </w:tc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https://arhiax-dx-pro-187668243215.southamerica-east1.run.app/dashboard-pro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Nuevo caso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https://arhiax-dx-pro-187668243215.southamerica-east1.run.app/dashboard-pro/new</w:t>
            </w:r>
          </w:p>
        </w:tc>
      </w:tr>
      <w:tr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Encuesta Ivania (ejemplo)</w:t>
            </w:r>
          </w:p>
        </w:tc>
        <w:tc>
          <w:tcPr>
            <w:tcW w:type="dxa" w:w="4320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71717"/>
                <w:sz w:val="20"/>
              </w:rPr>
              <w:t>https://arhiax-dx-pro-187668243215.southamerica-east1.run.app/survey/pro/01076dc4b8d24b129ec3f219f1185b26</w:t>
            </w:r>
          </w:p>
        </w:tc>
      </w:tr>
    </w:tbl>
    <w:p/>
    <w:p/>
    <w:p>
      <w:pPr>
        <w:jc w:val="center"/>
      </w:pPr>
      <w:r>
        <w:rPr>
          <w:rFonts w:ascii="Consolas" w:hAnsi="Consolas" w:eastAsia="Consolas"/>
          <w:b w:val="0"/>
          <w:i/>
          <w:color w:val="706F69"/>
          <w:sz w:val="18"/>
        </w:rPr>
        <w:t>— ARHIAX Dx Pro · Documento interno de operación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color w:val="17171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 w:val="0"/>
      <w:bCs/>
      <w:color w:val="1717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 w:val="0"/>
      <w:bCs/>
      <w:color w:val="17171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