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Relationship Id="rId2" Type="http://schemas.openxmlformats.org/package/2006/relationships/metadata/core-properties" Target="docProps/core.xml"/>
<Relationship Id="rId3" Type="http://schemas.openxmlformats.org/officeDocument/2006/relationships/extended-properties" Target="docProps/app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/>
      </w:pPr>
      <w:r>
        <w:rPr>
          <w:rFonts w:ascii="Calibri" w:hAnsi="Calibri"/>
          <w:b/>
          <w:color w:val="16A0A0"/>
          <w:sz w:val="22"/>
          <w:szCs w:val="22"/>
        </w:rPr>
        <w:t xml:space="preserve">eisTIK® NEXT GEN – Produkt-Workshop</w:t>
      </w:r>
    </w:p>
    <w:p>
      <w:pPr>
        <w:pBdr>
          <w:bottom w:val="single" w:sz="12" w:space="4" w:color="16A0A0"/>
        </w:pBdr>
        <w:spacing w:before="0" w:after="60"/>
      </w:pPr>
      <w:r>
        <w:rPr>
          <w:rFonts w:ascii="Calibri" w:hAnsi="Calibri"/>
          <w:b/>
          <w:color w:val="0B2C5F"/>
          <w:sz w:val="44"/>
          <w:szCs w:val="44"/>
        </w:rPr>
        <w:t xml:space="preserve">Konsolidierung Tag 1 – Zusammenfassung</w:t>
      </w:r>
    </w:p>
    <w:p>
      <w:pPr>
        <w:spacing w:before="0" w:after="160"/>
      </w:pPr>
      <w:r>
        <w:rPr>
          <w:rFonts w:ascii="Calibri" w:hAnsi="Calibri"/>
          <w:i/>
          <w:color w:val="5B6672"/>
          <w:sz w:val="20"/>
          <w:szCs w:val="20"/>
        </w:rPr>
        <w:t xml:space="preserve">Erste Konsolidierung &amp; Tagesabschluss der 8 Hausaufgaben-Pitches. Fokus: Frontend &amp; User Experience (ETL ausgenommen). Internal Use Only.</w:t>
      </w:r>
    </w:p>
    <w:p>
      <w:pPr>
        <w:pBdr>
          <w:bottom w:val="single" w:sz="12" w:space="4" w:color="16A0A0"/>
        </w:pBdr>
        <w:spacing w:before="120" w:after="120"/>
      </w:pPr>
      <w:r>
        <w:rPr>
          <w:rFonts w:ascii="Calibri" w:hAnsi="Calibri"/>
          <w:b/>
          <w:color w:val="0B2C5F"/>
          <w:sz w:val="28"/>
          <w:szCs w:val="28"/>
        </w:rPr>
        <w:t xml:space="preserve">Management Summary</w:t>
      </w:r>
    </w:p>
    <w:p>
      <w:pPr>
        <w:spacing w:before="0" w:after="120"/>
      </w:pPr>
      <w:r>
        <w:rPr>
          <w:rFonts w:ascii="Calibri" w:hAnsi="Calibri"/>
          <w:color w:val="1F2733"/>
          <w:sz w:val="21"/>
          <w:szCs w:val="21"/>
        </w:rPr>
        <w:t xml:space="preserve">Alle acht Teilnehmenden aus Vertrieb, Produktmanagement, Projektleitung/Service und Entwicklung haben je drei Listen gepitcht (Must-Haves, Missing Features, Out of Scope). Die Beiträge wurden themenübergreifend geclustert und nach Häufigkeit gewichtet.</w:t>
      </w:r>
    </w:p>
    <w:p>
      <w:pPr>
        <w:spacing w:before="0" w:after="60"/>
      </w:pPr>
      <w:r>
        <w:rPr>
          <w:rFonts w:ascii="Calibri" w:hAnsi="Calibri"/>
          <w:color w:val="1F2733"/>
          <w:sz w:val="21"/>
          <w:szCs w:val="21"/>
        </w:rPr>
        <w:t xml:space="preserve">Die stärksten Konsens-Themen bilden den Kern-Backlog für das Pflichtenheft:</w:t>
      </w:r>
    </w:p>
    <w:p>
      <w:pPr>
        <w:numPr>
          <w:ilvl w:val="0"/>
          <w:numId w:val="1"/>
        </w:numPr>
        <w:spacing w:before="0" w:after="80"/>
      </w:pPr>
      <w:r>
        <w:rPr>
          <w:rFonts w:ascii="Calibri" w:hAnsi="Calibri"/>
          <w:color w:val="1F2733"/>
          <w:sz w:val="21"/>
          <w:szCs w:val="21"/>
        </w:rPr>
        <w:t xml:space="preserve">KI/AI-Funktionalitäten (breitester Konsens, 6 Nennungen)</w:t>
      </w:r>
    </w:p>
    <w:p>
      <w:pPr>
        <w:numPr>
          <w:ilvl w:val="0"/>
          <w:numId w:val="1"/>
        </w:numPr>
        <w:spacing w:before="0" w:after="80"/>
      </w:pPr>
      <w:r>
        <w:rPr>
          <w:rFonts w:ascii="Calibri" w:hAnsi="Calibri"/>
          <w:color w:val="1F2733"/>
          <w:sz w:val="21"/>
          <w:szCs w:val="21"/>
        </w:rPr>
        <w:t xml:space="preserve">Alerting &amp; Echtzeit-Reaktion sowie Frontend-Performance/Echtzeit-Analyse (je 5)</w:t>
      </w:r>
    </w:p>
    <w:p>
      <w:pPr>
        <w:numPr>
          <w:ilvl w:val="0"/>
          <w:numId w:val="1"/>
        </w:numPr>
        <w:spacing w:before="0" w:after="80"/>
      </w:pPr>
      <w:r>
        <w:rPr>
          <w:rFonts w:ascii="Calibri" w:hAnsi="Calibri"/>
          <w:color w:val="1F2733"/>
          <w:sz w:val="21"/>
          <w:szCs w:val="21"/>
        </w:rPr>
        <w:t xml:space="preserve">Weg vom FAT-Client hin zu einem modernen, responsiven Web-Frontend (5)</w:t>
      </w:r>
    </w:p>
    <w:p>
      <w:pPr>
        <w:numPr>
          <w:ilvl w:val="0"/>
          <w:numId w:val="1"/>
        </w:numPr>
        <w:spacing w:before="0" w:after="80"/>
      </w:pPr>
      <w:r>
        <w:rPr>
          <w:rFonts w:ascii="Calibri" w:hAnsi="Calibri"/>
          <w:color w:val="1F2733"/>
          <w:sz w:val="21"/>
          <w:szCs w:val="21"/>
        </w:rPr>
        <w:t xml:space="preserve">Externe Datenanbindung &amp; -anreicherung sowie vollwertiges Berichtswesen (je 5)</w:t>
      </w:r>
    </w:p>
    <w:p>
      <w:pPr>
        <w:numPr>
          <w:ilvl w:val="0"/>
          <w:numId w:val="1"/>
        </w:numPr>
        <w:spacing w:before="0" w:after="80"/>
      </w:pPr>
      <w:r>
        <w:rPr>
          <w:rFonts w:ascii="Calibri" w:hAnsi="Calibri"/>
          <w:color w:val="1F2733"/>
          <w:sz w:val="21"/>
          <w:szCs w:val="21"/>
        </w:rPr>
        <w:t xml:space="preserve">Konfiguration statt Code und ein klares Rollen-/Rechte- &amp; Governance-Konzept (je 5)</w:t>
      </w:r>
    </w:p>
    <w:p>
      <w:pPr>
        <w:spacing w:before="60" w:after="160"/>
      </w:pPr>
      <w:r>
        <w:rPr>
          <w:rFonts w:ascii="Calibri" w:hAnsi="Calibri"/>
          <w:color w:val="1F2733"/>
          <w:sz w:val="21"/>
          <w:szCs w:val="21"/>
        </w:rPr>
        <w:t xml:space="preserve">Roter Faden: mehr Standardisierung und weniger Komplexität, ein modernes Web-Frontend, eine semantische Schicht als verlässliche Basis (auch für KI) sowie ein flexibles Deployment (on-prem/SaaS/Cloud).</w:t>
      </w:r>
    </w:p>
    <w:p>
      <w:pPr>
        <w:pBdr>
          <w:bottom w:val="single" w:sz="12" w:space="4" w:color="16A0A0"/>
        </w:pBdr>
        <w:spacing w:before="240" w:after="120"/>
      </w:pPr>
      <w:r>
        <w:rPr>
          <w:rFonts w:ascii="Calibri" w:hAnsi="Calibri"/>
          <w:b/>
          <w:color w:val="0B2C5F"/>
          <w:sz w:val="26"/>
          <w:szCs w:val="26"/>
        </w:rPr>
        <w:t xml:space="preserve">Teilnehmer</w:t>
      </w:r>
    </w:p>
    <w:tbl>
      <w:tblPr>
        <w:tblW w:w="9360" w:type="dxa"/>
        <w:tblBorders>
          <w:top w:val="single" w:sz="4" w:color="C7D2DE"/>
          <w:left w:val="single" w:sz="4" w:color="C7D2DE"/>
          <w:bottom w:val="single" w:sz="4" w:color="C7D2DE"/>
          <w:right w:val="single" w:sz="4" w:color="C7D2DE"/>
          <w:insideH w:val="single" w:sz="4" w:color="D7E0EA"/>
          <w:insideV w:val="single" w:sz="4" w:color="D7E0EA"/>
        </w:tblBorders>
        <w:tblLook w:val="04A0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color="auto" w:fill="0B2C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Kürzel</w:t>
            </w:r>
          </w:p>
        </w:tc>
        <w:tc>
          <w:tcPr>
            <w:tcW w:w="6360" w:type="dxa"/>
            <w:shd w:val="clear" w:color="auto" w:fill="0B2C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Rolle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Michael (Mi)</w:t>
            </w:r>
          </w:p>
        </w:tc>
        <w:tc>
          <w:tcPr>
            <w:tcW w:w="6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VP Development</w:t>
            </w:r>
          </w:p>
        </w:tc>
      </w:tr>
      <w:tr>
        <w:tc>
          <w:tcPr>
            <w:tcW w:w="30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Mario (Ma)</w:t>
            </w:r>
          </w:p>
        </w:tc>
        <w:tc>
          <w:tcPr>
            <w:tcW w:w="63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Teamlead Development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Nils (Ni)</w:t>
            </w:r>
          </w:p>
        </w:tc>
        <w:tc>
          <w:tcPr>
            <w:tcW w:w="6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General Manager</w:t>
            </w:r>
          </w:p>
        </w:tc>
      </w:tr>
      <w:tr>
        <w:tc>
          <w:tcPr>
            <w:tcW w:w="30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Markus (Mk)</w:t>
            </w:r>
          </w:p>
        </w:tc>
        <w:tc>
          <w:tcPr>
            <w:tcW w:w="63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Produkt Manager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Kai (Ka)</w:t>
            </w:r>
          </w:p>
        </w:tc>
        <w:tc>
          <w:tcPr>
            <w:tcW w:w="6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Vertrieb</w:t>
            </w:r>
          </w:p>
        </w:tc>
      </w:tr>
      <w:tr>
        <w:tc>
          <w:tcPr>
            <w:tcW w:w="30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Stephan (St)</w:t>
            </w:r>
          </w:p>
        </w:tc>
        <w:tc>
          <w:tcPr>
            <w:tcW w:w="63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VP Produktmanagement (Moderation)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Uta (Ut)</w:t>
            </w:r>
          </w:p>
        </w:tc>
        <w:tc>
          <w:tcPr>
            <w:tcW w:w="63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Projektleitung</w:t>
            </w:r>
          </w:p>
        </w:tc>
      </w:tr>
      <w:tr>
        <w:tc>
          <w:tcPr>
            <w:tcW w:w="30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Stefan (Sf)</w:t>
            </w:r>
          </w:p>
        </w:tc>
        <w:tc>
          <w:tcPr>
            <w:tcW w:w="63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VP Projektleitung</w:t>
            </w:r>
          </w:p>
        </w:tc>
      </w:tr>
    </w:tbl>
    <w:p>
      <w:pPr>
        <w:spacing w:before="0" w:after="200"/>
      </w:pPr>
    </w:p>
    <w:p>
      <w:pPr>
        <w:pBdr>
          <w:bottom w:val="single" w:sz="12" w:space="4" w:color="16A0A0"/>
        </w:pBdr>
        <w:spacing w:before="240" w:after="120"/>
      </w:pPr>
      <w:r>
        <w:rPr>
          <w:rFonts w:ascii="Calibri" w:hAnsi="Calibri"/>
          <w:b/>
          <w:color w:val="0B2C5F"/>
          <w:sz w:val="28"/>
          <w:szCs w:val="28"/>
        </w:rPr>
        <w:t xml:space="preserve">1. Große Konsens-Cluster</w:t>
      </w:r>
    </w:p>
    <w:p>
      <w:pPr>
        <w:spacing w:before="0" w:after="100"/>
      </w:pPr>
      <w:r>
        <w:rPr>
          <w:rFonts w:ascii="Calibri" w:hAnsi="Calibri"/>
          <w:i/>
          <w:color w:val="5B6672"/>
          <w:sz w:val="20"/>
          <w:szCs w:val="20"/>
        </w:rPr>
        <w:t xml:space="preserve">Themen mit breiter Zustimmung – die stärksten Kandidaten fürs Pflichtenheft. Die Zahl gibt die Anzahl der Nennungen an.</w:t>
      </w:r>
    </w:p>
    <w:tbl>
      <w:tblPr>
        <w:tblW w:w="9360" w:type="dxa"/>
        <w:tblBorders>
          <w:top w:val="single" w:sz="4" w:color="C7D2DE"/>
          <w:left w:val="single" w:sz="4" w:color="C7D2DE"/>
          <w:bottom w:val="single" w:sz="4" w:color="C7D2DE"/>
          <w:right w:val="single" w:sz="4" w:color="C7D2DE"/>
          <w:insideH w:val="single" w:sz="4" w:color="D7E0EA"/>
          <w:insideV w:val="single" w:sz="4" w:color="D7E0EA"/>
        </w:tblBorders>
        <w:tblLook w:val="04A0"/>
      </w:tblPr>
      <w:tblGrid>
        <w:gridCol w:w="4400"/>
        <w:gridCol w:w="700"/>
        <w:gridCol w:w="2560"/>
        <w:gridCol w:w="1700"/>
      </w:tblGrid>
      <w:tr>
        <w:trPr>
          <w:tblHeader/>
        </w:trPr>
        <w:tc>
          <w:tcPr>
            <w:tcW w:w="4400" w:type="dxa"/>
            <w:shd w:val="clear" w:color="auto" w:fill="0B2C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Thema</w:t>
            </w:r>
          </w:p>
        </w:tc>
        <w:tc>
          <w:tcPr>
            <w:tcW w:w="700" w:type="dxa"/>
            <w:shd w:val="clear" w:color="auto" w:fill="0B2C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Nenn.</w:t>
            </w:r>
          </w:p>
        </w:tc>
        <w:tc>
          <w:tcPr>
            <w:tcW w:w="2560" w:type="dxa"/>
            <w:shd w:val="clear" w:color="auto" w:fill="0B2C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Genannt von</w:t>
            </w:r>
          </w:p>
        </w:tc>
        <w:tc>
          <w:tcPr>
            <w:tcW w:w="1700" w:type="dxa"/>
            <w:shd w:val="clear" w:color="auto" w:fill="0B2C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Einordnung</w:t>
            </w:r>
          </w:p>
        </w:tc>
      </w:tr>
      <w:tr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Alerting / Echtzeit-Reaktion (Push, Schwellwerte, Frühwarnung)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5</w:t>
            </w:r>
          </w:p>
        </w:tc>
        <w:tc>
          <w:tcPr>
            <w:tcW w:w="25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Mi, Ma, Mk, St, Sf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Neu</w:t>
            </w:r>
          </w:p>
        </w:tc>
      </w:tr>
      <w:tr>
        <w:tc>
          <w:tcPr>
            <w:tcW w:w="44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Frontend-Performance / Echtzeit-Ad-hoc-Analyse</w:t>
            </w:r>
          </w:p>
        </w:tc>
        <w:tc>
          <w:tcPr>
            <w:tcW w:w="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5</w:t>
            </w:r>
          </w:p>
        </w:tc>
        <w:tc>
          <w:tcPr>
            <w:tcW w:w="25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Mi, Ma, St, Sf, (Ut)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Neu</w:t>
            </w:r>
          </w:p>
        </w:tc>
      </w:tr>
      <w:tr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KI / AI-Funktionalitäten (Assistenten, Ad-hoc, Reporting)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6</w:t>
            </w:r>
          </w:p>
        </w:tc>
        <w:tc>
          <w:tcPr>
            <w:tcW w:w="25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Ka, Ma, Ut, St, Sf, Mi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Bleibt / Neu</w:t>
            </w:r>
          </w:p>
        </w:tc>
      </w:tr>
      <w:tr>
        <w:tc>
          <w:tcPr>
            <w:tcW w:w="44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Cloud / Multi-Deployment (on-prem + SaaS + Cloud)</w:t>
            </w:r>
          </w:p>
        </w:tc>
        <w:tc>
          <w:tcPr>
            <w:tcW w:w="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3</w:t>
            </w:r>
          </w:p>
        </w:tc>
        <w:tc>
          <w:tcPr>
            <w:tcW w:w="25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Mi, Ma, Sf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Neu</w:t>
            </w:r>
          </w:p>
        </w:tc>
      </w:tr>
      <w:tr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Embedded Analytics / Widgets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3</w:t>
            </w:r>
          </w:p>
        </w:tc>
        <w:tc>
          <w:tcPr>
            <w:tcW w:w="25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Mi, Mk, St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Neu</w:t>
            </w:r>
          </w:p>
        </w:tc>
      </w:tr>
      <w:tr>
        <w:tc>
          <w:tcPr>
            <w:tcW w:w="44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Semantische Schicht / Datenkatalog &amp; Lineage</w:t>
            </w:r>
          </w:p>
        </w:tc>
        <w:tc>
          <w:tcPr>
            <w:tcW w:w="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3</w:t>
            </w:r>
          </w:p>
        </w:tc>
        <w:tc>
          <w:tcPr>
            <w:tcW w:w="25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Mi, Mk, St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Neu</w:t>
            </w:r>
          </w:p>
        </w:tc>
      </w:tr>
      <w:tr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Weg vom FAT-Client → Web, responsive, mobile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5</w:t>
            </w:r>
          </w:p>
        </w:tc>
        <w:tc>
          <w:tcPr>
            <w:tcW w:w="25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Mi, Ma, St, Sf, (Ut/Ka)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Verzicht / Neu</w:t>
            </w:r>
          </w:p>
        </w:tc>
      </w:tr>
      <w:tr>
        <w:tc>
          <w:tcPr>
            <w:tcW w:w="44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Externe/eigene Datenanbindung &amp; -anreicherung</w:t>
            </w:r>
          </w:p>
        </w:tc>
        <w:tc>
          <w:tcPr>
            <w:tcW w:w="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5</w:t>
            </w:r>
          </w:p>
        </w:tc>
        <w:tc>
          <w:tcPr>
            <w:tcW w:w="25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Ka, Ma, Ut, St, Mi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Bleibt</w:t>
            </w:r>
          </w:p>
        </w:tc>
      </w:tr>
      <w:tr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Berichtswesen / Standardberichte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5</w:t>
            </w:r>
          </w:p>
        </w:tc>
        <w:tc>
          <w:tcPr>
            <w:tcW w:w="25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Ka, Mk, Ut, St, Sf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Bleibt / Neu</w:t>
            </w:r>
          </w:p>
        </w:tc>
      </w:tr>
      <w:tr>
        <w:tc>
          <w:tcPr>
            <w:tcW w:w="44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Migrationskonzept (bestehendes Berichtswesen)</w:t>
            </w:r>
          </w:p>
        </w:tc>
        <w:tc>
          <w:tcPr>
            <w:tcW w:w="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3</w:t>
            </w:r>
          </w:p>
        </w:tc>
        <w:tc>
          <w:tcPr>
            <w:tcW w:w="25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Ka, Sf, (Ut)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Neu</w:t>
            </w:r>
          </w:p>
        </w:tc>
      </w:tr>
      <w:tr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Komplexität reduzieren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4</w:t>
            </w:r>
          </w:p>
        </w:tc>
        <w:tc>
          <w:tcPr>
            <w:tcW w:w="25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Ma, Ut, Ka, Sf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Verzicht</w:t>
            </w:r>
          </w:p>
        </w:tc>
      </w:tr>
      <w:tr>
        <w:tc>
          <w:tcPr>
            <w:tcW w:w="44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Konfiguration statt Code (update-sicher)</w:t>
            </w:r>
          </w:p>
        </w:tc>
        <w:tc>
          <w:tcPr>
            <w:tcW w:w="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5</w:t>
            </w:r>
          </w:p>
        </w:tc>
        <w:tc>
          <w:tcPr>
            <w:tcW w:w="25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Mi, St, Sf, Ma, Ni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Bleibt / Verzicht</w:t>
            </w:r>
          </w:p>
        </w:tc>
      </w:tr>
      <w:tr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Rollen-/Rechte- &amp; Governance-Konzept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5</w:t>
            </w:r>
          </w:p>
        </w:tc>
        <w:tc>
          <w:tcPr>
            <w:tcW w:w="25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Mi, Ma, Mk, St, Sf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Bleibt / Neu</w:t>
            </w:r>
          </w:p>
        </w:tc>
      </w:tr>
    </w:tbl>
    <w:p>
      <w:pPr>
        <w:spacing w:before="0" w:after="200"/>
      </w:pPr>
    </w:p>
    <w:p>
      <w:pPr>
        <w:pBdr>
          <w:bottom w:val="single" w:sz="12" w:space="4" w:color="16A0A0"/>
        </w:pBdr>
        <w:spacing w:before="240" w:after="120"/>
      </w:pPr>
      <w:r>
        <w:rPr>
          <w:rFonts w:ascii="Calibri" w:hAnsi="Calibri"/>
          <w:b/>
          <w:color w:val="0B2C5F"/>
          <w:sz w:val="28"/>
          <w:szCs w:val="28"/>
        </w:rPr>
        <w:t xml:space="preserve">2. Cluster nach Kategorie (zusammengefasst)</w:t>
      </w:r>
    </w:p>
    <w:p>
      <w:pPr>
        <w:spacing w:before="0" w:after="120"/>
      </w:pPr>
      <w:r>
        <w:rPr>
          <w:rFonts w:ascii="Calibri" w:hAnsi="Calibri"/>
          <w:i/>
          <w:color w:val="5B6672"/>
          <w:sz w:val="20"/>
          <w:szCs w:val="20"/>
        </w:rPr>
        <w:t xml:space="preserve">Verwandte Einzelnennungen sind zu Themenblöcken gebündelt. Hinweis: „Data Integration Designer" (Ma) entspricht der externen Datenanreicherung.</w:t>
      </w:r>
    </w:p>
    <w:p>
      <w:pPr>
        <w:spacing w:before="80" w:after="120"/>
      </w:pPr>
      <w:r>
        <w:rPr>
          <w:rFonts w:ascii="Calibri" w:hAnsi="Calibri"/>
          <w:b/>
          <w:color w:val="2E9E5B"/>
          <w:sz w:val="24"/>
          <w:szCs w:val="24"/>
        </w:rPr>
        <w:t xml:space="preserve">Must-Haves – Was muss bleiben?</w:t>
      </w:r>
    </w:p>
    <w:tbl>
      <w:tblPr>
        <w:tblW w:w="9360" w:type="dxa"/>
        <w:tblBorders>
          <w:top w:val="single" w:sz="4" w:color="C7D2DE"/>
          <w:left w:val="single" w:sz="4" w:color="C7D2DE"/>
          <w:bottom w:val="single" w:sz="4" w:color="C7D2DE"/>
          <w:right w:val="single" w:sz="4" w:color="C7D2DE"/>
          <w:insideH w:val="single" w:sz="4" w:color="D7E0EA"/>
          <w:insideV w:val="single" w:sz="4" w:color="D7E0EA"/>
        </w:tblBorders>
        <w:tblLook w:val="04A0"/>
      </w:tblPr>
      <w:tblGrid>
        <w:gridCol w:w="2900"/>
        <w:gridCol w:w="1700"/>
        <w:gridCol w:w="4760"/>
      </w:tblGrid>
      <w:tr>
        <w:trPr>
          <w:tblHeader/>
        </w:trPr>
        <w:tc>
          <w:tcPr>
            <w:tcW w:w="2900" w:type="dxa"/>
            <w:shd w:val="clear" w:color="auto" w:fill="0B2C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Themenblock</w:t>
            </w:r>
          </w:p>
        </w:tc>
        <w:tc>
          <w:tcPr>
            <w:tcW w:w="1700" w:type="dxa"/>
            <w:shd w:val="clear" w:color="auto" w:fill="0B2C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Genannt von</w:t>
            </w:r>
          </w:p>
        </w:tc>
        <w:tc>
          <w:tcPr>
            <w:tcW w:w="4760" w:type="dxa"/>
            <w:shd w:val="clear" w:color="auto" w:fill="0B2C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Enthält / Details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Externe Datenanbindung &amp; -anreicherung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Ka, Ma, Ut, St, Mi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Import eigener/externer Quellen; Data Integration Designer; Anreicherung ohne native Schnittstelle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Berichte, Dashboards &amp; Berichtsdesigner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Mi, Mk, Ut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Visualisierung als Herzstück; eigene Berichte gestalten; Berichte auch extern (Excel) bauen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Self-Service &amp; Flexibilität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Mi, Ut, Ka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Eigene Analysen/Berichte; Varianten-/Regelmanager; Tiefenanalyse/Drilldown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Individualisierung durch Konfiguration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Ohne Code, update-sicher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Einzelfallanalyse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Ut, Ka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Alle Falldaten auf einen Blick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Excel-Export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Ut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Basis der Controlling-Arbeit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Kostenrechnung / InEK-Kalkulation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Ka, Ma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KST, KTR, InEK; eigenständiger Grouper (Simulation/Qualität)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Datenumfang &amp; -qualität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Ma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Hohe Detailtiefe, geprüfte Qualität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KI / AI-Funktionalitäten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Ma, St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/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Mandantenfähigkeit &amp; Rollout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Mk, St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Auch Träger; CI/Branding; feingranulare Rechte; skalierbarer Rollout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Berechtigungslogiken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Sf, St, Mk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Standardberichte ausliefern; neues Berechtigungskonzept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Strategische Leitplanken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Sf, Ni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Markteintrittshürden; Branchenfokus (Know-how &gt; Technologie); Endanwender-Orientierung; Standardisierung; Fokus Gesundheitswesen breiter als KH, alle CGM-Systeme weltweit anbinden</w:t>
            </w:r>
          </w:p>
        </w:tc>
      </w:tr>
    </w:tbl>
    <w:p>
      <w:pPr>
        <w:spacing w:before="0" w:after="140"/>
      </w:pPr>
    </w:p>
    <w:p>
      <w:pPr>
        <w:spacing w:before="80" w:after="120"/>
      </w:pPr>
      <w:r>
        <w:rPr>
          <w:rFonts w:ascii="Calibri" w:hAnsi="Calibri"/>
          <w:b/>
          <w:color w:val="1E5AA8"/>
          <w:sz w:val="24"/>
          <w:szCs w:val="24"/>
        </w:rPr>
        <w:t xml:space="preserve">Missing Features – Was brauchen wir neu?</w:t>
      </w:r>
    </w:p>
    <w:tbl>
      <w:tblPr>
        <w:tblW w:w="9360" w:type="dxa"/>
        <w:tblBorders>
          <w:top w:val="single" w:sz="4" w:color="C7D2DE"/>
          <w:left w:val="single" w:sz="4" w:color="C7D2DE"/>
          <w:bottom w:val="single" w:sz="4" w:color="C7D2DE"/>
          <w:right w:val="single" w:sz="4" w:color="C7D2DE"/>
          <w:insideH w:val="single" w:sz="4" w:color="D7E0EA"/>
          <w:insideV w:val="single" w:sz="4" w:color="D7E0EA"/>
        </w:tblBorders>
        <w:tblLook w:val="04A0"/>
      </w:tblPr>
      <w:tblGrid>
        <w:gridCol w:w="2900"/>
        <w:gridCol w:w="1700"/>
        <w:gridCol w:w="4760"/>
      </w:tblGrid>
      <w:tr>
        <w:trPr>
          <w:tblHeader/>
        </w:trPr>
        <w:tc>
          <w:tcPr>
            <w:tcW w:w="2900" w:type="dxa"/>
            <w:shd w:val="clear" w:color="auto" w:fill="0B2C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Themenblock</w:t>
            </w:r>
          </w:p>
        </w:tc>
        <w:tc>
          <w:tcPr>
            <w:tcW w:w="1700" w:type="dxa"/>
            <w:shd w:val="clear" w:color="auto" w:fill="0B2C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Genannt von</w:t>
            </w:r>
          </w:p>
        </w:tc>
        <w:tc>
          <w:tcPr>
            <w:tcW w:w="4760" w:type="dxa"/>
            <w:shd w:val="clear" w:color="auto" w:fill="0B2C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Enthält / Details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Alerting &amp; Echtzeit-Reaktion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Mi, Ma, Mk, St, Sf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Push/Schwellwerte, Frühwarnung, ereignisorientiertes Reporting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Frontend-Performance &amp; Echtzeitanalyse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Mi, Ma, St, Sf, Ut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&lt; 5 Sek., visuelles Feedback, schnelle Datenlisten, Skalierbarkeit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Semantische Schicht, Datenkatalog &amp; Lineage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Mi, Mk, St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„Eine Wahrheit"; Herkunft/Aktualität/Qualität sichtbar (Datenvertrauen)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Cloud / Multi-Deployment &amp; Skalierbarkeit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Mi, Ma, Sf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Hybrid on-prem/SaaS/Cloud; extreme Skalierbarkeit, eigenständige Module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Embedded Analytics / Widgets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Mi, Mk, St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Einbindung in andere Applikationen; fortsetzbare/teilbare Analysearbeit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UI/UX &amp; Bedienbarkeit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Mi, Ma, St, Ut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Modern, responsive, mobile, Multilanguage, VIA-Design; volle UI-Konfiguration; intuitive Bedienung + Anleitungen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KI-Unterstützung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Sf, St, Ka, Ut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Ad-hoc-Abfragen; KI-Assistenten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API-Offenheit &amp; Entwicklungsprozess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Mi, St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Zentrale Plattform/Datenquelle; KI/MCP, API für QA, Versionierung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Datenschutz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Sf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Pseudonymisierung, Anonymisierung, Audit-Logging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Standardberichtswesen &amp; Migration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Ka, Ut, Sf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Standard-Berichtssets; Im-/Export von Elementen; Berichte für erste Datenprüfung; Migrationskonzept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Planung &amp; Steuerung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Ka, Ni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Hochrechnung/Planung; Liquiditäts- &amp; Insolvenzmanagement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Lizenzierung &amp; Funktionsfreigabe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Ni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Skalierungsfähige Lizenzschlüssel; automatisierte Freigabe von Funktionalitäten anhand des Schlüssels; möglichst zentralisierte Lizenzierungs-/Pflegemöglichkeit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Benchmarking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Ka, Sf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Kundenvergleiche (kein Konsens)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Datenakquise/-handel (Projekt MARE)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Ni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Erhöht Komplexität von Datenmodell, semantischer Schicht und Datenvolumen deutlich; DSGVO/Art. 9: Rechtsgrundlage, Einwilligung, Anonymisierung</w:t>
            </w:r>
          </w:p>
        </w:tc>
      </w:tr>
    </w:tbl>
    <w:p>
      <w:pPr>
        <w:spacing w:before="0" w:after="140"/>
      </w:pPr>
    </w:p>
    <w:p>
      <w:pPr>
        <w:spacing w:before="80" w:after="120"/>
      </w:pPr>
      <w:r>
        <w:rPr>
          <w:rFonts w:ascii="Calibri" w:hAnsi="Calibri"/>
          <w:b/>
          <w:color w:val="C0392B"/>
          <w:sz w:val="24"/>
          <w:szCs w:val="24"/>
        </w:rPr>
        <w:t xml:space="preserve">Out of Scope – Worauf verzichten wir?</w:t>
      </w:r>
    </w:p>
    <w:tbl>
      <w:tblPr>
        <w:tblW w:w="9360" w:type="dxa"/>
        <w:tblBorders>
          <w:top w:val="single" w:sz="4" w:color="C7D2DE"/>
          <w:left w:val="single" w:sz="4" w:color="C7D2DE"/>
          <w:bottom w:val="single" w:sz="4" w:color="C7D2DE"/>
          <w:right w:val="single" w:sz="4" w:color="C7D2DE"/>
          <w:insideH w:val="single" w:sz="4" w:color="D7E0EA"/>
          <w:insideV w:val="single" w:sz="4" w:color="D7E0EA"/>
        </w:tblBorders>
        <w:tblLook w:val="04A0"/>
      </w:tblPr>
      <w:tblGrid>
        <w:gridCol w:w="2900"/>
        <w:gridCol w:w="1700"/>
        <w:gridCol w:w="4760"/>
      </w:tblGrid>
      <w:tr>
        <w:trPr>
          <w:tblHeader/>
        </w:trPr>
        <w:tc>
          <w:tcPr>
            <w:tcW w:w="2900" w:type="dxa"/>
            <w:shd w:val="clear" w:color="auto" w:fill="0B2C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Themenblock</w:t>
            </w:r>
          </w:p>
        </w:tc>
        <w:tc>
          <w:tcPr>
            <w:tcW w:w="1700" w:type="dxa"/>
            <w:shd w:val="clear" w:color="auto" w:fill="0B2C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Genannt von</w:t>
            </w:r>
          </w:p>
        </w:tc>
        <w:tc>
          <w:tcPr>
            <w:tcW w:w="4760" w:type="dxa"/>
            <w:shd w:val="clear" w:color="auto" w:fill="0B2C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  <w:szCs w:val="19"/>
              </w:rPr>
              <w:t xml:space="preserve">Enthält / Details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FAT-Client / Desktop-Installationen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Mi, Ma, St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→ alles im Browser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Individualisierung im Code / Einzelkunden-Entwicklung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Mi, St, Sf, Ma, Ni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Nur über Konfiguration; Standards schaffen; keine Individuallösungen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Altes Rechtekonzept / Impersonation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Mi, Ma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Schlankeres Rollen-/Rechtemodell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Komplexität reduzieren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Ut, Ka, Sf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Auch: zu große Cubes je Thema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Technik-nahe Altlasten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Ma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Features auf DB-Ebene; Wartung von Fremdtools (Jedox, Excel)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Monolithes System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Sf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Ziel stattdessen: Trennung Technik/Content/Logik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Eigenentwicklung Berichtsdesigner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Sf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Strategisch bewerten (Make-or-buy)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Druck / PDF-Export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Mk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Abgrenzen zu Must-Have „Berichtswesen inkl. PDF"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Produktlinien-Altlasten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Ka, Ut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Kein Parallelbetrieb .NET/.akut (Ablösung); keine systemübergreifende Datenübernahme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Fachliche Spezialthemen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Ka, Ut, St, Ni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Prozessuales MD-Management; strategisches DRG-Grouping (MetaKIS); strikte DRG/PEPP-Trennung; differenziertes Medizincontrolling Einzelfall; Expertentools neu entwickeln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Lizenzmodell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Ka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Einzellizenzen → Themen-/Bundle-Lizenzen</w:t>
            </w:r>
          </w:p>
        </w:tc>
      </w:tr>
      <w:tr>
        <w:tc>
          <w:tcPr>
            <w:tcW w:w="29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EOH</w:t>
            </w:r>
          </w:p>
        </w:tc>
        <w:tc>
          <w:tcPr>
            <w:tcW w:w="170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>Ut, St, (Ma)</w:t>
            </w:r>
          </w:p>
        </w:tc>
        <w:tc>
          <w:tcPr>
            <w:tcW w:w="4760" w:type="dxa"/>
            <w:shd w:val="clear" w:color="auto" w:fill="EEF3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1F2733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p>
      <w:pPr>
        <w:pBdr>
          <w:bottom w:val="single" w:sz="12" w:space="4" w:color="16A0A0"/>
        </w:pBdr>
        <w:spacing w:before="240" w:after="120"/>
      </w:pPr>
      <w:r>
        <w:rPr>
          <w:rFonts w:ascii="Calibri" w:hAnsi="Calibri"/>
          <w:b/>
          <w:color w:val="0B2C5F"/>
          <w:sz w:val="28"/>
          <w:szCs w:val="28"/>
        </w:rPr>
        <w:t xml:space="preserve">3. Nächste Schritte</w:t>
      </w:r>
    </w:p>
    <w:p>
      <w:pPr>
        <w:numPr>
          <w:ilvl w:val="0"/>
          <w:numId w:val="1"/>
        </w:numPr>
        <w:spacing w:before="0" w:after="80"/>
      </w:pPr>
      <w:r>
        <w:rPr>
          <w:rFonts w:ascii="Calibri" w:hAnsi="Calibri"/>
          <w:color w:val="1F2733"/>
          <w:sz w:val="21"/>
          <w:szCs w:val="21"/>
        </w:rPr>
        <w:t xml:space="preserve">Konsens-Cluster (Abschnitt 1) als Kern-Backlog ins Pflichtenheft übernehmen.</w:t>
      </w:r>
    </w:p>
    <w:p>
      <w:pPr>
        <w:numPr>
          <w:ilvl w:val="0"/>
          <w:numId w:val="1"/>
        </w:numPr>
        <w:spacing w:before="0" w:after="80"/>
      </w:pPr>
      <w:r>
        <w:rPr>
          <w:rFonts w:ascii="Calibri" w:hAnsi="Calibri"/>
          <w:color w:val="1F2733"/>
          <w:sz w:val="21"/>
          <w:szCs w:val="21"/>
        </w:rPr>
        <w:t xml:space="preserve">Priorisierung Must-Have vs. Neu vs. Verzicht je Cluster festlegen.</w:t>
      </w:r>
    </w:p>
    <w:p>
      <w:pPr>
        <w:numPr>
          <w:ilvl w:val="0"/>
          <w:numId w:val="1"/>
        </w:numPr>
        <w:spacing w:before="0" w:after="80"/>
      </w:pPr>
      <w:r>
        <w:rPr>
          <w:rFonts w:ascii="Calibri" w:hAnsi="Calibri"/>
          <w:color w:val="1F2733"/>
          <w:sz w:val="21"/>
          <w:szCs w:val="21"/>
        </w:rPr>
        <w:t xml:space="preserve">Übertrag in den Anforderungskatalog (01 Workshop Allgemein).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szCs w:val="21"/>
        <w:lang w:val="de-DE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
<Relationship Id="rId1" Type="http://schemas.openxmlformats.org/officeDocument/2006/relationships/styles" Target="styles.xml"/>
<Relationship Id="rId2" Type="http://schemas.openxmlformats.org/officeDocument/2006/relationships/numbering" Target="numbering.xml"/>
</Relationships>
</file>

<file path=docProps/app.xml><?xml version="1.0" encoding="utf-8"?>
<Properties xmlns="http://schemas.openxmlformats.org/officeDocument/2006/extended-properties">
  <Application>eisTIK Workshop</Application>
</Properties>
</file>

<file path=docProps/core.xml><?xml version="1.0" encoding="utf-8"?>
<cp:coreProperties xmlns:cp="http://schemas.openxmlformats.org/package/2006/metadata/core-properties" xmlns:dc="http://purl.org/dc/elements/1.1/">
  <dc:title>eisTIK NEXT GEN - Konsolidierung Tag 1 (Zusammenfassung)</dc:title>
  <dc:creator>eisTIK NEXT GEN Workshop</dc:creator>
</cp:coreProperties>
</file>