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Calibri" w:cs="Calibri" w:eastAsia="Calibri" w:hAnsi="Calibri"/>
          <w:b/>
          <w:bCs/>
          <w:color w:val="1E3A8A"/>
          <w:sz w:val="44"/>
          <w:szCs w:val="44"/>
        </w:rPr>
        <w:t xml:space="preserve">AI STUDENT TRACKER</w:t>
      </w:r>
    </w:p>
    <w:p>
      <w:pPr>
        <w:spacing w:after="120" w:before="0"/>
      </w:pPr>
      <w:r>
        <w:rPr>
          <w:rFonts w:ascii="Calibri" w:cs="Calibri" w:eastAsia="Calibri" w:hAnsi="Calibri"/>
          <w:color w:val="2563EB"/>
          <w:sz w:val="28"/>
          <w:szCs w:val="28"/>
        </w:rPr>
        <w:t xml:space="preserve">Comprehensive Platform User Guide for Teachers &amp; Students</w:t>
      </w:r>
    </w:p>
    <w:p>
      <w:pPr>
        <w:spacing w:after="240" w:before="60"/>
      </w:pPr>
      <w:r>
        <w:rPr>
          <w:rFonts w:ascii="Calibri" w:cs="Calibri" w:eastAsia="Calibri" w:hAnsi="Calibri"/>
          <w:b/>
          <w:bCs/>
          <w:i w:val="false"/>
          <w:iCs w:val="false"/>
          <w:color w:val="475569"/>
          <w:sz w:val="22"/>
          <w:szCs w:val="22"/>
        </w:rPr>
        <w:t xml:space="preserve">Live Web Portal: </w:t>
      </w:r>
      <w:r>
        <w:rPr>
          <w:rFonts w:ascii="Calibri" w:cs="Calibri" w:eastAsia="Calibri" w:hAnsi="Calibri"/>
          <w:b w:val="false"/>
          <w:bCs w:val="false"/>
          <w:i w:val="false"/>
          <w:iCs w:val="false"/>
          <w:color w:val="2563EB"/>
          <w:sz w:val="22"/>
          <w:szCs w:val="22"/>
        </w:rPr>
        <w:t xml:space="preserve">https://ai-student-tracker-nine.vercel.app  |  </w:t>
      </w:r>
      <w:r>
        <w:rPr>
          <w:rFonts w:ascii="Calibri" w:cs="Calibri" w:eastAsia="Calibri" w:hAnsi="Calibri"/>
          <w:b/>
          <w:bCs/>
          <w:i w:val="false"/>
          <w:iCs w:val="false"/>
          <w:color w:val="475569"/>
          <w:sz w:val="22"/>
          <w:szCs w:val="22"/>
        </w:rPr>
        <w:t xml:space="preserve">Document Version: </w:t>
      </w:r>
      <w:r>
        <w:rPr>
          <w:rFonts w:ascii="Calibri" w:cs="Calibri" w:eastAsia="Calibri" w:hAnsi="Calibri"/>
          <w:b w:val="false"/>
          <w:bCs w:val="false"/>
          <w:i w:val="false"/>
          <w:iCs w:val="false"/>
          <w:color w:val="0F172A"/>
          <w:sz w:val="22"/>
          <w:szCs w:val="22"/>
        </w:rPr>
        <w:t xml:space="preserve">2.0 (Editable Production Edition)</w:t>
      </w:r>
    </w:p>
    <w:tbl>
      <w:tblPr>
        <w:tblW w:type="pct" w:w="5000"/>
        <w:tblBorders>
          <w:top w:val="none"/>
          <w:left w:val="single" w:color="2563EB" w:sz="24"/>
          <w:bottom w:val="none"/>
          <w:right w:val="none"/>
          <w:insideH w:val="single" w:color="auto" w:sz="4"/>
          <w:insideV w:val="single" w:color="auto" w:sz="4"/>
        </w:tblBorders>
      </w:tblPr>
      <w:tblGrid>
        <w:gridCol w:w="9026"/>
      </w:tblGrid>
      <w:tr>
        <w:tc>
          <w:tcPr>
            <w:shd w:fill="EFF6FF" w:val="clear"/>
            <w:tcMar>
              <w:top w:type="dxa" w:w="120"/>
              <w:left w:type="dxa" w:w="160"/>
              <w:bottom w:type="dxa" w:w="120"/>
              <w:right w:type="dxa" w:w="160"/>
            </w:tcMar>
          </w:tcPr>
          <w:p>
            <w:pPr>
              <w:spacing w:after="40" w:before="0"/>
            </w:pPr>
            <w:r>
              <w:rPr>
                <w:rFonts w:ascii="Calibri" w:cs="Calibri" w:eastAsia="Calibri" w:hAnsi="Calibri"/>
                <w:b/>
                <w:bCs/>
                <w:color w:val="1E40AF"/>
                <w:sz w:val="22"/>
                <w:szCs w:val="22"/>
              </w:rPr>
              <w:t xml:space="preserve">🌟 Executive Overview</w:t>
            </w:r>
          </w:p>
          <w:p>
            <w:pPr>
              <w:spacing w:after="0" w:before="0"/>
            </w:pPr>
            <w:r>
              <w:rPr>
                <w:rFonts w:ascii="Calibri" w:cs="Calibri" w:eastAsia="Calibri" w:hAnsi="Calibri"/>
                <w:color w:val="1E3A8A"/>
                <w:sz w:val="20"/>
                <w:szCs w:val="20"/>
              </w:rPr>
              <w:t xml:space="preserve">AI Student Tracker is an intelligent academic analytics and personalized diagnostic platform. It powers multi-dimensional mastery tracking across exams, quizzes, assignments, and class participation. It equips teachers with real-time classroom analytics and early intervention alerts, while empowering students with on-demand AI diagnostics and targeted study roadmaps to master their weakest subjects.</w:t>
            </w:r>
          </w:p>
        </w:tc>
      </w:tr>
    </w:tbl>
    <w:p>
      <w:pPr>
        <w:spacing w:after="60" w:before="200"/>
      </w:pPr>
    </w:p>
    <w:p>
      <w:pPr>
        <w:pStyle w:val="Heading1"/>
        <w:spacing w:after="140" w:before="360"/>
        <w:rPr>
          <w:rFonts w:ascii="Calibri" w:cs="Calibri" w:eastAsia="Calibri" w:hAnsi="Calibri"/>
          <w:b/>
          <w:bCs/>
          <w:color w:val="1E3A8A"/>
          <w:sz w:val="32"/>
          <w:szCs w:val="32"/>
        </w:rPr>
      </w:pPr>
      <w:r>
        <w:t xml:space="preserve">1. Core Concept: Multi-Dimensional Mastery</w:t>
      </w:r>
    </w:p>
    <w:p>
      <w:pPr>
        <w:spacing w:after="100" w:before="60"/>
      </w:pPr>
      <w:r>
        <w:rPr>
          <w:rFonts w:ascii="Calibri" w:cs="Calibri" w:eastAsia="Calibri" w:hAnsi="Calibri"/>
          <w:b w:val="false"/>
          <w:bCs w:val="false"/>
          <w:i w:val="false"/>
          <w:iCs w:val="false"/>
          <w:color w:val="334155"/>
          <w:sz w:val="22"/>
          <w:szCs w:val="22"/>
        </w:rPr>
        <w:t xml:space="preserve">Traditional grading systems often rely solely on one or two high-stakes exams, which can produce an incomplete or biased picture of a student’s actual learning journey. AI Student Tracker evaluates academic mastery across five continuous pedagogical dimensions:</w:t>
      </w:r>
    </w:p>
    <w:tbl>
      <w:tblPr>
        <w:tblW w:type="pct" w:w="5000"/>
        <w:tblBorders>
          <w:top w:val="single" w:color="CBD5E1" w:sz="4"/>
          <w:left w:val="single" w:color="CBD5E1" w:sz="4"/>
          <w:bottom w:val="single" w:color="CBD5E1" w:sz="4"/>
          <w:right w:val="single" w:color="CBD5E1" w:sz="4"/>
          <w:insideH w:val="single" w:color="E2E8F0" w:sz="2"/>
          <w:insideV w:val="single" w:color="E2E8F0" w:sz="2"/>
        </w:tblBorders>
      </w:tblPr>
      <w:tblGrid>
        <w:gridCol w:w="3009"/>
        <w:gridCol w:w="3009"/>
        <w:gridCol w:w="3009"/>
      </w:tblGrid>
      <w:tr>
        <w:trPr>
          <w:tblHeader/>
        </w:trPr>
        <w:tc>
          <w:tcPr>
            <w:shd w:fill="1E3A8A"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Assessment Type</w:t>
            </w:r>
          </w:p>
        </w:tc>
        <w:tc>
          <w:tcPr>
            <w:shd w:fill="1E3A8A"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Weight</w:t>
            </w:r>
          </w:p>
        </w:tc>
        <w:tc>
          <w:tcPr>
            <w:shd w:fill="1E3A8A"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Pedagogical Purpose</w:t>
            </w:r>
          </w:p>
        </w:tc>
      </w:tr>
      <w:tr>
        <w:tc>
          <w:tcPr>
            <w:shd w:fill="F8FAFC" w:val="clear"/>
            <w:tcMar>
              <w:top w:type="dxa" w:w="90"/>
              <w:left w:type="dxa" w:w="120"/>
              <w:bottom w:type="dxa" w:w="90"/>
              <w:right w:type="dxa" w:w="120"/>
            </w:tcMar>
          </w:tcPr>
          <w:p>
            <w:pPr>
              <w:jc w:val="left"/>
            </w:pPr>
            <w:r>
              <w:rPr>
                <w:rFonts w:ascii="Calibri" w:cs="Calibri" w:eastAsia="Calibri" w:hAnsi="Calibri"/>
                <w:b/>
                <w:bCs/>
                <w:color w:val="1E293B"/>
                <w:sz w:val="20"/>
                <w:szCs w:val="20"/>
              </w:rPr>
              <w:t xml:space="preserve">Exams</w:t>
            </w:r>
          </w:p>
        </w:tc>
        <w:tc>
          <w:tcPr>
            <w:shd w:fill="F8FAFC" w:val="clear"/>
            <w:tcMar>
              <w:top w:type="dxa" w:w="90"/>
              <w:left w:type="dxa" w:w="120"/>
              <w:bottom w:type="dxa" w:w="90"/>
              <w:right w:type="dxa" w:w="120"/>
            </w:tcMar>
          </w:tcPr>
          <w:p>
            <w:pPr>
              <w:jc w:val="center"/>
            </w:pPr>
            <w:r>
              <w:rPr>
                <w:rFonts w:ascii="Calibri" w:cs="Calibri" w:eastAsia="Calibri" w:hAnsi="Calibri"/>
                <w:b w:val="false"/>
                <w:bCs w:val="false"/>
                <w:color w:val="1E293B"/>
                <w:sz w:val="20"/>
                <w:szCs w:val="20"/>
              </w:rPr>
              <w:t xml:space="preserve">40%</w:t>
            </w:r>
          </w:p>
        </w:tc>
        <w:tc>
          <w:tcPr>
            <w:shd w:fill="F8FAFC" w:val="clear"/>
            <w:tcMar>
              <w:top w:type="dxa" w:w="90"/>
              <w:left w:type="dxa" w:w="120"/>
              <w:bottom w:type="dxa" w:w="90"/>
              <w:right w:type="dxa" w:w="120"/>
            </w:tcMar>
          </w:tcPr>
          <w:p>
            <w:pPr>
              <w:jc w:val="left"/>
            </w:pPr>
            <w:r>
              <w:rPr>
                <w:rFonts w:ascii="Calibri" w:cs="Calibri" w:eastAsia="Calibri" w:hAnsi="Calibri"/>
                <w:b w:val="false"/>
                <w:bCs w:val="false"/>
                <w:color w:val="1E293B"/>
                <w:sz w:val="20"/>
                <w:szCs w:val="20"/>
              </w:rPr>
              <w:t xml:space="preserve">Comprehensive summative evaluation of overall subject retention and application.</w:t>
            </w:r>
          </w:p>
        </w:tc>
      </w:tr>
      <w:tr>
        <w:tc>
          <w:tcPr>
            <w:shd w:fill="FFFFFF" w:val="clear"/>
            <w:tcMar>
              <w:top w:type="dxa" w:w="90"/>
              <w:left w:type="dxa" w:w="120"/>
              <w:bottom w:type="dxa" w:w="90"/>
              <w:right w:type="dxa" w:w="120"/>
            </w:tcMar>
          </w:tcPr>
          <w:p>
            <w:pPr>
              <w:jc w:val="left"/>
            </w:pPr>
            <w:r>
              <w:rPr>
                <w:rFonts w:ascii="Calibri" w:cs="Calibri" w:eastAsia="Calibri" w:hAnsi="Calibri"/>
                <w:b/>
                <w:bCs/>
                <w:color w:val="1E293B"/>
                <w:sz w:val="20"/>
                <w:szCs w:val="20"/>
              </w:rPr>
              <w:t xml:space="preserve">Tests</w:t>
            </w:r>
          </w:p>
        </w:tc>
        <w:tc>
          <w:tcPr>
            <w:shd w:fill="FFFFFF" w:val="clear"/>
            <w:tcMar>
              <w:top w:type="dxa" w:w="90"/>
              <w:left w:type="dxa" w:w="120"/>
              <w:bottom w:type="dxa" w:w="90"/>
              <w:right w:type="dxa" w:w="120"/>
            </w:tcMar>
          </w:tcPr>
          <w:p>
            <w:pPr>
              <w:jc w:val="center"/>
            </w:pPr>
            <w:r>
              <w:rPr>
                <w:rFonts w:ascii="Calibri" w:cs="Calibri" w:eastAsia="Calibri" w:hAnsi="Calibri"/>
                <w:b w:val="false"/>
                <w:bCs w:val="false"/>
                <w:color w:val="1E293B"/>
                <w:sz w:val="20"/>
                <w:szCs w:val="20"/>
              </w:rPr>
              <w:t xml:space="preserve">20%</w:t>
            </w:r>
          </w:p>
        </w:tc>
        <w:tc>
          <w:tcPr>
            <w:shd w:fill="FFFFFF" w:val="clear"/>
            <w:tcMar>
              <w:top w:type="dxa" w:w="90"/>
              <w:left w:type="dxa" w:w="120"/>
              <w:bottom w:type="dxa" w:w="90"/>
              <w:right w:type="dxa" w:w="120"/>
            </w:tcMar>
          </w:tcPr>
          <w:p>
            <w:pPr>
              <w:jc w:val="left"/>
            </w:pPr>
            <w:r>
              <w:rPr>
                <w:rFonts w:ascii="Calibri" w:cs="Calibri" w:eastAsia="Calibri" w:hAnsi="Calibri"/>
                <w:b w:val="false"/>
                <w:bCs w:val="false"/>
                <w:color w:val="1E293B"/>
                <w:sz w:val="20"/>
                <w:szCs w:val="20"/>
              </w:rPr>
              <w:t xml:space="preserve">Periodic milestone checks evaluating mid-term module and unit mastery.</w:t>
            </w:r>
          </w:p>
        </w:tc>
      </w:tr>
      <w:tr>
        <w:tc>
          <w:tcPr>
            <w:shd w:fill="F8FAFC" w:val="clear"/>
            <w:tcMar>
              <w:top w:type="dxa" w:w="90"/>
              <w:left w:type="dxa" w:w="120"/>
              <w:bottom w:type="dxa" w:w="90"/>
              <w:right w:type="dxa" w:w="120"/>
            </w:tcMar>
          </w:tcPr>
          <w:p>
            <w:pPr>
              <w:jc w:val="left"/>
            </w:pPr>
            <w:r>
              <w:rPr>
                <w:rFonts w:ascii="Calibri" w:cs="Calibri" w:eastAsia="Calibri" w:hAnsi="Calibri"/>
                <w:b/>
                <w:bCs/>
                <w:color w:val="1E293B"/>
                <w:sz w:val="20"/>
                <w:szCs w:val="20"/>
              </w:rPr>
              <w:t xml:space="preserve">Quizzes</w:t>
            </w:r>
          </w:p>
        </w:tc>
        <w:tc>
          <w:tcPr>
            <w:shd w:fill="F8FAFC" w:val="clear"/>
            <w:tcMar>
              <w:top w:type="dxa" w:w="90"/>
              <w:left w:type="dxa" w:w="120"/>
              <w:bottom w:type="dxa" w:w="90"/>
              <w:right w:type="dxa" w:w="120"/>
            </w:tcMar>
          </w:tcPr>
          <w:p>
            <w:pPr>
              <w:jc w:val="center"/>
            </w:pPr>
            <w:r>
              <w:rPr>
                <w:rFonts w:ascii="Calibri" w:cs="Calibri" w:eastAsia="Calibri" w:hAnsi="Calibri"/>
                <w:b w:val="false"/>
                <w:bCs w:val="false"/>
                <w:color w:val="1E293B"/>
                <w:sz w:val="20"/>
                <w:szCs w:val="20"/>
              </w:rPr>
              <w:t xml:space="preserve">15%</w:t>
            </w:r>
          </w:p>
        </w:tc>
        <w:tc>
          <w:tcPr>
            <w:shd w:fill="F8FAFC" w:val="clear"/>
            <w:tcMar>
              <w:top w:type="dxa" w:w="90"/>
              <w:left w:type="dxa" w:w="120"/>
              <w:bottom w:type="dxa" w:w="90"/>
              <w:right w:type="dxa" w:w="120"/>
            </w:tcMar>
          </w:tcPr>
          <w:p>
            <w:pPr>
              <w:jc w:val="left"/>
            </w:pPr>
            <w:r>
              <w:rPr>
                <w:rFonts w:ascii="Calibri" w:cs="Calibri" w:eastAsia="Calibri" w:hAnsi="Calibri"/>
                <w:b w:val="false"/>
                <w:bCs w:val="false"/>
                <w:color w:val="1E293B"/>
                <w:sz w:val="20"/>
                <w:szCs w:val="20"/>
              </w:rPr>
              <w:t xml:space="preserve">Low-stakes, frequent diagnostic knowledge checks for rapid feedback.</w:t>
            </w:r>
          </w:p>
        </w:tc>
      </w:tr>
      <w:tr>
        <w:tc>
          <w:tcPr>
            <w:shd w:fill="FFFFFF" w:val="clear"/>
            <w:tcMar>
              <w:top w:type="dxa" w:w="90"/>
              <w:left w:type="dxa" w:w="120"/>
              <w:bottom w:type="dxa" w:w="90"/>
              <w:right w:type="dxa" w:w="120"/>
            </w:tcMar>
          </w:tcPr>
          <w:p>
            <w:pPr>
              <w:jc w:val="left"/>
            </w:pPr>
            <w:r>
              <w:rPr>
                <w:rFonts w:ascii="Calibri" w:cs="Calibri" w:eastAsia="Calibri" w:hAnsi="Calibri"/>
                <w:b/>
                <w:bCs/>
                <w:color w:val="1E293B"/>
                <w:sz w:val="20"/>
                <w:szCs w:val="20"/>
              </w:rPr>
              <w:t xml:space="preserve">Assignments</w:t>
            </w:r>
          </w:p>
        </w:tc>
        <w:tc>
          <w:tcPr>
            <w:shd w:fill="FFFFFF" w:val="clear"/>
            <w:tcMar>
              <w:top w:type="dxa" w:w="90"/>
              <w:left w:type="dxa" w:w="120"/>
              <w:bottom w:type="dxa" w:w="90"/>
              <w:right w:type="dxa" w:w="120"/>
            </w:tcMar>
          </w:tcPr>
          <w:p>
            <w:pPr>
              <w:jc w:val="center"/>
            </w:pPr>
            <w:r>
              <w:rPr>
                <w:rFonts w:ascii="Calibri" w:cs="Calibri" w:eastAsia="Calibri" w:hAnsi="Calibri"/>
                <w:b w:val="false"/>
                <w:bCs w:val="false"/>
                <w:color w:val="1E293B"/>
                <w:sz w:val="20"/>
                <w:szCs w:val="20"/>
              </w:rPr>
              <w:t xml:space="preserve">15%</w:t>
            </w:r>
          </w:p>
        </w:tc>
        <w:tc>
          <w:tcPr>
            <w:shd w:fill="FFFFFF" w:val="clear"/>
            <w:tcMar>
              <w:top w:type="dxa" w:w="90"/>
              <w:left w:type="dxa" w:w="120"/>
              <w:bottom w:type="dxa" w:w="90"/>
              <w:right w:type="dxa" w:w="120"/>
            </w:tcMar>
          </w:tcPr>
          <w:p>
            <w:pPr>
              <w:jc w:val="left"/>
            </w:pPr>
            <w:r>
              <w:rPr>
                <w:rFonts w:ascii="Calibri" w:cs="Calibri" w:eastAsia="Calibri" w:hAnsi="Calibri"/>
                <w:b w:val="false"/>
                <w:bCs w:val="false"/>
                <w:color w:val="1E293B"/>
                <w:sz w:val="20"/>
                <w:szCs w:val="20"/>
              </w:rPr>
              <w:t xml:space="preserve">Continuous homework, problem sets, practical work, and lab write-ups.</w:t>
            </w:r>
          </w:p>
        </w:tc>
      </w:tr>
      <w:tr>
        <w:tc>
          <w:tcPr>
            <w:shd w:fill="F8FAFC" w:val="clear"/>
            <w:tcMar>
              <w:top w:type="dxa" w:w="90"/>
              <w:left w:type="dxa" w:w="120"/>
              <w:bottom w:type="dxa" w:w="90"/>
              <w:right w:type="dxa" w:w="120"/>
            </w:tcMar>
          </w:tcPr>
          <w:p>
            <w:pPr>
              <w:jc w:val="left"/>
            </w:pPr>
            <w:r>
              <w:rPr>
                <w:rFonts w:ascii="Calibri" w:cs="Calibri" w:eastAsia="Calibri" w:hAnsi="Calibri"/>
                <w:b/>
                <w:bCs/>
                <w:color w:val="1E293B"/>
                <w:sz w:val="20"/>
                <w:szCs w:val="20"/>
              </w:rPr>
              <w:t xml:space="preserve">Participation</w:t>
            </w:r>
          </w:p>
        </w:tc>
        <w:tc>
          <w:tcPr>
            <w:shd w:fill="F8FAFC" w:val="clear"/>
            <w:tcMar>
              <w:top w:type="dxa" w:w="90"/>
              <w:left w:type="dxa" w:w="120"/>
              <w:bottom w:type="dxa" w:w="90"/>
              <w:right w:type="dxa" w:w="120"/>
            </w:tcMar>
          </w:tcPr>
          <w:p>
            <w:pPr>
              <w:jc w:val="center"/>
            </w:pPr>
            <w:r>
              <w:rPr>
                <w:rFonts w:ascii="Calibri" w:cs="Calibri" w:eastAsia="Calibri" w:hAnsi="Calibri"/>
                <w:b w:val="false"/>
                <w:bCs w:val="false"/>
                <w:color w:val="1E293B"/>
                <w:sz w:val="20"/>
                <w:szCs w:val="20"/>
              </w:rPr>
              <w:t xml:space="preserve">10%</w:t>
            </w:r>
          </w:p>
        </w:tc>
        <w:tc>
          <w:tcPr>
            <w:shd w:fill="F8FAFC" w:val="clear"/>
            <w:tcMar>
              <w:top w:type="dxa" w:w="90"/>
              <w:left w:type="dxa" w:w="120"/>
              <w:bottom w:type="dxa" w:w="90"/>
              <w:right w:type="dxa" w:w="120"/>
            </w:tcMar>
          </w:tcPr>
          <w:p>
            <w:pPr>
              <w:jc w:val="left"/>
            </w:pPr>
            <w:r>
              <w:rPr>
                <w:rFonts w:ascii="Calibri" w:cs="Calibri" w:eastAsia="Calibri" w:hAnsi="Calibri"/>
                <w:b w:val="false"/>
                <w:bCs w:val="false"/>
                <w:color w:val="1E293B"/>
                <w:sz w:val="20"/>
                <w:szCs w:val="20"/>
              </w:rPr>
              <w:t xml:space="preserve">Active classroom engagement, questions asked, curiosity, and collaboration.</w:t>
            </w:r>
          </w:p>
        </w:tc>
      </w:tr>
    </w:tbl>
    <w:p>
      <w:pPr>
        <w:spacing w:after="60" w:before="120"/>
      </w:pPr>
    </w:p>
    <w:tbl>
      <w:tblPr>
        <w:tblW w:type="pct" w:w="5000"/>
        <w:tblBorders>
          <w:top w:val="none"/>
          <w:left w:val="single" w:color="2563EB" w:sz="24"/>
          <w:bottom w:val="none"/>
          <w:right w:val="none"/>
          <w:insideH w:val="single" w:color="auto" w:sz="4"/>
          <w:insideV w:val="single" w:color="auto" w:sz="4"/>
        </w:tblBorders>
      </w:tblPr>
      <w:tblGrid>
        <w:gridCol w:w="9026"/>
      </w:tblGrid>
      <w:tr>
        <w:tc>
          <w:tcPr>
            <w:shd w:fill="EFF6FF" w:val="clear"/>
            <w:tcMar>
              <w:top w:type="dxa" w:w="120"/>
              <w:left w:type="dxa" w:w="160"/>
              <w:bottom w:type="dxa" w:w="120"/>
              <w:right w:type="dxa" w:w="160"/>
            </w:tcMar>
          </w:tcPr>
          <w:p>
            <w:pPr>
              <w:spacing w:after="40" w:before="0"/>
            </w:pPr>
            <w:r>
              <w:rPr>
                <w:rFonts w:ascii="Calibri" w:cs="Calibri" w:eastAsia="Calibri" w:hAnsi="Calibri"/>
                <w:b/>
                <w:bCs/>
                <w:color w:val="1E40AF"/>
                <w:sz w:val="22"/>
                <w:szCs w:val="22"/>
              </w:rPr>
              <w:t xml:space="preserve">📐 The Mastery Calculation Formula</w:t>
            </w:r>
          </w:p>
          <w:p>
            <w:pPr>
              <w:spacing w:after="0" w:before="0"/>
            </w:pPr>
            <w:r>
              <w:rPr>
                <w:rFonts w:ascii="Calibri" w:cs="Calibri" w:eastAsia="Calibri" w:hAnsi="Calibri"/>
                <w:color w:val="1E3A8A"/>
                <w:sz w:val="20"/>
                <w:szCs w:val="20"/>
              </w:rPr>
              <w:t xml:space="preserve">Composite Mastery % = (Exam Average × 0.40) + (Test Average × 0.20) + (Quiz Average × 0.15) + (Assignment Average × 0.15) + (Participation Average × 0.10)</w:t>
            </w:r>
          </w:p>
        </w:tc>
      </w:tr>
    </w:tbl>
    <w:p>
      <w:pPr>
        <w:pStyle w:val="Heading1"/>
        <w:spacing w:after="140" w:before="360"/>
        <w:rPr>
          <w:rFonts w:ascii="Calibri" w:cs="Calibri" w:eastAsia="Calibri" w:hAnsi="Calibri"/>
          <w:b/>
          <w:bCs/>
          <w:color w:val="1E3A8A"/>
          <w:sz w:val="32"/>
          <w:szCs w:val="32"/>
        </w:rPr>
      </w:pPr>
      <w:r>
        <w:t xml:space="preserve">2. Getting Started &amp; Authentication</w:t>
      </w:r>
    </w:p>
    <w:p>
      <w:pPr>
        <w:spacing w:after="100" w:before="60"/>
      </w:pPr>
      <w:r>
        <w:rPr>
          <w:rFonts w:ascii="Calibri" w:cs="Calibri" w:eastAsia="Calibri" w:hAnsi="Calibri"/>
          <w:b w:val="false"/>
          <w:bCs w:val="false"/>
          <w:i w:val="false"/>
          <w:iCs w:val="false"/>
          <w:color w:val="334155"/>
          <w:sz w:val="22"/>
          <w:szCs w:val="22"/>
        </w:rPr>
        <w:t xml:space="preserve">The platform features a unified, responsive web interface accessible from any modern web browser on desktop, laptop, tablet, or smartphone.</w:t>
      </w:r>
    </w:p>
    <w:p>
      <w:pPr>
        <w:pStyle w:val="Heading2"/>
        <w:spacing w:after="100" w:before="260"/>
        <w:rPr>
          <w:rFonts w:ascii="Calibri" w:cs="Calibri" w:eastAsia="Calibri" w:hAnsi="Calibri"/>
          <w:b/>
          <w:bCs/>
          <w:color w:val="2563EB"/>
          <w:sz w:val="26"/>
          <w:szCs w:val="26"/>
        </w:rPr>
      </w:pPr>
      <w:r>
        <w:t xml:space="preserve">Teacher Registration</w:t>
      </w:r>
    </w:p>
    <w:p>
      <w:pPr>
        <w:pStyle w:val="ListParagraph"/>
        <w:numPr>
          <w:ilvl w:val="0"/>
          <w:numId w:val="1"/>
        </w:numPr>
        <w:spacing w:after="60" w:before="40"/>
      </w:pPr>
      <w:r>
        <w:rPr>
          <w:rFonts w:ascii="Calibri" w:cs="Calibri" w:eastAsia="Calibri" w:hAnsi="Calibri"/>
          <w:color w:val="334155"/>
          <w:sz w:val="22"/>
          <w:szCs w:val="22"/>
        </w:rPr>
        <w:t xml:space="preserve">1. Open https://ai-student-tracker-nine.vercel.app and click the Sign Up tab.</w:t>
      </w:r>
    </w:p>
    <w:p>
      <w:pPr>
        <w:pStyle w:val="ListParagraph"/>
        <w:numPr>
          <w:ilvl w:val="0"/>
          <w:numId w:val="1"/>
        </w:numPr>
        <w:spacing w:after="60" w:before="40"/>
      </w:pPr>
      <w:r>
        <w:rPr>
          <w:rFonts w:ascii="Calibri" w:cs="Calibri" w:eastAsia="Calibri" w:hAnsi="Calibri"/>
          <w:color w:val="334155"/>
          <w:sz w:val="22"/>
          <w:szCs w:val="22"/>
        </w:rPr>
        <w:t xml:space="preserve">2. Enter your Full Name, Email Address, and a secure Password (min. 6 characters).</w:t>
      </w:r>
    </w:p>
    <w:p>
      <w:pPr>
        <w:pStyle w:val="ListParagraph"/>
        <w:numPr>
          <w:ilvl w:val="0"/>
          <w:numId w:val="1"/>
        </w:numPr>
        <w:spacing w:after="60" w:before="40"/>
      </w:pPr>
      <w:r>
        <w:rPr>
          <w:rFonts w:ascii="Calibri" w:cs="Calibri" w:eastAsia="Calibri" w:hAnsi="Calibri"/>
          <w:color w:val="334155"/>
          <w:sz w:val="22"/>
          <w:szCs w:val="22"/>
        </w:rPr>
        <w:t xml:space="preserve">3. Under "I am registering as:", choose "Teacher (Classroom Analytics Cockpit)".</w:t>
      </w:r>
    </w:p>
    <w:p>
      <w:pPr>
        <w:pStyle w:val="ListParagraph"/>
        <w:numPr>
          <w:ilvl w:val="0"/>
          <w:numId w:val="1"/>
        </w:numPr>
        <w:spacing w:after="60" w:before="40"/>
      </w:pPr>
      <w:r>
        <w:rPr>
          <w:rFonts w:ascii="Calibri" w:cs="Calibri" w:eastAsia="Calibri" w:hAnsi="Calibri"/>
          <w:color w:val="334155"/>
          <w:sz w:val="22"/>
          <w:szCs w:val="22"/>
        </w:rPr>
        <w:t xml:space="preserve">4. Select your Subject Taught from the dropdown (Physics, Chemistry, Mathematics, Biology, English, Economics, Geography, Agricultural Science, Civic Education, Computer Science, Animal Husbandry, History).</w:t>
      </w:r>
    </w:p>
    <w:p>
      <w:pPr>
        <w:pStyle w:val="ListParagraph"/>
        <w:numPr>
          <w:ilvl w:val="0"/>
          <w:numId w:val="1"/>
        </w:numPr>
        <w:spacing w:after="60" w:before="40"/>
      </w:pPr>
      <w:r>
        <w:rPr>
          <w:rFonts w:ascii="Calibri" w:cs="Calibri" w:eastAsia="Calibri" w:hAnsi="Calibri"/>
          <w:color w:val="334155"/>
          <w:sz w:val="22"/>
          <w:szCs w:val="22"/>
        </w:rPr>
        <w:t xml:space="preserve">5. Click "Create Account" to immediately enter your classroom cockpit.</w:t>
      </w:r>
    </w:p>
    <w:p>
      <w:pPr>
        <w:pStyle w:val="Heading2"/>
        <w:spacing w:after="100" w:before="260"/>
        <w:rPr>
          <w:rFonts w:ascii="Calibri" w:cs="Calibri" w:eastAsia="Calibri" w:hAnsi="Calibri"/>
          <w:b/>
          <w:bCs/>
          <w:color w:val="2563EB"/>
          <w:sz w:val="26"/>
          <w:szCs w:val="26"/>
        </w:rPr>
      </w:pPr>
      <w:r>
        <w:t xml:space="preserve">Student Registration</w:t>
      </w:r>
    </w:p>
    <w:p>
      <w:pPr>
        <w:pStyle w:val="ListParagraph"/>
        <w:numPr>
          <w:ilvl w:val="0"/>
          <w:numId w:val="1"/>
        </w:numPr>
        <w:spacing w:after="60" w:before="40"/>
      </w:pPr>
      <w:r>
        <w:rPr>
          <w:rFonts w:ascii="Calibri" w:cs="Calibri" w:eastAsia="Calibri" w:hAnsi="Calibri"/>
          <w:color w:val="334155"/>
          <w:sz w:val="22"/>
          <w:szCs w:val="22"/>
        </w:rPr>
        <w:t xml:space="preserve">1. Click the Sign Up tab on the application screen.</w:t>
      </w:r>
    </w:p>
    <w:p>
      <w:pPr>
        <w:pStyle w:val="ListParagraph"/>
        <w:numPr>
          <w:ilvl w:val="0"/>
          <w:numId w:val="1"/>
        </w:numPr>
        <w:spacing w:after="60" w:before="40"/>
      </w:pPr>
      <w:r>
        <w:rPr>
          <w:rFonts w:ascii="Calibri" w:cs="Calibri" w:eastAsia="Calibri" w:hAnsi="Calibri"/>
          <w:color w:val="334155"/>
          <w:sz w:val="22"/>
          <w:szCs w:val="22"/>
        </w:rPr>
        <w:t xml:space="preserve">2. Enter your Full Name, Email Address, and your preferred Password.</w:t>
      </w:r>
    </w:p>
    <w:p>
      <w:pPr>
        <w:pStyle w:val="ListParagraph"/>
        <w:numPr>
          <w:ilvl w:val="0"/>
          <w:numId w:val="1"/>
        </w:numPr>
        <w:spacing w:after="60" w:before="40"/>
      </w:pPr>
      <w:r>
        <w:rPr>
          <w:rFonts w:ascii="Calibri" w:cs="Calibri" w:eastAsia="Calibri" w:hAnsi="Calibri"/>
          <w:color w:val="334155"/>
          <w:sz w:val="22"/>
          <w:szCs w:val="22"/>
        </w:rPr>
        <w:t xml:space="preserve">3. Under "I am registering as:", choose "Student (Personal Learning Portal)".</w:t>
      </w:r>
    </w:p>
    <w:p>
      <w:pPr>
        <w:pStyle w:val="ListParagraph"/>
        <w:numPr>
          <w:ilvl w:val="0"/>
          <w:numId w:val="1"/>
        </w:numPr>
        <w:spacing w:after="60" w:before="40"/>
      </w:pPr>
      <w:r>
        <w:rPr>
          <w:rFonts w:ascii="Calibri" w:cs="Calibri" w:eastAsia="Calibri" w:hAnsi="Calibri"/>
          <w:color w:val="334155"/>
          <w:sz w:val="22"/>
          <w:szCs w:val="22"/>
        </w:rPr>
        <w:t xml:space="preserve">4. Enter the unique 6-Character Access Code provided by your teacher (e.g., NG7YLD).</w:t>
      </w:r>
    </w:p>
    <w:p>
      <w:pPr>
        <w:pStyle w:val="ListParagraph"/>
        <w:numPr>
          <w:ilvl w:val="0"/>
          <w:numId w:val="1"/>
        </w:numPr>
        <w:spacing w:after="60" w:before="40"/>
      </w:pPr>
      <w:r>
        <w:rPr>
          <w:rFonts w:ascii="Calibri" w:cs="Calibri" w:eastAsia="Calibri" w:hAnsi="Calibri"/>
          <w:color w:val="334155"/>
          <w:sz w:val="22"/>
          <w:szCs w:val="22"/>
        </w:rPr>
        <w:t xml:space="preserve">5. Click "Create Account" to open your personal learning portal.</w:t>
      </w:r>
    </w:p>
    <w:p>
      <w:pPr>
        <w:pStyle w:val="Heading2"/>
        <w:spacing w:after="100" w:before="260"/>
        <w:rPr>
          <w:rFonts w:ascii="Calibri" w:cs="Calibri" w:eastAsia="Calibri" w:hAnsi="Calibri"/>
          <w:b/>
          <w:bCs/>
          <w:color w:val="2563EB"/>
          <w:sz w:val="26"/>
          <w:szCs w:val="26"/>
        </w:rPr>
      </w:pPr>
      <w:r>
        <w:t xml:space="preserve">Streamlined Daily Login</w:t>
      </w:r>
    </w:p>
    <w:p>
      <w:pPr>
        <w:spacing w:after="100" w:before="60"/>
      </w:pPr>
      <w:r>
        <w:rPr>
          <w:rFonts w:ascii="Calibri" w:cs="Calibri" w:eastAsia="Calibri" w:hAnsi="Calibri"/>
          <w:b w:val="false"/>
          <w:bCs w:val="false"/>
          <w:i w:val="false"/>
          <w:iCs w:val="false"/>
          <w:color w:val="334155"/>
          <w:sz w:val="22"/>
          <w:szCs w:val="22"/>
        </w:rPr>
        <w:t xml:space="preserve">Unlike older portals, users do NOT need to re-select their role or subject every day. Simply enter your registered Email Address and Password and click "Sign In to Dashboard". The system automatically verifies your credentials in Firestore, detects whether you are a Teacher or a Student, and loads your specific subject domain.</w:t>
      </w:r>
    </w:p>
    <w:p>
      <w:pPr>
        <w:pStyle w:val="Heading1"/>
        <w:spacing w:after="140" w:before="360"/>
        <w:rPr>
          <w:rFonts w:ascii="Calibri" w:cs="Calibri" w:eastAsia="Calibri" w:hAnsi="Calibri"/>
          <w:b/>
          <w:bCs/>
          <w:color w:val="1E3A8A"/>
          <w:sz w:val="32"/>
          <w:szCs w:val="32"/>
        </w:rPr>
      </w:pPr>
      <w:r>
        <w:t xml:space="preserve">3. Teacher Analytics Cockpit Guide</w:t>
      </w:r>
    </w:p>
    <w:p>
      <w:pPr>
        <w:spacing w:after="100" w:before="60"/>
      </w:pPr>
      <w:r>
        <w:rPr>
          <w:rFonts w:ascii="Calibri" w:cs="Calibri" w:eastAsia="Calibri" w:hAnsi="Calibri"/>
          <w:b w:val="false"/>
          <w:bCs w:val="false"/>
          <w:i w:val="false"/>
          <w:iCs w:val="false"/>
          <w:color w:val="334155"/>
          <w:sz w:val="22"/>
          <w:szCs w:val="22"/>
        </w:rPr>
        <w:t xml:space="preserve">The Teacher Cockpit strictly isolates your subject domain so you only manage and grade records in your assigned academic area, preventing data collision between educators.</w:t>
      </w:r>
    </w:p>
    <w:p>
      <w:pPr>
        <w:pStyle w:val="Heading2"/>
        <w:spacing w:after="100" w:before="260"/>
        <w:rPr>
          <w:rFonts w:ascii="Calibri" w:cs="Calibri" w:eastAsia="Calibri" w:hAnsi="Calibri"/>
          <w:b/>
          <w:bCs/>
          <w:color w:val="2563EB"/>
          <w:sz w:val="26"/>
          <w:szCs w:val="26"/>
        </w:rPr>
      </w:pPr>
      <w:r>
        <w:t xml:space="preserve">Key Dashboard Metric Cards</w:t>
      </w:r>
    </w:p>
    <w:p>
      <w:pPr>
        <w:pStyle w:val="ListParagraph"/>
        <w:numPr>
          <w:ilvl w:val="0"/>
          <w:numId w:val="1"/>
        </w:numPr>
        <w:spacing w:after="60" w:before="40"/>
      </w:pPr>
      <w:r>
        <w:rPr>
          <w:rFonts w:ascii="Calibri" w:cs="Calibri" w:eastAsia="Calibri" w:hAnsi="Calibri"/>
          <w:b/>
          <w:bCs/>
          <w:color w:val="0F172A"/>
          <w:sz w:val="22"/>
          <w:szCs w:val="22"/>
        </w:rPr>
        <w:t xml:space="preserve">• Class Size: </w:t>
      </w:r>
      <w:r>
        <w:rPr>
          <w:rFonts w:ascii="Calibri" w:cs="Calibri" w:eastAsia="Calibri" w:hAnsi="Calibri"/>
          <w:color w:val="334155"/>
          <w:sz w:val="22"/>
          <w:szCs w:val="22"/>
        </w:rPr>
        <w:t xml:space="preserve">Total number of students enrolled in your subject roster.</w:t>
      </w:r>
    </w:p>
    <w:p>
      <w:pPr>
        <w:pStyle w:val="ListParagraph"/>
        <w:numPr>
          <w:ilvl w:val="0"/>
          <w:numId w:val="1"/>
        </w:numPr>
        <w:spacing w:after="60" w:before="40"/>
      </w:pPr>
      <w:r>
        <w:rPr>
          <w:rFonts w:ascii="Calibri" w:cs="Calibri" w:eastAsia="Calibri" w:hAnsi="Calibri"/>
          <w:b/>
          <w:bCs/>
          <w:color w:val="0F172A"/>
          <w:sz w:val="22"/>
          <w:szCs w:val="22"/>
        </w:rPr>
        <w:t xml:space="preserve">• Class Average: </w:t>
      </w:r>
      <w:r>
        <w:rPr>
          <w:rFonts w:ascii="Calibri" w:cs="Calibri" w:eastAsia="Calibri" w:hAnsi="Calibri"/>
          <w:color w:val="334155"/>
          <w:sz w:val="22"/>
          <w:szCs w:val="22"/>
        </w:rPr>
        <w:t xml:space="preserve">Combined weighted average percentage across all recorded scores in your subject.</w:t>
      </w:r>
    </w:p>
    <w:p>
      <w:pPr>
        <w:pStyle w:val="ListParagraph"/>
        <w:numPr>
          <w:ilvl w:val="0"/>
          <w:numId w:val="1"/>
        </w:numPr>
        <w:spacing w:after="60" w:before="40"/>
      </w:pPr>
      <w:r>
        <w:rPr>
          <w:rFonts w:ascii="Calibri" w:cs="Calibri" w:eastAsia="Calibri" w:hAnsi="Calibri"/>
          <w:b/>
          <w:bCs/>
          <w:color w:val="0F172A"/>
          <w:sz w:val="22"/>
          <w:szCs w:val="22"/>
        </w:rPr>
        <w:t xml:space="preserve">• Total Assessments: </w:t>
      </w:r>
      <w:r>
        <w:rPr>
          <w:rFonts w:ascii="Calibri" w:cs="Calibri" w:eastAsia="Calibri" w:hAnsi="Calibri"/>
          <w:color w:val="334155"/>
          <w:sz w:val="22"/>
          <w:szCs w:val="22"/>
        </w:rPr>
        <w:t xml:space="preserve">Cumulative count of all assignments, quizzes, tests, participation, and exam entries.</w:t>
      </w:r>
    </w:p>
    <w:p>
      <w:pPr>
        <w:pStyle w:val="ListParagraph"/>
        <w:numPr>
          <w:ilvl w:val="0"/>
          <w:numId w:val="1"/>
        </w:numPr>
        <w:spacing w:after="60" w:before="40"/>
      </w:pPr>
      <w:r>
        <w:rPr>
          <w:rFonts w:ascii="Calibri" w:cs="Calibri" w:eastAsia="Calibri" w:hAnsi="Calibri"/>
          <w:b/>
          <w:bCs/>
          <w:color w:val="0F172A"/>
          <w:sz w:val="22"/>
          <w:szCs w:val="22"/>
        </w:rPr>
        <w:t xml:space="preserve">• Early Intervention Alerts: </w:t>
      </w:r>
      <w:r>
        <w:rPr>
          <w:rFonts w:ascii="Calibri" w:cs="Calibri" w:eastAsia="Calibri" w:hAnsi="Calibri"/>
          <w:color w:val="334155"/>
          <w:sz w:val="22"/>
          <w:szCs w:val="22"/>
        </w:rPr>
        <w:t xml:space="preserve">Instant count of students currently falling below the 60% mastery threshold.</w:t>
      </w:r>
    </w:p>
    <w:p>
      <w:pPr>
        <w:spacing w:after="100" w:before="60"/>
      </w:pPr>
      <w:r>
        <w:rPr>
          <w:rFonts w:ascii="Calibri" w:cs="Calibri" w:eastAsia="Calibri" w:hAnsi="Calibri"/>
          <w:b w:val="false"/>
          <w:bCs w:val="false"/>
          <w:i w:val="false"/>
          <w:iCs w:val="false"/>
          <w:color w:val="334155"/>
          <w:sz w:val="22"/>
          <w:szCs w:val="22"/>
        </w:rPr>
        <w:t xml:space="preserve">💡 Pro Tip: Click any summary card to launch an interactive drill-down modal detailing specific student names and scores.</w:t>
      </w:r>
    </w:p>
    <w:p>
      <w:pPr>
        <w:pStyle w:val="Heading2"/>
        <w:spacing w:after="100" w:before="260"/>
        <w:rPr>
          <w:rFonts w:ascii="Calibri" w:cs="Calibri" w:eastAsia="Calibri" w:hAnsi="Calibri"/>
          <w:b/>
          <w:bCs/>
          <w:color w:val="2563EB"/>
          <w:sz w:val="26"/>
          <w:szCs w:val="26"/>
        </w:rPr>
      </w:pPr>
      <w:r>
        <w:t xml:space="preserve">Class-Wide Assessment Matrix</w:t>
      </w:r>
    </w:p>
    <w:p>
      <w:pPr>
        <w:spacing w:after="100" w:before="60"/>
      </w:pPr>
      <w:r>
        <w:rPr>
          <w:rFonts w:ascii="Calibri" w:cs="Calibri" w:eastAsia="Calibri" w:hAnsi="Calibri"/>
          <w:b w:val="false"/>
          <w:bCs w:val="false"/>
          <w:i w:val="false"/>
          <w:iCs w:val="false"/>
          <w:color w:val="334155"/>
          <w:sz w:val="22"/>
          <w:szCs w:val="22"/>
        </w:rPr>
        <w:t xml:space="preserve">Submissions are organized into a standardized matrix ordered consistently for all classrooms: Assignment → Quiz → Test → Participation → Exam.</w:t>
      </w:r>
    </w:p>
    <w:p>
      <w:pPr>
        <w:pStyle w:val="ListParagraph"/>
        <w:numPr>
          <w:ilvl w:val="0"/>
          <w:numId w:val="1"/>
        </w:numPr>
        <w:spacing w:after="60" w:before="40"/>
      </w:pPr>
      <w:r>
        <w:rPr>
          <w:rFonts w:ascii="Calibri" w:cs="Calibri" w:eastAsia="Calibri" w:hAnsi="Calibri"/>
          <w:b/>
          <w:bCs/>
          <w:color w:val="0F172A"/>
          <w:sz w:val="22"/>
          <w:szCs w:val="22"/>
        </w:rPr>
        <w:t xml:space="preserve">1. No. of Student Records: </w:t>
      </w:r>
      <w:r>
        <w:rPr>
          <w:rFonts w:ascii="Calibri" w:cs="Calibri" w:eastAsia="Calibri" w:hAnsi="Calibri"/>
          <w:color w:val="334155"/>
          <w:sz w:val="22"/>
          <w:szCs w:val="22"/>
        </w:rPr>
        <w:t xml:space="preserve">Submission volume under each assessment type.</w:t>
      </w:r>
    </w:p>
    <w:p>
      <w:pPr>
        <w:pStyle w:val="ListParagraph"/>
        <w:numPr>
          <w:ilvl w:val="0"/>
          <w:numId w:val="1"/>
        </w:numPr>
        <w:spacing w:after="60" w:before="40"/>
      </w:pPr>
      <w:r>
        <w:rPr>
          <w:rFonts w:ascii="Calibri" w:cs="Calibri" w:eastAsia="Calibri" w:hAnsi="Calibri"/>
          <w:b/>
          <w:bCs/>
          <w:color w:val="0F172A"/>
          <w:sz w:val="22"/>
          <w:szCs w:val="22"/>
        </w:rPr>
        <w:t xml:space="preserve">2. Class Average: </w:t>
      </w:r>
      <w:r>
        <w:rPr>
          <w:rFonts w:ascii="Calibri" w:cs="Calibri" w:eastAsia="Calibri" w:hAnsi="Calibri"/>
          <w:color w:val="334155"/>
          <w:sz w:val="22"/>
          <w:szCs w:val="22"/>
        </w:rPr>
        <w:t xml:space="preserve">Class average percentage for that specific category.</w:t>
      </w:r>
    </w:p>
    <w:p>
      <w:pPr>
        <w:pStyle w:val="ListParagraph"/>
        <w:numPr>
          <w:ilvl w:val="0"/>
          <w:numId w:val="1"/>
        </w:numPr>
        <w:spacing w:after="60" w:before="40"/>
      </w:pPr>
      <w:r>
        <w:rPr>
          <w:rFonts w:ascii="Calibri" w:cs="Calibri" w:eastAsia="Calibri" w:hAnsi="Calibri"/>
          <w:b/>
          <w:bCs/>
          <w:color w:val="0F172A"/>
          <w:sz w:val="22"/>
          <w:szCs w:val="22"/>
        </w:rPr>
        <w:t xml:space="preserve">3. Status Badge: </w:t>
      </w:r>
      <w:r>
        <w:rPr>
          <w:rFonts w:ascii="Calibri" w:cs="Calibri" w:eastAsia="Calibri" w:hAnsi="Calibri"/>
          <w:color w:val="334155"/>
          <w:sz w:val="22"/>
          <w:szCs w:val="22"/>
        </w:rPr>
        <w:t xml:space="preserve">Mastered (≥75%), In Progress (60%–74%), or Needs Review (&lt;60%).</w:t>
      </w:r>
    </w:p>
    <w:p>
      <w:pPr>
        <w:pStyle w:val="Heading2"/>
        <w:spacing w:after="100" w:before="260"/>
        <w:rPr>
          <w:rFonts w:ascii="Calibri" w:cs="Calibri" w:eastAsia="Calibri" w:hAnsi="Calibri"/>
          <w:b/>
          <w:bCs/>
          <w:color w:val="2563EB"/>
          <w:sz w:val="26"/>
          <w:szCs w:val="26"/>
        </w:rPr>
      </w:pPr>
      <w:r>
        <w:t xml:space="preserve">Roster Management &amp; Cross-Teacher Permanent Codes</w:t>
      </w:r>
    </w:p>
    <w:p>
      <w:pPr>
        <w:spacing w:after="100" w:before="60"/>
      </w:pPr>
      <w:r>
        <w:rPr>
          <w:rFonts w:ascii="Calibri" w:cs="Calibri" w:eastAsia="Calibri" w:hAnsi="Calibri"/>
          <w:b w:val="false"/>
          <w:bCs w:val="false"/>
          <w:i w:val="false"/>
          <w:iCs w:val="false"/>
          <w:color w:val="334155"/>
          <w:sz w:val="22"/>
          <w:szCs w:val="22"/>
        </w:rPr>
        <w:t xml:space="preserve">A standout feature of AI Student Tracker is the Permanent Cross-Teacher Access Code:</w:t>
      </w:r>
    </w:p>
    <w:p>
      <w:pPr>
        <w:pStyle w:val="ListParagraph"/>
        <w:numPr>
          <w:ilvl w:val="0"/>
          <w:numId w:val="1"/>
        </w:numPr>
        <w:spacing w:after="60" w:before="40"/>
      </w:pPr>
      <w:r>
        <w:rPr>
          <w:rFonts w:ascii="Calibri" w:cs="Calibri" w:eastAsia="Calibri" w:hAnsi="Calibri"/>
          <w:color w:val="334155"/>
          <w:sz w:val="22"/>
          <w:szCs w:val="22"/>
        </w:rPr>
        <w:t xml:space="preserve">When a teacher adds a student (e.g., Raymond Philip in SSS 1), the system issues a single permanent 6-character code (e.g., NG7YLD).</w:t>
      </w:r>
    </w:p>
    <w:p>
      <w:pPr>
        <w:pStyle w:val="ListParagraph"/>
        <w:numPr>
          <w:ilvl w:val="0"/>
          <w:numId w:val="1"/>
        </w:numPr>
        <w:spacing w:after="60" w:before="40"/>
      </w:pPr>
      <w:r>
        <w:rPr>
          <w:rFonts w:ascii="Calibri" w:cs="Calibri" w:eastAsia="Calibri" w:hAnsi="Calibri"/>
          <w:color w:val="334155"/>
          <w:sz w:val="22"/>
          <w:szCs w:val="22"/>
        </w:rPr>
        <w:t xml:space="preserve">When a different subject teacher (e.g., Physics or Mathematics) adds the same student in the same class (or Grade 10), the system automatically links the existing student record.</w:t>
      </w:r>
    </w:p>
    <w:p>
      <w:pPr>
        <w:pStyle w:val="ListParagraph"/>
        <w:numPr>
          <w:ilvl w:val="0"/>
          <w:numId w:val="1"/>
        </w:numPr>
        <w:spacing w:after="60" w:before="40"/>
      </w:pPr>
      <w:r>
        <w:rPr>
          <w:rFonts w:ascii="Calibri" w:cs="Calibri" w:eastAsia="Calibri" w:hAnsi="Calibri"/>
          <w:color w:val="334155"/>
          <w:sz w:val="22"/>
          <w:szCs w:val="22"/>
        </w:rPr>
        <w:t xml:space="preserve">Students keep their ONE permanent code regardless of how many teachers enroll them. No duplicate student accounts are created!</w:t>
      </w:r>
    </w:p>
    <w:p>
      <w:pPr>
        <w:pStyle w:val="Heading2"/>
        <w:spacing w:after="100" w:before="260"/>
        <w:rPr>
          <w:rFonts w:ascii="Calibri" w:cs="Calibri" w:eastAsia="Calibri" w:hAnsi="Calibri"/>
          <w:b/>
          <w:bCs/>
          <w:color w:val="2563EB"/>
          <w:sz w:val="26"/>
          <w:szCs w:val="26"/>
        </w:rPr>
      </w:pPr>
      <w:r>
        <w:t xml:space="preserve">Recording Assessments</w:t>
      </w:r>
    </w:p>
    <w:p>
      <w:pPr>
        <w:pStyle w:val="ListParagraph"/>
        <w:numPr>
          <w:ilvl w:val="0"/>
          <w:numId w:val="1"/>
        </w:numPr>
        <w:spacing w:after="60" w:before="40"/>
      </w:pPr>
      <w:r>
        <w:rPr>
          <w:rFonts w:ascii="Calibri" w:cs="Calibri" w:eastAsia="Calibri" w:hAnsi="Calibri"/>
          <w:color w:val="334155"/>
          <w:sz w:val="22"/>
          <w:szCs w:val="22"/>
        </w:rPr>
        <w:t xml:space="preserve">1. Navigate to the "Record Assessment" tab.</w:t>
      </w:r>
    </w:p>
    <w:p>
      <w:pPr>
        <w:pStyle w:val="ListParagraph"/>
        <w:numPr>
          <w:ilvl w:val="0"/>
          <w:numId w:val="1"/>
        </w:numPr>
        <w:spacing w:after="60" w:before="40"/>
      </w:pPr>
      <w:r>
        <w:rPr>
          <w:rFonts w:ascii="Calibri" w:cs="Calibri" w:eastAsia="Calibri" w:hAnsi="Calibri"/>
          <w:color w:val="334155"/>
          <w:sz w:val="22"/>
          <w:szCs w:val="22"/>
        </w:rPr>
        <w:t xml:space="preserve">2. Select the student from your class roster dropdown.</w:t>
      </w:r>
    </w:p>
    <w:p>
      <w:pPr>
        <w:pStyle w:val="ListParagraph"/>
        <w:numPr>
          <w:ilvl w:val="0"/>
          <w:numId w:val="1"/>
        </w:numPr>
        <w:spacing w:after="60" w:before="40"/>
      </w:pPr>
      <w:r>
        <w:rPr>
          <w:rFonts w:ascii="Calibri" w:cs="Calibri" w:eastAsia="Calibri" w:hAnsi="Calibri"/>
          <w:color w:val="334155"/>
          <w:sz w:val="22"/>
          <w:szCs w:val="22"/>
        </w:rPr>
        <w:t xml:space="preserve">3. Choose the assessment type: Assignment (15%), Quiz (15%), Test (20%), Participation (10%), or Exam (40%).</w:t>
      </w:r>
    </w:p>
    <w:p>
      <w:pPr>
        <w:pStyle w:val="ListParagraph"/>
        <w:numPr>
          <w:ilvl w:val="0"/>
          <w:numId w:val="1"/>
        </w:numPr>
        <w:spacing w:after="60" w:before="40"/>
      </w:pPr>
      <w:r>
        <w:rPr>
          <w:rFonts w:ascii="Calibri" w:cs="Calibri" w:eastAsia="Calibri" w:hAnsi="Calibri"/>
          <w:color w:val="334155"/>
          <w:sz w:val="22"/>
          <w:szCs w:val="22"/>
        </w:rPr>
        <w:t xml:space="preserve">4. Enter the raw score obtained and the maximum possible points (e.g., 18 out of 20).</w:t>
      </w:r>
    </w:p>
    <w:p>
      <w:pPr>
        <w:pStyle w:val="ListParagraph"/>
        <w:numPr>
          <w:ilvl w:val="0"/>
          <w:numId w:val="1"/>
        </w:numPr>
        <w:spacing w:after="60" w:before="40"/>
      </w:pPr>
      <w:r>
        <w:rPr>
          <w:rFonts w:ascii="Calibri" w:cs="Calibri" w:eastAsia="Calibri" w:hAnsi="Calibri"/>
          <w:color w:val="334155"/>
          <w:sz w:val="22"/>
          <w:szCs w:val="22"/>
        </w:rPr>
        <w:t xml:space="preserve">5. Click "Submit Assessment Record". Analytics and student dashboards update instantly.</w:t>
      </w:r>
    </w:p>
    <w:p>
      <w:pPr>
        <w:pStyle w:val="Heading2"/>
        <w:spacing w:after="100" w:before="260"/>
        <w:rPr>
          <w:rFonts w:ascii="Calibri" w:cs="Calibri" w:eastAsia="Calibri" w:hAnsi="Calibri"/>
          <w:b/>
          <w:bCs/>
          <w:color w:val="2563EB"/>
          <w:sz w:val="26"/>
          <w:szCs w:val="26"/>
        </w:rPr>
      </w:pPr>
      <w:r>
        <w:t xml:space="preserve">Safely Removing a Student</w:t>
      </w:r>
    </w:p>
    <w:p>
      <w:pPr>
        <w:spacing w:after="100" w:before="60"/>
      </w:pPr>
      <w:r>
        <w:rPr>
          <w:rFonts w:ascii="Calibri" w:cs="Calibri" w:eastAsia="Calibri" w:hAnsi="Calibri"/>
          <w:b w:val="false"/>
          <w:bCs w:val="false"/>
          <w:i w:val="false"/>
          <w:iCs w:val="false"/>
          <w:color w:val="334155"/>
          <w:sz w:val="22"/>
          <w:szCs w:val="22"/>
        </w:rPr>
        <w:t xml:space="preserve">To remove a student who transferred or dropped your course, click the trash can icon next to their name in the roster table and confirm. This unlinks the student from your classroom roster without deleting school-wide student profiles.</w:t>
      </w:r>
    </w:p>
    <w:p>
      <w:pPr>
        <w:pStyle w:val="Heading2"/>
        <w:spacing w:after="100" w:before="260"/>
        <w:rPr>
          <w:rFonts w:ascii="Calibri" w:cs="Calibri" w:eastAsia="Calibri" w:hAnsi="Calibri"/>
          <w:b/>
          <w:bCs/>
          <w:color w:val="2563EB"/>
          <w:sz w:val="26"/>
          <w:szCs w:val="26"/>
        </w:rPr>
      </w:pPr>
      <w:r>
        <w:t xml:space="preserve">Updating Teacher Profile &amp; Subject Settings</w:t>
      </w:r>
    </w:p>
    <w:p>
      <w:pPr>
        <w:spacing w:after="100" w:before="60"/>
      </w:pPr>
      <w:r>
        <w:rPr>
          <w:rFonts w:ascii="Calibri" w:cs="Calibri" w:eastAsia="Calibri" w:hAnsi="Calibri"/>
          <w:b w:val="false"/>
          <w:bCs w:val="false"/>
          <w:i w:val="false"/>
          <w:iCs w:val="false"/>
          <w:color w:val="334155"/>
          <w:sz w:val="22"/>
          <w:szCs w:val="22"/>
        </w:rPr>
        <w:t xml:space="preserve">Click the Settings (gear) icon in the top header to edit your display name, email address, update your assigned subject, or change your account password at any time.</w:t>
      </w:r>
    </w:p>
    <w:p>
      <w:pPr>
        <w:pStyle w:val="Heading1"/>
        <w:spacing w:after="140" w:before="360"/>
        <w:rPr>
          <w:rFonts w:ascii="Calibri" w:cs="Calibri" w:eastAsia="Calibri" w:hAnsi="Calibri"/>
          <w:b/>
          <w:bCs/>
          <w:color w:val="1E3A8A"/>
          <w:sz w:val="32"/>
          <w:szCs w:val="32"/>
        </w:rPr>
      </w:pPr>
      <w:r>
        <w:t xml:space="preserve">4. Student Learning Portal Guide</w:t>
      </w:r>
    </w:p>
    <w:p>
      <w:pPr>
        <w:spacing w:after="100" w:before="60"/>
      </w:pPr>
      <w:r>
        <w:rPr>
          <w:rFonts w:ascii="Calibri" w:cs="Calibri" w:eastAsia="Calibri" w:hAnsi="Calibri"/>
          <w:b w:val="false"/>
          <w:bCs w:val="false"/>
          <w:i w:val="false"/>
          <w:iCs w:val="false"/>
          <w:color w:val="334155"/>
          <w:sz w:val="22"/>
          <w:szCs w:val="22"/>
        </w:rPr>
        <w:t xml:space="preserve">The Student Portal empowers learners to take ownership of their academic progress through transparent metrics and on-demand AI support.</w:t>
      </w:r>
    </w:p>
    <w:p>
      <w:pPr>
        <w:pStyle w:val="Heading2"/>
        <w:spacing w:after="100" w:before="260"/>
        <w:rPr>
          <w:rFonts w:ascii="Calibri" w:cs="Calibri" w:eastAsia="Calibri" w:hAnsi="Calibri"/>
          <w:b/>
          <w:bCs/>
          <w:color w:val="2563EB"/>
          <w:sz w:val="26"/>
          <w:szCs w:val="26"/>
        </w:rPr>
      </w:pPr>
      <w:r>
        <w:t xml:space="preserve">Personal Mastery Dashboard</w:t>
      </w:r>
    </w:p>
    <w:p>
      <w:pPr>
        <w:pStyle w:val="ListParagraph"/>
        <w:numPr>
          <w:ilvl w:val="0"/>
          <w:numId w:val="1"/>
        </w:numPr>
        <w:spacing w:after="60" w:before="40"/>
      </w:pPr>
      <w:r>
        <w:rPr>
          <w:rFonts w:ascii="Calibri" w:cs="Calibri" w:eastAsia="Calibri" w:hAnsi="Calibri"/>
          <w:b/>
          <w:bCs/>
          <w:color w:val="0F172A"/>
          <w:sz w:val="22"/>
          <w:szCs w:val="22"/>
        </w:rPr>
        <w:t xml:space="preserve">• Overall Mastery: </w:t>
      </w:r>
      <w:r>
        <w:rPr>
          <w:rFonts w:ascii="Calibri" w:cs="Calibri" w:eastAsia="Calibri" w:hAnsi="Calibri"/>
          <w:color w:val="334155"/>
          <w:sz w:val="22"/>
          <w:szCs w:val="22"/>
        </w:rPr>
        <w:t xml:space="preserve">Composite weighted average across all enrolled subjects.</w:t>
      </w:r>
    </w:p>
    <w:p>
      <w:pPr>
        <w:pStyle w:val="ListParagraph"/>
        <w:numPr>
          <w:ilvl w:val="0"/>
          <w:numId w:val="1"/>
        </w:numPr>
        <w:spacing w:after="60" w:before="40"/>
      </w:pPr>
      <w:r>
        <w:rPr>
          <w:rFonts w:ascii="Calibri" w:cs="Calibri" w:eastAsia="Calibri" w:hAnsi="Calibri"/>
          <w:b/>
          <w:bCs/>
          <w:color w:val="0F172A"/>
          <w:sz w:val="22"/>
          <w:szCs w:val="22"/>
        </w:rPr>
        <w:t xml:space="preserve">• Mastered Subjects: </w:t>
      </w:r>
      <w:r>
        <w:rPr>
          <w:rFonts w:ascii="Calibri" w:cs="Calibri" w:eastAsia="Calibri" w:hAnsi="Calibri"/>
          <w:color w:val="334155"/>
          <w:sz w:val="22"/>
          <w:szCs w:val="22"/>
        </w:rPr>
        <w:t xml:space="preserve">Total number of subjects where your mastery is 75% or higher.</w:t>
      </w:r>
    </w:p>
    <w:p>
      <w:pPr>
        <w:pStyle w:val="ListParagraph"/>
        <w:numPr>
          <w:ilvl w:val="0"/>
          <w:numId w:val="1"/>
        </w:numPr>
        <w:spacing w:after="60" w:before="40"/>
      </w:pPr>
      <w:r>
        <w:rPr>
          <w:rFonts w:ascii="Calibri" w:cs="Calibri" w:eastAsia="Calibri" w:hAnsi="Calibri"/>
          <w:b/>
          <w:bCs/>
          <w:color w:val="0F172A"/>
          <w:sz w:val="22"/>
          <w:szCs w:val="22"/>
        </w:rPr>
        <w:t xml:space="preserve">• Active Focus Areas: </w:t>
      </w:r>
      <w:r>
        <w:rPr>
          <w:rFonts w:ascii="Calibri" w:cs="Calibri" w:eastAsia="Calibri" w:hAnsi="Calibri"/>
          <w:color w:val="334155"/>
          <w:sz w:val="22"/>
          <w:szCs w:val="22"/>
        </w:rPr>
        <w:t xml:space="preserve">Subjects or categories flagged below 60% requiring revision before exams.</w:t>
      </w:r>
    </w:p>
    <w:p>
      <w:pPr>
        <w:pStyle w:val="Heading2"/>
        <w:spacing w:after="100" w:before="260"/>
        <w:rPr>
          <w:rFonts w:ascii="Calibri" w:cs="Calibri" w:eastAsia="Calibri" w:hAnsi="Calibri"/>
          <w:b/>
          <w:bCs/>
          <w:color w:val="2563EB"/>
          <w:sz w:val="26"/>
          <w:szCs w:val="26"/>
        </w:rPr>
      </w:pPr>
      <w:r>
        <w:t xml:space="preserve">Core Subject Competency Breakdown</w:t>
      </w:r>
    </w:p>
    <w:p>
      <w:pPr>
        <w:spacing w:after="100" w:before="60"/>
      </w:pPr>
      <w:r>
        <w:rPr>
          <w:rFonts w:ascii="Calibri" w:cs="Calibri" w:eastAsia="Calibri" w:hAnsi="Calibri"/>
          <w:b w:val="false"/>
          <w:bCs w:val="false"/>
          <w:i w:val="false"/>
          <w:iCs w:val="false"/>
          <w:color w:val="334155"/>
          <w:sz w:val="22"/>
          <w:szCs w:val="22"/>
        </w:rPr>
        <w:t xml:space="preserve">Foundational subjects are always placed first at the top of the dashboard: English Language is #1, Mathematics is #2, followed by your other sciences and humanities. Expand any subject card to inspect performance broken down by Assessment Type (Exam, Quiz, Test, Assignment, Participation) with exact percentages.</w:t>
      </w:r>
    </w:p>
    <w:p>
      <w:pPr>
        <w:pStyle w:val="Heading2"/>
        <w:spacing w:after="100" w:before="260"/>
        <w:rPr>
          <w:rFonts w:ascii="Calibri" w:cs="Calibri" w:eastAsia="Calibri" w:hAnsi="Calibri"/>
          <w:b/>
          <w:bCs/>
          <w:color w:val="2563EB"/>
          <w:sz w:val="26"/>
          <w:szCs w:val="26"/>
        </w:rPr>
      </w:pPr>
      <w:r>
        <w:t xml:space="preserve">Subject-First Assessment History</w:t>
      </w:r>
    </w:p>
    <w:p>
      <w:pPr>
        <w:spacing w:after="100" w:before="60"/>
      </w:pPr>
      <w:r>
        <w:rPr>
          <w:rFonts w:ascii="Calibri" w:cs="Calibri" w:eastAsia="Calibri" w:hAnsi="Calibri"/>
          <w:b w:val="false"/>
          <w:bCs w:val="false"/>
          <w:i w:val="false"/>
          <w:iCs w:val="false"/>
          <w:color w:val="334155"/>
          <w:sz w:val="22"/>
          <w:szCs w:val="22"/>
        </w:rPr>
        <w:t xml:space="preserve">Students can click on any subject pill (e.g., 🧪 Chemistry, ⚛️ Physics, 💻 Computer Science, 🌱 Agricultural Science) to view a clean chronological table of all recorded grades, complete with raw points, percentage marks, and mastery badges.</w:t>
      </w:r>
    </w:p>
    <w:p>
      <w:pPr>
        <w:pStyle w:val="Heading2"/>
        <w:spacing w:after="100" w:before="260"/>
        <w:rPr>
          <w:rFonts w:ascii="Calibri" w:cs="Calibri" w:eastAsia="Calibri" w:hAnsi="Calibri"/>
          <w:b/>
          <w:bCs/>
          <w:color w:val="2563EB"/>
          <w:sz w:val="26"/>
          <w:szCs w:val="26"/>
        </w:rPr>
      </w:pPr>
      <w:r>
        <w:t xml:space="preserve">⚡ On-Demand AI Subject Diagnostics</w:t>
      </w:r>
    </w:p>
    <w:p>
      <w:pPr>
        <w:spacing w:after="100" w:before="60"/>
      </w:pPr>
      <w:r>
        <w:rPr>
          <w:rFonts w:ascii="Calibri" w:cs="Calibri" w:eastAsia="Calibri" w:hAnsi="Calibri"/>
          <w:b w:val="false"/>
          <w:bCs w:val="false"/>
          <w:i w:val="false"/>
          <w:iCs w:val="false"/>
          <w:color w:val="334155"/>
          <w:sz w:val="22"/>
          <w:szCs w:val="22"/>
        </w:rPr>
        <w:t xml:space="preserve">Under each subject’s history tab, students can click "Run AI Subject Diagnostic". The integrated Groq-accelerated AI engine examines their actual score pattern and delivers an honest, personalized diagnostic report highlighting strong concepts, vulnerable areas, and a concrete 3-step action roadmap.</w:t>
      </w:r>
    </w:p>
    <w:p>
      <w:pPr>
        <w:pStyle w:val="Heading2"/>
        <w:spacing w:after="100" w:before="260"/>
        <w:rPr>
          <w:rFonts w:ascii="Calibri" w:cs="Calibri" w:eastAsia="Calibri" w:hAnsi="Calibri"/>
          <w:b/>
          <w:bCs/>
          <w:color w:val="2563EB"/>
          <w:sz w:val="26"/>
          <w:szCs w:val="26"/>
        </w:rPr>
      </w:pPr>
      <w:r>
        <w:t xml:space="preserve">📖 Learn with AI (Micro-Learning Modules)</w:t>
      </w:r>
    </w:p>
    <w:p>
      <w:pPr>
        <w:spacing w:after="100" w:before="60"/>
      </w:pPr>
      <w:r>
        <w:rPr>
          <w:rFonts w:ascii="Calibri" w:cs="Calibri" w:eastAsia="Calibri" w:hAnsi="Calibri"/>
          <w:b w:val="false"/>
          <w:bCs w:val="false"/>
          <w:i w:val="false"/>
          <w:iCs w:val="false"/>
          <w:color w:val="334155"/>
          <w:sz w:val="22"/>
          <w:szCs w:val="22"/>
        </w:rPr>
        <w:t xml:space="preserve">Stuck on a challenging homework problem or concept? Enter any topic (e.g., "Stoichiometry", "Ohm's Law", "Binary Search Trees") to generate:</w:t>
      </w:r>
    </w:p>
    <w:p>
      <w:pPr>
        <w:pStyle w:val="ListParagraph"/>
        <w:numPr>
          <w:ilvl w:val="0"/>
          <w:numId w:val="1"/>
        </w:numPr>
        <w:spacing w:after="60" w:before="40"/>
      </w:pPr>
      <w:r>
        <w:rPr>
          <w:rFonts w:ascii="Calibri" w:cs="Calibri" w:eastAsia="Calibri" w:hAnsi="Calibri"/>
          <w:b/>
          <w:bCs/>
          <w:color w:val="0F172A"/>
          <w:sz w:val="22"/>
          <w:szCs w:val="22"/>
        </w:rPr>
        <w:t xml:space="preserve">1. Concept Analogy: </w:t>
      </w:r>
      <w:r>
        <w:rPr>
          <w:rFonts w:ascii="Calibri" w:cs="Calibri" w:eastAsia="Calibri" w:hAnsi="Calibri"/>
          <w:color w:val="334155"/>
          <w:sz w:val="22"/>
          <w:szCs w:val="22"/>
        </w:rPr>
        <w:t xml:space="preserve">An intuitive real-world analogy explaining the core concept in simple terms.</w:t>
      </w:r>
    </w:p>
    <w:p>
      <w:pPr>
        <w:pStyle w:val="ListParagraph"/>
        <w:numPr>
          <w:ilvl w:val="0"/>
          <w:numId w:val="1"/>
        </w:numPr>
        <w:spacing w:after="60" w:before="40"/>
      </w:pPr>
      <w:r>
        <w:rPr>
          <w:rFonts w:ascii="Calibri" w:cs="Calibri" w:eastAsia="Calibri" w:hAnsi="Calibri"/>
          <w:b/>
          <w:bCs/>
          <w:color w:val="0F172A"/>
          <w:sz w:val="22"/>
          <w:szCs w:val="22"/>
        </w:rPr>
        <w:t xml:space="preserve">2. Practical Application: </w:t>
      </w:r>
      <w:r>
        <w:rPr>
          <w:rFonts w:ascii="Calibri" w:cs="Calibri" w:eastAsia="Calibri" w:hAnsi="Calibri"/>
          <w:color w:val="334155"/>
          <w:sz w:val="22"/>
          <w:szCs w:val="22"/>
        </w:rPr>
        <w:t xml:space="preserve">How the concept applies to modern engineering, medicine, or daily life.</w:t>
      </w:r>
    </w:p>
    <w:p>
      <w:pPr>
        <w:pStyle w:val="ListParagraph"/>
        <w:numPr>
          <w:ilvl w:val="0"/>
          <w:numId w:val="1"/>
        </w:numPr>
        <w:spacing w:after="60" w:before="40"/>
      </w:pPr>
      <w:r>
        <w:rPr>
          <w:rFonts w:ascii="Calibri" w:cs="Calibri" w:eastAsia="Calibri" w:hAnsi="Calibri"/>
          <w:b/>
          <w:bCs/>
          <w:color w:val="0F172A"/>
          <w:sz w:val="22"/>
          <w:szCs w:val="22"/>
        </w:rPr>
        <w:t xml:space="preserve">3. Worked Example: </w:t>
      </w:r>
      <w:r>
        <w:rPr>
          <w:rFonts w:ascii="Calibri" w:cs="Calibri" w:eastAsia="Calibri" w:hAnsi="Calibri"/>
          <w:color w:val="334155"/>
          <w:sz w:val="22"/>
          <w:szCs w:val="22"/>
        </w:rPr>
        <w:t xml:space="preserve">Fully annotated worked calculation showing step-by-step reasoning.</w:t>
      </w:r>
    </w:p>
    <w:p>
      <w:pPr>
        <w:pStyle w:val="ListParagraph"/>
        <w:numPr>
          <w:ilvl w:val="0"/>
          <w:numId w:val="1"/>
        </w:numPr>
        <w:spacing w:after="60" w:before="40"/>
      </w:pPr>
      <w:r>
        <w:rPr>
          <w:rFonts w:ascii="Calibri" w:cs="Calibri" w:eastAsia="Calibri" w:hAnsi="Calibri"/>
          <w:b/>
          <w:bCs/>
          <w:color w:val="0F172A"/>
          <w:sz w:val="22"/>
          <w:szCs w:val="22"/>
        </w:rPr>
        <w:t xml:space="preserve">4. Self-Check Quiz: </w:t>
      </w:r>
      <w:r>
        <w:rPr>
          <w:rFonts w:ascii="Calibri" w:cs="Calibri" w:eastAsia="Calibri" w:hAnsi="Calibri"/>
          <w:color w:val="334155"/>
          <w:sz w:val="22"/>
          <w:szCs w:val="22"/>
        </w:rPr>
        <w:t xml:space="preserve">Quick diagnostic practice questions with expandable answers to test comprehension.</w:t>
      </w:r>
    </w:p>
    <w:p>
      <w:pPr>
        <w:pStyle w:val="Heading2"/>
        <w:spacing w:after="100" w:before="260"/>
        <w:rPr>
          <w:rFonts w:ascii="Calibri" w:cs="Calibri" w:eastAsia="Calibri" w:hAnsi="Calibri"/>
          <w:b/>
          <w:bCs/>
          <w:color w:val="2563EB"/>
          <w:sz w:val="26"/>
          <w:szCs w:val="26"/>
        </w:rPr>
      </w:pPr>
      <w:r>
        <w:t xml:space="preserve">🎯 Adaptive Practice Quizzes</w:t>
      </w:r>
    </w:p>
    <w:p>
      <w:pPr>
        <w:spacing w:after="100" w:before="60"/>
      </w:pPr>
      <w:r>
        <w:rPr>
          <w:rFonts w:ascii="Calibri" w:cs="Calibri" w:eastAsia="Calibri" w:hAnsi="Calibri"/>
          <w:b w:val="false"/>
          <w:bCs w:val="false"/>
          <w:i w:val="false"/>
          <w:iCs w:val="false"/>
          <w:color w:val="334155"/>
          <w:sz w:val="22"/>
          <w:szCs w:val="22"/>
        </w:rPr>
        <w:t xml:space="preserve">Students can select a target subject and generate 5 adaptive multiple-choice questions matching their current grade level. Instant scoring, hints, and step-by-step explanations are provided upon submission.</w:t>
      </w:r>
    </w:p>
    <w:p>
      <w:pPr>
        <w:pStyle w:val="Heading1"/>
        <w:spacing w:after="140" w:before="360"/>
        <w:rPr>
          <w:rFonts w:ascii="Calibri" w:cs="Calibri" w:eastAsia="Calibri" w:hAnsi="Calibri"/>
          <w:b/>
          <w:bCs/>
          <w:color w:val="1E3A8A"/>
          <w:sz w:val="32"/>
          <w:szCs w:val="32"/>
        </w:rPr>
      </w:pPr>
      <w:r>
        <w:t xml:space="preserve">5. Mastery Formula &amp; Grading Weights Reference</w:t>
      </w:r>
    </w:p>
    <w:tbl>
      <w:tblPr>
        <w:tblW w:type="pct" w:w="5000"/>
        <w:tblBorders>
          <w:top w:val="single" w:color="CBD5E1" w:sz="4"/>
          <w:left w:val="single" w:color="CBD5E1" w:sz="4"/>
          <w:bottom w:val="single" w:color="CBD5E1" w:sz="4"/>
          <w:right w:val="single" w:color="CBD5E1" w:sz="4"/>
          <w:insideH w:val="single" w:color="E2E8F0" w:sz="2"/>
          <w:insideV w:val="single" w:color="E2E8F0" w:sz="2"/>
        </w:tblBorders>
      </w:tblPr>
      <w:tblGrid>
        <w:gridCol w:w="2257"/>
        <w:gridCol w:w="2257"/>
        <w:gridCol w:w="2257"/>
        <w:gridCol w:w="2257"/>
      </w:tblGrid>
      <w:tr>
        <w:trPr>
          <w:tblHeader/>
        </w:trPr>
        <w:tc>
          <w:tcPr>
            <w:shd w:fill="1E3A8A"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Category</w:t>
            </w:r>
          </w:p>
        </w:tc>
        <w:tc>
          <w:tcPr>
            <w:shd w:fill="1E3A8A"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Score Range</w:t>
            </w:r>
          </w:p>
        </w:tc>
        <w:tc>
          <w:tcPr>
            <w:shd w:fill="1E3A8A"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Mastery Status</w:t>
            </w:r>
          </w:p>
        </w:tc>
        <w:tc>
          <w:tcPr>
            <w:shd w:fill="1E3A8A"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Action Recommended</w:t>
            </w:r>
          </w:p>
        </w:tc>
      </w:tr>
      <w:tr>
        <w:tc>
          <w:tcPr>
            <w:shd w:fill="F8FAFC" w:val="clear"/>
            <w:tcMar>
              <w:top w:type="dxa" w:w="90"/>
              <w:left w:type="dxa" w:w="120"/>
              <w:bottom w:type="dxa" w:w="90"/>
              <w:right w:type="dxa" w:w="120"/>
            </w:tcMar>
          </w:tcPr>
          <w:p>
            <w:pPr>
              <w:jc w:val="left"/>
            </w:pPr>
            <w:r>
              <w:rPr>
                <w:rFonts w:ascii="Calibri" w:cs="Calibri" w:eastAsia="Calibri" w:hAnsi="Calibri"/>
                <w:b/>
                <w:bCs/>
                <w:color w:val="1E293B"/>
                <w:sz w:val="20"/>
                <w:szCs w:val="20"/>
              </w:rPr>
              <w:t xml:space="preserve">Mastered</w:t>
            </w:r>
          </w:p>
        </w:tc>
        <w:tc>
          <w:tcPr>
            <w:shd w:fill="F8FAFC" w:val="clear"/>
            <w:tcMar>
              <w:top w:type="dxa" w:w="90"/>
              <w:left w:type="dxa" w:w="120"/>
              <w:bottom w:type="dxa" w:w="90"/>
              <w:right w:type="dxa" w:w="120"/>
            </w:tcMar>
          </w:tcPr>
          <w:p>
            <w:pPr>
              <w:jc w:val="center"/>
            </w:pPr>
            <w:r>
              <w:rPr>
                <w:rFonts w:ascii="Calibri" w:cs="Calibri" w:eastAsia="Calibri" w:hAnsi="Calibri"/>
                <w:b w:val="false"/>
                <w:bCs w:val="false"/>
                <w:color w:val="1E293B"/>
                <w:sz w:val="20"/>
                <w:szCs w:val="20"/>
              </w:rPr>
              <w:t xml:space="preserve">75% – 100%</w:t>
            </w:r>
          </w:p>
        </w:tc>
        <w:tc>
          <w:tcPr>
            <w:shd w:fill="F8FAFC" w:val="clear"/>
            <w:tcMar>
              <w:top w:type="dxa" w:w="90"/>
              <w:left w:type="dxa" w:w="120"/>
              <w:bottom w:type="dxa" w:w="90"/>
              <w:right w:type="dxa" w:w="120"/>
            </w:tcMar>
          </w:tcPr>
          <w:p>
            <w:pPr>
              <w:jc w:val="left"/>
            </w:pPr>
            <w:r>
              <w:rPr>
                <w:rFonts w:ascii="Calibri" w:cs="Calibri" w:eastAsia="Calibri" w:hAnsi="Calibri"/>
                <w:b w:val="false"/>
                <w:bCs w:val="false"/>
                <w:color w:val="1E293B"/>
                <w:sz w:val="20"/>
                <w:szCs w:val="20"/>
              </w:rPr>
              <w:t xml:space="preserve">🟢 Excellent Mastery</w:t>
            </w:r>
          </w:p>
        </w:tc>
        <w:tc>
          <w:tcPr>
            <w:shd w:fill="F8FAFC" w:val="clear"/>
            <w:tcMar>
              <w:top w:type="dxa" w:w="90"/>
              <w:left w:type="dxa" w:w="120"/>
              <w:bottom w:type="dxa" w:w="90"/>
              <w:right w:type="dxa" w:w="120"/>
            </w:tcMar>
          </w:tcPr>
          <w:p>
            <w:pPr>
              <w:jc w:val="left"/>
            </w:pPr>
            <w:r>
              <w:rPr>
                <w:rFonts w:ascii="Calibri" w:cs="Calibri" w:eastAsia="Calibri" w:hAnsi="Calibri"/>
                <w:b w:val="false"/>
                <w:bCs w:val="false"/>
                <w:color w:val="1E293B"/>
                <w:sz w:val="20"/>
                <w:szCs w:val="20"/>
              </w:rPr>
              <w:t xml:space="preserve">Continue advancing with extension modules and peer mentoring.</w:t>
            </w:r>
          </w:p>
        </w:tc>
      </w:tr>
      <w:tr>
        <w:tc>
          <w:tcPr>
            <w:shd w:fill="FFFFFF" w:val="clear"/>
            <w:tcMar>
              <w:top w:type="dxa" w:w="90"/>
              <w:left w:type="dxa" w:w="120"/>
              <w:bottom w:type="dxa" w:w="90"/>
              <w:right w:type="dxa" w:w="120"/>
            </w:tcMar>
          </w:tcPr>
          <w:p>
            <w:pPr>
              <w:jc w:val="left"/>
            </w:pPr>
            <w:r>
              <w:rPr>
                <w:rFonts w:ascii="Calibri" w:cs="Calibri" w:eastAsia="Calibri" w:hAnsi="Calibri"/>
                <w:b/>
                <w:bCs/>
                <w:color w:val="1E293B"/>
                <w:sz w:val="20"/>
                <w:szCs w:val="20"/>
              </w:rPr>
              <w:t xml:space="preserve">In Progress</w:t>
            </w:r>
          </w:p>
        </w:tc>
        <w:tc>
          <w:tcPr>
            <w:shd w:fill="FFFFFF" w:val="clear"/>
            <w:tcMar>
              <w:top w:type="dxa" w:w="90"/>
              <w:left w:type="dxa" w:w="120"/>
              <w:bottom w:type="dxa" w:w="90"/>
              <w:right w:type="dxa" w:w="120"/>
            </w:tcMar>
          </w:tcPr>
          <w:p>
            <w:pPr>
              <w:jc w:val="center"/>
            </w:pPr>
            <w:r>
              <w:rPr>
                <w:rFonts w:ascii="Calibri" w:cs="Calibri" w:eastAsia="Calibri" w:hAnsi="Calibri"/>
                <w:b w:val="false"/>
                <w:bCs w:val="false"/>
                <w:color w:val="1E293B"/>
                <w:sz w:val="20"/>
                <w:szCs w:val="20"/>
              </w:rPr>
              <w:t xml:space="preserve">60% – 74%</w:t>
            </w:r>
          </w:p>
        </w:tc>
        <w:tc>
          <w:tcPr>
            <w:shd w:fill="FFFFFF" w:val="clear"/>
            <w:tcMar>
              <w:top w:type="dxa" w:w="90"/>
              <w:left w:type="dxa" w:w="120"/>
              <w:bottom w:type="dxa" w:w="90"/>
              <w:right w:type="dxa" w:w="120"/>
            </w:tcMar>
          </w:tcPr>
          <w:p>
            <w:pPr>
              <w:jc w:val="left"/>
            </w:pPr>
            <w:r>
              <w:rPr>
                <w:rFonts w:ascii="Calibri" w:cs="Calibri" w:eastAsia="Calibri" w:hAnsi="Calibri"/>
                <w:b w:val="false"/>
                <w:bCs w:val="false"/>
                <w:color w:val="1E293B"/>
                <w:sz w:val="20"/>
                <w:szCs w:val="20"/>
              </w:rPr>
              <w:t xml:space="preserve">🟡 Competent Grasp</w:t>
            </w:r>
          </w:p>
        </w:tc>
        <w:tc>
          <w:tcPr>
            <w:shd w:fill="FFFFFF" w:val="clear"/>
            <w:tcMar>
              <w:top w:type="dxa" w:w="90"/>
              <w:left w:type="dxa" w:w="120"/>
              <w:bottom w:type="dxa" w:w="90"/>
              <w:right w:type="dxa" w:w="120"/>
            </w:tcMar>
          </w:tcPr>
          <w:p>
            <w:pPr>
              <w:jc w:val="left"/>
            </w:pPr>
            <w:r>
              <w:rPr>
                <w:rFonts w:ascii="Calibri" w:cs="Calibri" w:eastAsia="Calibri" w:hAnsi="Calibri"/>
                <w:b w:val="false"/>
                <w:bCs w:val="false"/>
                <w:color w:val="1E293B"/>
                <w:sz w:val="20"/>
                <w:szCs w:val="20"/>
              </w:rPr>
              <w:t xml:space="preserve">Focus on low-weight quizzes and assignments to cement retention.</w:t>
            </w:r>
          </w:p>
        </w:tc>
      </w:tr>
      <w:tr>
        <w:tc>
          <w:tcPr>
            <w:shd w:fill="F8FAFC" w:val="clear"/>
            <w:tcMar>
              <w:top w:type="dxa" w:w="90"/>
              <w:left w:type="dxa" w:w="120"/>
              <w:bottom w:type="dxa" w:w="90"/>
              <w:right w:type="dxa" w:w="120"/>
            </w:tcMar>
          </w:tcPr>
          <w:p>
            <w:pPr>
              <w:jc w:val="left"/>
            </w:pPr>
            <w:r>
              <w:rPr>
                <w:rFonts w:ascii="Calibri" w:cs="Calibri" w:eastAsia="Calibri" w:hAnsi="Calibri"/>
                <w:b/>
                <w:bCs/>
                <w:color w:val="1E293B"/>
                <w:sz w:val="20"/>
                <w:szCs w:val="20"/>
              </w:rPr>
              <w:t xml:space="preserve">Needs Review</w:t>
            </w:r>
          </w:p>
        </w:tc>
        <w:tc>
          <w:tcPr>
            <w:shd w:fill="F8FAFC" w:val="clear"/>
            <w:tcMar>
              <w:top w:type="dxa" w:w="90"/>
              <w:left w:type="dxa" w:w="120"/>
              <w:bottom w:type="dxa" w:w="90"/>
              <w:right w:type="dxa" w:w="120"/>
            </w:tcMar>
          </w:tcPr>
          <w:p>
            <w:pPr>
              <w:jc w:val="center"/>
            </w:pPr>
            <w:r>
              <w:rPr>
                <w:rFonts w:ascii="Calibri" w:cs="Calibri" w:eastAsia="Calibri" w:hAnsi="Calibri"/>
                <w:b w:val="false"/>
                <w:bCs w:val="false"/>
                <w:color w:val="1E293B"/>
                <w:sz w:val="20"/>
                <w:szCs w:val="20"/>
              </w:rPr>
              <w:t xml:space="preserve">0% – 59%</w:t>
            </w:r>
          </w:p>
        </w:tc>
        <w:tc>
          <w:tcPr>
            <w:shd w:fill="F8FAFC" w:val="clear"/>
            <w:tcMar>
              <w:top w:type="dxa" w:w="90"/>
              <w:left w:type="dxa" w:w="120"/>
              <w:bottom w:type="dxa" w:w="90"/>
              <w:right w:type="dxa" w:w="120"/>
            </w:tcMar>
          </w:tcPr>
          <w:p>
            <w:pPr>
              <w:jc w:val="left"/>
            </w:pPr>
            <w:r>
              <w:rPr>
                <w:rFonts w:ascii="Calibri" w:cs="Calibri" w:eastAsia="Calibri" w:hAnsi="Calibri"/>
                <w:b w:val="false"/>
                <w:bCs w:val="false"/>
                <w:color w:val="1E293B"/>
                <w:sz w:val="20"/>
                <w:szCs w:val="20"/>
              </w:rPr>
              <w:t xml:space="preserve">🔴 Early Alert</w:t>
            </w:r>
          </w:p>
        </w:tc>
        <w:tc>
          <w:tcPr>
            <w:shd w:fill="F8FAFC" w:val="clear"/>
            <w:tcMar>
              <w:top w:type="dxa" w:w="90"/>
              <w:left w:type="dxa" w:w="120"/>
              <w:bottom w:type="dxa" w:w="90"/>
              <w:right w:type="dxa" w:w="120"/>
            </w:tcMar>
          </w:tcPr>
          <w:p>
            <w:pPr>
              <w:jc w:val="left"/>
            </w:pPr>
            <w:r>
              <w:rPr>
                <w:rFonts w:ascii="Calibri" w:cs="Calibri" w:eastAsia="Calibri" w:hAnsi="Calibri"/>
                <w:b w:val="false"/>
                <w:bCs w:val="false"/>
                <w:color w:val="1E293B"/>
                <w:sz w:val="20"/>
                <w:szCs w:val="20"/>
              </w:rPr>
              <w:t xml:space="preserve">Requires targeted review, teacher intervention, and AI practice.</w:t>
            </w:r>
          </w:p>
        </w:tc>
      </w:tr>
    </w:tbl>
    <w:p>
      <w:pPr>
        <w:pStyle w:val="Heading1"/>
        <w:spacing w:after="140" w:before="360"/>
        <w:rPr>
          <w:rFonts w:ascii="Calibri" w:cs="Calibri" w:eastAsia="Calibri" w:hAnsi="Calibri"/>
          <w:b/>
          <w:bCs/>
          <w:color w:val="1E3A8A"/>
          <w:sz w:val="32"/>
          <w:szCs w:val="32"/>
        </w:rPr>
      </w:pPr>
      <w:r>
        <w:t xml:space="preserve">6. Frequently Asked Questions (FAQ)</w:t>
      </w:r>
    </w:p>
    <w:p>
      <w:pPr>
        <w:pStyle w:val="Heading3"/>
        <w:spacing w:after="80" w:before="180"/>
        <w:rPr>
          <w:rFonts w:ascii="Calibri" w:cs="Calibri" w:eastAsia="Calibri" w:hAnsi="Calibri"/>
          <w:b/>
          <w:bCs/>
          <w:color w:val="1E293B"/>
          <w:sz w:val="22"/>
          <w:szCs w:val="22"/>
        </w:rPr>
      </w:pPr>
      <w:r>
        <w:t xml:space="preserve">Q1: What happens if a teacher registers a student who already has an account?</w:t>
      </w:r>
    </w:p>
    <w:p>
      <w:pPr>
        <w:spacing w:after="100" w:before="60"/>
      </w:pPr>
      <w:r>
        <w:rPr>
          <w:rFonts w:ascii="Calibri" w:cs="Calibri" w:eastAsia="Calibri" w:hAnsi="Calibri"/>
          <w:b w:val="false"/>
          <w:bCs w:val="false"/>
          <w:i w:val="false"/>
          <w:iCs w:val="false"/>
          <w:color w:val="334155"/>
          <w:sz w:val="22"/>
          <w:szCs w:val="22"/>
        </w:rPr>
        <w:t xml:space="preserve">Answer: As long as the student is enrolled with the same name and class level (e.g., SSS 1 or Grade 10), the platform automatically connects the student to the new teacher’s roster. The student keeps their original permanent access code without needing to create a duplicate account.</w:t>
      </w:r>
    </w:p>
    <w:p>
      <w:pPr>
        <w:pStyle w:val="Heading3"/>
        <w:spacing w:after="80" w:before="180"/>
        <w:rPr>
          <w:rFonts w:ascii="Calibri" w:cs="Calibri" w:eastAsia="Calibri" w:hAnsi="Calibri"/>
          <w:b/>
          <w:bCs/>
          <w:color w:val="1E293B"/>
          <w:sz w:val="22"/>
          <w:szCs w:val="22"/>
        </w:rPr>
      </w:pPr>
      <w:r>
        <w:t xml:space="preserve">Q2: Can students see grades belonging to other students?</w:t>
      </w:r>
    </w:p>
    <w:p>
      <w:pPr>
        <w:spacing w:after="100" w:before="60"/>
      </w:pPr>
      <w:r>
        <w:rPr>
          <w:rFonts w:ascii="Calibri" w:cs="Calibri" w:eastAsia="Calibri" w:hAnsi="Calibri"/>
          <w:b w:val="false"/>
          <w:bCs w:val="false"/>
          <w:i w:val="false"/>
          <w:iCs w:val="false"/>
          <w:color w:val="334155"/>
          <w:sz w:val="22"/>
          <w:szCs w:val="22"/>
        </w:rPr>
        <w:t xml:space="preserve">Answer: No. Student portals are completely private and secured with individual credentials. Students only have access to their personal assessment records and diagnostics.</w:t>
      </w:r>
    </w:p>
    <w:p>
      <w:pPr>
        <w:pStyle w:val="Heading3"/>
        <w:spacing w:after="80" w:before="180"/>
        <w:rPr>
          <w:rFonts w:ascii="Calibri" w:cs="Calibri" w:eastAsia="Calibri" w:hAnsi="Calibri"/>
          <w:b/>
          <w:bCs/>
          <w:color w:val="1E293B"/>
          <w:sz w:val="22"/>
          <w:szCs w:val="22"/>
        </w:rPr>
      </w:pPr>
      <w:r>
        <w:t xml:space="preserve">Q3: Can teachers change their subject mid-term?</w:t>
      </w:r>
    </w:p>
    <w:p>
      <w:pPr>
        <w:spacing w:after="100" w:before="60"/>
      </w:pPr>
      <w:r>
        <w:rPr>
          <w:rFonts w:ascii="Calibri" w:cs="Calibri" w:eastAsia="Calibri" w:hAnsi="Calibri"/>
          <w:b w:val="false"/>
          <w:bCs w:val="false"/>
          <w:i w:val="false"/>
          <w:iCs w:val="false"/>
          <w:color w:val="334155"/>
          <w:sz w:val="22"/>
          <w:szCs w:val="22"/>
        </w:rPr>
        <w:t xml:space="preserve">Answer: Yes. Teachers can open the Settings modal (gear icon in the top header), select their new subject from the dropdown, and save. The cockpit immediately reloads to show students and scores for the newly selected subject.</w:t>
      </w:r>
    </w:p>
    <w:p>
      <w:pPr>
        <w:pStyle w:val="Heading3"/>
        <w:spacing w:after="80" w:before="180"/>
        <w:rPr>
          <w:rFonts w:ascii="Calibri" w:cs="Calibri" w:eastAsia="Calibri" w:hAnsi="Calibri"/>
          <w:b/>
          <w:bCs/>
          <w:color w:val="1E293B"/>
          <w:sz w:val="22"/>
          <w:szCs w:val="22"/>
        </w:rPr>
      </w:pPr>
      <w:r>
        <w:t xml:space="preserve">Q4: What subjects are currently supported in the platform?</w:t>
      </w:r>
    </w:p>
    <w:p>
      <w:pPr>
        <w:spacing w:after="100" w:before="60"/>
      </w:pPr>
      <w:r>
        <w:rPr>
          <w:rFonts w:ascii="Calibri" w:cs="Calibri" w:eastAsia="Calibri" w:hAnsi="Calibri"/>
          <w:b w:val="false"/>
          <w:bCs w:val="false"/>
          <w:i w:val="false"/>
          <w:iCs w:val="false"/>
          <w:color w:val="334155"/>
          <w:sz w:val="22"/>
          <w:szCs w:val="22"/>
        </w:rPr>
        <w:t xml:space="preserve">Answer: Physics, Chemistry, Mathematics, Biology, English, Economics, Geography, Agricultural Science, Civic Education, Computer Science, Animal Husbandry, and History.</w:t>
      </w:r>
    </w:p>
    <w:p>
      <w:pPr>
        <w:pStyle w:val="Heading3"/>
        <w:spacing w:after="80" w:before="180"/>
        <w:rPr>
          <w:rFonts w:ascii="Calibri" w:cs="Calibri" w:eastAsia="Calibri" w:hAnsi="Calibri"/>
          <w:b/>
          <w:bCs/>
          <w:color w:val="1E293B"/>
          <w:sz w:val="22"/>
          <w:szCs w:val="22"/>
        </w:rPr>
      </w:pPr>
      <w:r>
        <w:t xml:space="preserve">Q5: Are assessments arranged in a consistent order?</w:t>
      </w:r>
    </w:p>
    <w:p>
      <w:pPr>
        <w:spacing w:after="100" w:before="60"/>
      </w:pPr>
      <w:r>
        <w:rPr>
          <w:rFonts w:ascii="Calibri" w:cs="Calibri" w:eastAsia="Calibri" w:hAnsi="Calibri"/>
          <w:b w:val="false"/>
          <w:bCs w:val="false"/>
          <w:i w:val="false"/>
          <w:iCs w:val="false"/>
          <w:color w:val="334155"/>
          <w:sz w:val="22"/>
          <w:szCs w:val="22"/>
        </w:rPr>
        <w:t xml:space="preserve">Answer: Yes. Across all teacher matrices and student dashboards, assessments are standardized in the exact order: Assignment → Quiz → Test → Participation → Exam.</w:t>
      </w:r>
    </w:p>
    <w:p>
      <w:pPr>
        <w:spacing w:after="100" w:before="200"/>
      </w:pPr>
    </w:p>
    <w:p>
      <w:pPr>
        <w:spacing w:after="100" w:before="60"/>
      </w:pPr>
      <w:r>
        <w:rPr>
          <w:rFonts w:ascii="Calibri" w:cs="Calibri" w:eastAsia="Calibri" w:hAnsi="Calibri"/>
          <w:b w:val="false"/>
          <w:bCs w:val="false"/>
          <w:i/>
          <w:iCs/>
          <w:color w:val="64748B"/>
          <w:sz w:val="22"/>
          <w:szCs w:val="22"/>
        </w:rPr>
        <w:t xml:space="preserve">Document generated for AI Student Tracker. You may edit, print, or export this document to PDF as needed.</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2026-10-20T20:18:00.708Z</dcterms:created>
  <dcterms:modified xsi:type="dcterms:W3CDTF">2026-10-20T20:18:00.710Z</dcterms:modified>
</cp:coreProperties>
</file>

<file path=docProps/custom.xml><?xml version="1.0" encoding="utf-8"?>
<Properties xmlns="http://schemas.openxmlformats.org/officeDocument/2006/custom-properties" xmlns:vt="http://schemas.openxmlformats.org/officeDocument/2006/docPropsVTypes"/>
</file>