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IRP Pageset Reference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Generated: April 8, 2026  —  94 pagesets across 7 categories</w:t>
      </w:r>
    </w:p>
    <w:p>
      <w:pPr>
        <w:spacing w:after="20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All pageset values from the IRP Report Configuration module, grouped by category. Tab exhibits are marked in the IsTab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4160"/>
        <w:gridCol w:w="1200"/>
        <w:gridCol w:w="10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 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Prototype ID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IsTab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Core Shared Pages (Client Level) (Category 1)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Action Items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Action Items | 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CAPTRUST Team Members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170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ps-112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Evaluation Methodology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ps-111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Summary and Recommendations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96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Topical Spotlight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97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DC Topical Spotlight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Disclosure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Evaluation Methodology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Fact Sheets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 Fee Benchmark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152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MAPS Current Allocations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72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Market Commentary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Market Commentary Short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98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Topical Spotlight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Appendix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81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Asset Investment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Due Diligence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Executive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Fund Fact Sheets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Industry Updates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Manager Fact Sheets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165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MAPS Managed Accounts Portfolio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Market Commentary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Plan Investment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 of Contents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Title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Core Shared Pages (Client Level)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Single Plan (Category 2)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Asset Plan Menu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93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Asset Valuation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ps-110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Investment Policy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172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DC Fee Comparison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173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DC Fee Comparison Detail Grid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171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DC Plan Information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 Sum | Investment Detail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179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Expense Analysis - Current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Expense Analysis - Recommended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182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Expense Comparison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Historical Asset Valuation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Historical Fund Scores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Expense Evaluation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Policy Monitor - 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Policy Monitor - TDF, Passive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Review | Select Commentary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Review | Select Commentary with Score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Investment Vehicle Evaluation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181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Mapping Fund Additions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ps-34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Performance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Automatic Enrollment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Automatic Escalation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Employer Contributions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Loans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Other Plan Features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Qualified Default Investment Option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ps-56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Secure 2.0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301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- Summary of Key Plan Design Features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197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ps-46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 Design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Single Plan with Liabilities (Category 6)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55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Asset/Liability Summary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82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Hedging Strategy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78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Historical Liability Valuation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91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Investment Policy Monitor - TDF, Passive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56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Liability Investment Policy Monitor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Liability Investment Select Commentary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ps-101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Liability Plan Menu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Liability Valuation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Mirror Asset Liability Performance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Mirror Asset Liability Plan Menu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Mirror Asset Liability Scores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Mirror Asset Liability ScoresTargetDateSeries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ps-216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NQ Mirror Liability Discussion Items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NQ Benefit Liability Investment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79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ps-95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 - NQ Plan Financing 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Single Plan with Liabilities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Multi Plan (Category 3)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Asset Valuation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Investment Policy Monitor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Investment Policy Monitor - TDF, Passive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Investment Review | Select Commentary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Performance Summary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 Plan Menu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Multi 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COMBO (Client) ‑ Specific Pages (Category 4)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ps-81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Action Items and Reminders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Communications to Employees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Employee Engagement Strategies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Employee Interactions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Employee Survey Results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Goals and Objectives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Participant Communication and Advice Access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ps-80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Participant Engagement Calendar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Retirement Blueprint Results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Table of Contents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407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Work - Wellness 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185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ps-70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COMBO Fact Sheets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new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ps-69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COMBO Title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COMBO (Client) ‑ Specific Pages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Optional / Add‑On Pages (Category 5)</w:t>
            </w:r>
          </w:p>
        </w:tc>
      </w:tr>
      <w:tr>
        <w:tc>
          <w:tcPr>
            <w:tcW w:type="dxa" w:w="100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IM PARIs Reports (Category 7)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ps-113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PARis Performance Book - Plan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IM PARIs Reports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new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ps-120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PARis Performance Book - Plan 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IM PARIs Reports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new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ps-121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PARis Performance Book - Plan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IM PARIs Reports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4E79"/>
                <w:sz w:val="18"/>
                <w:szCs w:val="18"/>
              </w:rPr>
              <w:t xml:space="preserve">new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  <w:sz w:val="18"/>
                <w:szCs w:val="18"/>
              </w:rPr>
              <w:t xml:space="preserve">ps-122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PARis Performance Book - Plan 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IM PARIs Reports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08080"/>
                <w:sz w:val="18"/>
                <w:szCs w:val="18"/>
              </w:rPr>
              <w:t xml:space="preserve">No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CONFIDENTIAL —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CAPTRUST  </w:t>
    </w:r>
    <w:r>
      <w:rPr>
        <w:rFonts w:ascii="Arial" w:cs="Arial" w:eastAsia="Arial" w:hAnsi="Arial"/>
        <w:color w:val="808080"/>
        <w:sz w:val="18"/>
        <w:szCs w:val="18"/>
      </w:rPr>
      <w:t xml:space="preserve">IRP Pageset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2026-04-08T23:34:43.805Z</dcterms:created>
  <dcterms:modified xsi:type="dcterms:W3CDTF">2026-04-08T23:34:43.805Z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