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Final Project Engineering Document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M4 closure: Part III. Final submission information: section 26. M1–M3 history retained.</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checkpoint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Provisional 47.2%; superseded by final evidence.</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Final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Final integration, evidence and closure.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final project closure</w:t>
      </w:r>
    </w:p>
    <w:p>
      <w:pPr>
        <w:pStyle w:val="Heading1"/>
      </w:pPr>
      <w:r>
        <w:t>16 Final product and assessed version</w:t>
      </w:r>
    </w:p>
    <w:p>
      <w:pPr>
        <w:pStyle w:val="Normal"/>
      </w:pPr>
      <w:r>
        <w:t>CivicConnect now combines requester, staff and management journeys in one ASP.NET Core application. Requesters sign in, submit a controlled-category request and read saved progress and public updates. Authorised staff search their permitted requests, assign or claim one eligible owner, append notes, set priority and due date, and progress through resolution and closure. Management reads saved counts and matching request references. EF Core/PostgreSQL saves the required transactional effects and rejects stale changes.</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record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Assessed identifier</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m4-final-20261018-r6; exact tagged revision is recorded with submission information. Tested code: 625e4e99882150f79ad3e00bae327b14e63e5d9c.</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Integrated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Michael’s M4 branch through 5a17e07; main 51c4f9a and Bianca’s supplied ZIP; Cameron’s existing presentation and final corrections. The existing interfaces, PED and RTM were retained.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Environment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Staging through a controlled local simulation. Real PostgreSQL adapters and password hashes; synthetic accounts/data. No hosted public production environment exists.</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read/rule, 43 database, 19 M3, 30 UI/contract and 36 persistent HTTPS checks pass locally: 201 checks. Local timed restore passes. Operator and raw evidence: docs/evidence/m4-final-20261018.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M3 decision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CONDITIONALLY READY for the agreed protected read/status increment in controlled simulated staging. This is retained as a dated milestone decision, not full-product completion.</w:t>
            </w:r>
          </w:p>
        </w:tc>
      </w:tr>
    </w:tbl>
    <w:p>
      <w:pPr>
        <w:pStyle w:val="Normal"/>
      </w:pPr>
      <w:r>
        <w:t/>
      </w:r>
    </w:p>
    <w:p>
      <w:pPr>
        <w:pStyle w:val="Heading1"/>
      </w:pPr>
      <w:r>
        <w:t>17 Original scope and final acceptance outcome</w:t>
      </w:r>
    </w:p>
    <w:p>
      <w:pPr>
        <w:pStyle w:val="Normal"/>
      </w:pPr>
      <w:r>
        <w:t>The baseline remains 27 requirements and 54 acceptance criteria. No approved baseline removal is recorded. Met scores 1, Partially Met 0.5 and Not Met 0. The final recorded evidence supports 48.5/54 × 100 = 89.8%: 46 Met, 5 Partially Met and 3 Not Met. The 80% target is a scope control; it does not override unresolved critical security or deployment concerns. Test counts are not acceptance scores.</w:t>
      </w:r>
    </w:p>
    <w:tbl>
      <w:tblPr>
        <w:tblW w:w="0" w:type="auto"/>
        <w:tblLayout w:type="fixed"/>
        <w:tblLook w:val="04A0" w:firstRow="1" w:lastRow="0" w:firstColumn="1" w:lastColumn="0" w:noHBand="0" w:noVBand="1"/>
      </w:tblPr>
      <w:tblGrid>
        <w:gridCol w:w="1259"/>
        <w:gridCol w:w="1799"/>
        <w:gridCol w:w="1919"/>
        <w:gridCol w:w="4917"/>
      </w:tblGrid>
      <w:tr>
        <w:trPr>
          <w:tblHeader/>
        </w:trPr>
        <w:tc>
          <w:tcPr>
            <w:tcW w:w="1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priority</w:t>
            </w:r>
          </w:p>
        </w:tc>
        <w:tc>
          <w:tcPr>
            <w:tcW w:w="17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1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and AC2</w:t>
            </w:r>
          </w:p>
        </w:tc>
        <w:tc>
          <w:tcPr>
            <w:tcW w:w="491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 or acceptance consequence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synthetic records; no attachments or external notifications are in the baseline.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seven-category catalogue is controlled in PortalOptions; a separate administrative category editor was not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accounts and local staging; no public production access is claimed.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Lists are unpaginated at the pilot scale.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is shown in current details and dated status history. General public notes are not stored with their own separate status snapshot, so AC1 remains partial.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Checks cover the supplied role/category dataset rather than an exhaustive penetration test.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pagination or ranked full-text search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Requesters receive a restricted projection; account IDs identify staff in the controlled demonstration.</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Concurrency was checked for the controlled two-claim race, not a production load profile.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source project still permits privileged code to reach EF directly; supported HTTP paths and writer boundaries are guarded.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Corrections are appended; there is no destructive note-edit endpoint.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automatic closure or reopening was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Summary reads are unpaginated and the full pilot response-time criterion remains separate.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Management sees request reference/category/status rather than requester private details.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Database administrators can alter tables; application append-only behaviour is not tamper-proof external archival.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self-registration, password reset, MFA or login rate limiting is delivered; these remain production security limitations.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Priority is one of Low, Normal or High; no custom priority editor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Forms state UTC explicitly; user-local timezone preferences are not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is the defined access-test set, not an external penetration assessment.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specified 10-user, 1,000-request, four-operation browser workload, separate visible-result timings and cold start were not executed. Not delivered.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PostgreSQL; infrastructure failover was not tested.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Four-of-five uncoached threshold failed. P2/P3 chose a different category; strict task-conforming uncoached completion is 2/5. Small local convenience sample.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complete Chrome/Edge screen matrix and keyboard validation-error journey are not yet evidenced.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host or browser-trusted deployed certificate exists. The isolated participant preview uses loopback HTTP with synthetic accounts; it does not satisfy deployed HTTPS acceptance.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Small synthetic local dataset and manual backup. Automatic scheduling, off-site retention and hosted disaster recovery are not established.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Sensitive-data logging must remain disabled when deploying or changing providers.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executable harnesses require explicit CI invocation rather than standard test discovery.</w:t>
            </w:r>
          </w:p>
        </w:tc>
      </w:tr>
    </w:tbl>
    <w:p>
      <w:pPr>
        <w:pStyle w:val="Normal"/>
      </w:pPr>
      <w:r>
        <w:t/>
      </w:r>
    </w:p>
    <w:p>
      <w:pPr>
        <w:pStyle w:val="Normal"/>
      </w:pPr>
      <w:r>
        <w:t>The continuing RTM retains the Requirements and RTM sheets, original identifiers, criteria, trace fields and earlier evidence. Columns W–AE record the final implementation, outcomes, formula-derived values, evidence and limitations. X41 calculates the scope percentage from the unchanged denominator. Verified means both listed criteria are supported by the recorded technical evidence; it does not invent stakeholder sign-off. Failed original commitments are not relabelled Deferred. Original future/out-of-scope items remain outside the denominator.</w:t>
      </w:r>
    </w:p>
    <w:p>
      <w:pPr>
        <w:pStyle w:val="Normal"/>
      </w:pPr>
      <w:r>
        <w:t>The main remaining scope consequences are the missing full NFR-002 pilot workload, incomplete browser/accessibility matrix and the absence of a trusted deployed HTTPS environment. The five observed usability sessions provide the NFR-004 evidence. The public security omission prevents production approval even where the functional scope score exceeds its target.</w:t>
      </w:r>
    </w:p>
    <w:p>
      <w:pPr>
        <w:pStyle w:val="Heading1"/>
      </w:pPr>
      <w:r>
        <w:t>18 M3 issues defects risks and technical debt</w:t>
      </w:r>
    </w:p>
    <w:tbl>
      <w:tblPr>
        <w:tblW w:w="0" w:type="auto"/>
        <w:tblLayout w:type="fixed"/>
        <w:tblLook w:val="04A0" w:firstRow="1" w:lastRow="0" w:firstColumn="1" w:lastColumn="0" w:noHBand="0" w:noVBand="1"/>
      </w:tblPr>
      <w:tblGrid>
        <w:gridCol w:w="2108"/>
        <w:gridCol w:w="7785"/>
      </w:tblGrid>
      <w:tr>
        <w:trPr>
          <w:tblHeader/>
        </w:trPr>
        <w:tc>
          <w:tcPr>
            <w:tcW w:w="21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7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disposition and evidence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Authorised persistence and stale category/version safeguards remain integrated. API/database and persistent role/concurrency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DEF-M3-C04/C05</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Staging is now permitted and real original journeys are integrated. Public production and unresolved NFR acceptance remain limitations rather than being described as missing presentation/storage.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R-011; TD-02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Reduced. Ownerless assignment is rejected by the legacy API and the low-level writer rechecks lifecycle legality. A dedicated atomic assignment validates stored acting/owning accounts. Shared-project direct EF access remains a privileged-code risk.</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R-014/015/017; TD-M3-02/03</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Audit covers creation, ownership, status, scheduling and notes; stored visibility remains private where required. Two concurrent HTTP claims save one owner; actor/key uniqueness prevents duplicate submissions. Restart/restore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R-018; TD-M3-04</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timed local restore recovers identical request, eligible owner, history, notes and scheduling data. Automated backup schedules, off-site retention, hosted rollback and production recovery remain unproven.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R-020/033/043/057</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Framework support review, trusted deployed HTTPS, credible operating-cost/effort records and full pilot performance remain carried forward. Support has not yet expired at submission.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R-007/056/058</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Stale AI findings and provisional scores were checked against the integrated source. Final per-criterion outcomes, source and limits are explicit; test execution, participant observations and peer reviews are recorded separately.</w:t>
            </w:r>
          </w:p>
        </w:tc>
      </w:tr>
    </w:tbl>
    <w:p>
      <w:pPr>
        <w:pStyle w:val="Normal"/>
      </w:pPr>
      <w:r>
        <w:t/>
      </w:r>
    </w:p>
    <w:p>
      <w:pPr>
        <w:pStyle w:val="Normal"/>
      </w:pPr>
      <w:r>
        <w:t>The existing risk register now includes final status and mitigation effectiveness for R-001–R-045 plus M3 extensions. Descriptions, owners and priorities retain their original baseline. A passing controlled test reduces a risk without proving production-scale effectiveness. Existing defect, technical-debt, decision and AI registers are continued in place; the raw ZIP and private handover material are excluded from the assessed tree.</w:t>
      </w:r>
    </w:p>
    <w:p>
      <w:pPr>
        <w:pStyle w:val="Heading1"/>
      </w:pPr>
      <w:r>
        <w:t>19 Significant decision consequences</w:t>
      </w:r>
    </w:p>
    <w:tbl>
      <w:tblPr>
        <w:tblW w:w="0" w:type="auto"/>
        <w:tblLayout w:type="fixed"/>
        <w:tblLook w:val="04A0" w:firstRow="1" w:lastRow="0" w:firstColumn="1" w:lastColumn="0" w:noHBand="0" w:noVBand="1"/>
      </w:tblPr>
      <w:tblGrid>
        <w:gridCol w:w="1649"/>
        <w:gridCol w:w="4672"/>
        <w:gridCol w:w="3572"/>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46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outcome and consequence</w:t>
            </w:r>
          </w:p>
        </w:tc>
        <w:tc>
          <w:tcPr>
            <w:tcW w:w="35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Conclusion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application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reuse the established query/status services while EF adapters own storage. Michael’s adapters connected to the presentation without moving database queries into views. One shared assembly still permits boundary violations.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proportional single application; strengthen boundaries only where maintenance warrants 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six-state matrix drives the legacy adapter and portal. The persistence boundary now rechecks legality and assignment records ownership atomically. State classes add structure beyond a simple transition table.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single legality service and validated change; acknowledge the maintenance overhead and enforce every new write path.</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 and ADR-M2-04 persistence and stack</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migrations extended the original relational model with accounts, owner/priority/due date, dated notes and scheduling audit. Transaction, duplicate-key and restore checks work across the integrated application. Hosted operation remains unverified.</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stack and transaction boundary; review supported runtime versions and hosting/security before production.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ownership and staff categories are reused by API and portal. Stored account role, category, active state and stamp are rechecked for sessions. Query scoping precedes filters and totals.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server-side policy and session freshness. UI visibility alone remains insufficient.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verification and reviewed integration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Explicit harness invocation caught sort-name, unsafe logging, incomplete audit and ownerless-assignment problems. New persistent scenarios test integration rather than fixtures alone. Team review confirmed on 18 October; GitHub approvals are separate.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meaningful negative checks and current-revision review; standard test reporting remains debt.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Technology selection before construction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C#/Razor/EF/PostgreSQL stack was retained. Early selection provided consistency, but did not itself prove integration or hosted readiness. .NET 8 support ends 10 November 2026.</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evidence-based stack selection with an explicit support review date; a baselined decision still requires implementation evidence.</w:t>
            </w:r>
          </w:p>
        </w:tc>
      </w:tr>
    </w:tbl>
    <w:p>
      <w:pPr>
        <w:pStyle w:val="Normal"/>
      </w:pPr>
      <w:r>
        <w:t/>
      </w:r>
    </w:p>
    <w:p>
      <w:pPr>
        <w:pStyle w:val="Normal"/>
      </w:pPr>
      <w:r>
        <w:t>ADR-M2-06 is realised through explicit application coordination and database transactions for required effects. Status, audit and feedback are not optional asynchronous notifications. The consequences above are based on repository evidence. Each member is responsible for their own reflection and review.</w:t>
      </w:r>
    </w:p>
    <w:p>
      <w:pPr>
        <w:pStyle w:val="Heading1"/>
      </w:pPr>
      <w:r>
        <w:t>20 Success evaluation</w:t>
      </w:r>
    </w:p>
    <w:tbl>
      <w:tblPr>
        <w:tblW w:w="0" w:type="auto"/>
        <w:tblLayout w:type="fixed"/>
        <w:tblLook w:val="04A0" w:firstRow="1" w:lastRow="0" w:firstColumn="1" w:lastColumn="0" w:noHBand="0" w:noVBand="1"/>
      </w:tblPr>
      <w:tblGrid>
        <w:gridCol w:w="1649"/>
        <w:gridCol w:w="4259"/>
        <w:gridCol w:w="3985"/>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Dimension from the Master Brief</w:t>
            </w:r>
          </w:p>
        </w:tc>
        <w:tc>
          <w:tcPr>
            <w:tcW w:w="4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based outcome</w:t>
            </w:r>
          </w:p>
        </w:tc>
        <w:tc>
          <w:tcPr>
            <w:tcW w:w="39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An integrated requester-to-staff lifecycle and management view now address the original service-request problem.</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data and controlled access do not establish adoption or production benefit.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unchanged original criteria yield 89.8%; each omission retains its consequence.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percentage does not remove the critical deployed-security and performance gaps.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Late integration was completed during 18 October finalisation; dated commits show the 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team’s planned and actual task dates were not available for a numerical variance calculation.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 and resources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local tooling, PostgreSQL and a standard GitHub CI runner support the demonstrated build. No hosted environment was provisioned.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effort/spend ledger or selected post-pilot hosting plan exists; actual total costs could not be calculated.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Repeatable tests cover valid and invalid paths, concurrency, rollback, persistence and safe errors; a timed restore passes. Five observed usability sessions are recorded.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Only three of five finished without coaching; full pilot performance and browser matrix remain incomplete.</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Stored password hashes, server-owned permissions, session revalidation, antiforgery and private projections are integrated.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Public TLS/key operations, login hardening and independent security testing remain limits.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Original risk identities are retained with final dispositions and mitigation effectiveness.</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Several hosting, pricing and resource controls remain unexercised rather than falsely closed.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and operations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product is reproducible in controlled local staging and CI; local data recovery is timed and consistent.</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production host, trusted deployed certificate or hosted rollback evidence exists.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and evolution</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Layered responsibilities, one lifecycle matrix, traceability and existing registers support handover.</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Shared-assembly boundaries, custom test discovery and imminent framework support review remain work.</w:t>
            </w:r>
          </w:p>
        </w:tc>
      </w:tr>
    </w:tbl>
    <w:p>
      <w:pPr>
        <w:pStyle w:val="Normal"/>
      </w:pPr>
      <w:r>
        <w:t/>
      </w:r>
    </w:p>
    <w:p>
      <w:pPr>
        <w:pStyle w:val="Heading1"/>
      </w:pPr>
      <w:r>
        <w:t>21 Schedule cost and resource evaluation</w:t>
      </w:r>
    </w:p>
    <w:p>
      <w:pPr>
        <w:pStyle w:val="Normal"/>
      </w:pPr>
      <w:r>
        <w:t>Repository evidence shows M2’s 30 September baseline, M3’s agreed 15 October controlled increment, Michael’s 18 October account/request/scheduling commits and the combined M4 corrections. The observed constraint was late convergence of separately implemented components into user journeys. Commit dates show the order of integration, but individual effort hours and reasons for delay were not recorded.</w:t>
      </w:r>
    </w:p>
    <w:p>
      <w:pPr>
        <w:pStyle w:val="Normal"/>
      </w:pPr>
      <w:r>
        <w:t>The original free-tier assumption reduced the need for purchased infrastructure during this controlled finalisation, but is not an actual-spend ledger. Cameron confirms no existing hosting account or deployed environment. GitHub documents that standard hosted runners are free for public repositories; the workflow uses ubuntu-latest. Computer, network, time and any earlier spending were not costed. A cost forecast requires a selected host and database, retention and load estimates, and dated prices. Those inputs were unavailable. R-006 and R-043 therefore remain open. Bianca’s blank effort/cost workbook is not submitted as a completed evaluation.</w:t>
      </w:r>
    </w:p>
    <w:p>
      <w:pPr>
        <w:pStyle w:val="Heading1"/>
      </w:pPr>
      <w:r>
        <w:t>22 Deployment and go live decision</w:t>
      </w:r>
    </w:p>
    <w:p>
      <w:pPr>
        <w:pStyle w:val="Normal"/>
      </w:pPr>
      <w:r>
        <w:t>Final declared state: staging through a controlled local simulation. Decision: NO-GO for public production. The specific concerns are the absent hosted certificate and protected operating configuration, incomplete full user-visible pilot performance, and unproven hosted recovery/rollback. The local participant preview uses HTTP only on loopback and temporary synthetic accounts; it is usability evidence, not an exception permitting real credentials over public HTTP. HTTPS checks use a generated certificate pinned by the test client.</w:t>
      </w:r>
    </w:p>
    <w:p>
      <w:pPr>
        <w:pStyle w:val="Normal"/>
      </w:pPr>
      <w:r>
        <w:t>Before public go-live, establish a trusted hosted HTTPS environment and protected keys/secrets, finish the original operation-level performance workload, exercise the hosting migration/rollback/recovery process, and resolve material security/review findings. These are known acceptance and operating gaps, not a claim that missing work is automatically an engineering precaution. The M4 scope permits an honest evidence-based staging/no-go conclusion; it does not require a new infrastructure programme at closure.</w:t>
      </w:r>
    </w:p>
    <w:p>
      <w:pPr>
        <w:pStyle w:val="Heading1"/>
      </w:pPr>
      <w:r>
        <w:t>23 Validation and contribution evidence</w:t>
      </w:r>
    </w:p>
    <w:p>
      <w:pPr>
        <w:pStyle w:val="Normal"/>
      </w:pPr>
      <w:r>
        <w:t>Cameron observed five participants receiving the same written IT Support/Library Wi-Fi task on 18 October 2026. All reported submission and finding status within five minutes: P1 138 seconds, P2 83, P3 185, P4 27 and P5 112. The observer reported no errors; P3 and P5 needed coaching. Only three of five completed without coaching, below the required four: AC-NFR-004-1 is Not Met. P2 selected Facility Faults because they associated the issue with the facility; P3 chose Other because Wi-Fi was not an option. Strict category-conforming uncoached completion is two of five. The same task and recorded completion/time/error/coaching observations satisfy AC2. Cameron recorded the timings and observations. The small convenience sample and category discoverability remain limitations. Full anonymous records: docs/evidence/m4-final-20261018/usability.md.</w:t>
      </w:r>
    </w:p>
    <w:p>
      <w:pPr>
        <w:pStyle w:val="Normal"/>
      </w:pPr>
      <w:r>
        <w:t>Michael’s commits supply real account hashing, EF portal operations, transactional assignment, security stamps and scheduling audit. Bianca’s supplied work supplies the State/ownership/summary rules, 44 checks and closure drafts. Cameron’s finalisation supplies the presentation, black-box/persistent journey checks, integration corrections, traceability and consolidated records. Git history and the AI register record each contribution and how it was checked. Effort hours were not recorded, and teammate review remains separate from automated testing.</w:t>
      </w:r>
    </w:p>
    <w:p>
      <w:pPr>
        <w:pStyle w:val="Heading1"/>
      </w:pPr>
      <w:r>
        <w:t>24 AI usage and project conclusion</w:t>
      </w:r>
    </w:p>
    <w:p>
      <w:pPr>
        <w:pStyle w:val="Normal"/>
      </w:pPr>
      <w:r>
        <w:t>Cameron used ChatGPT and Codex for guidance, troubleshooting, rough drafts and consolidation of the PED, RTM and registers. Codex also assisted with implementation and tests. Cameron confirmed that he reviewed the code, worked through the application, inspected the PED and RTM several times, ran builds himself and observed the five usability sessions. Michael reports using ChatGPT for error handling, debugging and troubleshooting; he reviewed, implemented and tested suggested changes in Rider, through .NET builds and automated tests. Bianca used ChatGPT for tables and wording and Claude Code for technical work and drafts. Bianca confirmed that she personally tested all her M4 work. The continuing AI Usage Register retains the earlier records and distinguishes human verification from automated execution.</w:t>
      </w:r>
    </w:p>
    <w:p>
      <w:pPr>
        <w:pStyle w:val="Normal"/>
      </w:pPr>
      <w:r>
        <w:t>The project delivered a coherent implementation of the central original request lifecycle, with stored identity, permission boundaries, transactional changes, audit and management reporting. Its strongest demonstrated decisions were central authorisation, one legality service and explicit transaction ownership. The main weakness was late integration and incomplete operating/acceptance evidence. The final assessment distinguishes delivered functionality from public release readiness and retains every original unmet criterion. A future team should finish the specific deployment, pilot measurement and maintenance gaps before expanding optional scope.</w:t>
      </w:r>
    </w:p>
    <w:p>
      <w:pPr>
        <w:pStyle w:val="Heading1"/>
      </w:pPr>
      <w:r>
        <w:t>25 Evidence and references</w:t>
      </w:r>
    </w:p>
    <w:p>
      <w:pPr>
        <w:pStyle w:val="Normal"/>
      </w:pPr>
      <w:r>
        <w:t>Primary controlled records: docs/CivicConnect_RTM_v2.0.xlsx and Markdown copy; docs/evidence/m4-final-20261018/summary.md and recovery.json; docs/testing-m3.md; docs/risk-register.md; docs/defects.md; docs/technical-debt.md; docs/decisions/README.md; docs/ai-usage.md; docs/github-evidence.md; docs/submission-information.md. Earlier milestone reports, raw failures and approvals retain their original dates and scope.</w:t>
      </w:r>
    </w:p>
    <w:p>
      <w:pPr>
        <w:pStyle w:val="Normal"/>
      </w:pPr>
      <w:r>
        <w:t>SEN381 Final Project scope, Milestone 4, sections 1–11 and 15–17; SEN381 Master Project Brief section 21. Supplied course documents determine the closure and evaluation requirements.</w:t>
      </w:r>
    </w:p>
    <w:p>
      <w:pPr>
        <w:pStyle w:val="Normal"/>
      </w:pPr>
      <w:r>
        <w:t>Microsoft (2026), .NET and .NET Core support policy, https://dotnet.microsoft.com/en-us/platform/support/policy/dotnet-core. GitHub (2026), Choosing the runner for a job, https://docs.github.com/en/actions/how-tos/write-workflows/choose-where-workflows-run/choose-the-runner-for-a-job. Accessed 18 October 2026.</w:t>
      </w:r>
    </w:p>
    <w:p>
      <w:pPr>
        <w:pStyle w:val="Heading1"/>
        <w:pageBreakBefore/>
      </w:pPr>
      <w:r>
        <w:t>26 M4 Final Submission Information</w:t>
      </w:r>
    </w:p>
    <w:tbl>
      <w:tblPr>
        <w:tblW w:w="0" w:type="auto"/>
        <w:tblLayout w:type="fixed"/>
        <w:tblLook w:val="04A0" w:firstRow="1" w:lastRow="0" w:firstColumn="1" w:lastColumn="0" w:noHBand="0" w:noVBand="1"/>
      </w:tblPr>
      <w:tblGrid>
        <w:gridCol w:w="2061"/>
        <w:gridCol w:w="7832"/>
      </w:tblGrid>
      <w:tr>
        <w:trPr>
          <w:tblHeader/>
        </w:trPr>
        <w:tc>
          <w:tcPr>
            <w:tcW w:w="2061"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Field</w:t>
            </w:r>
          </w:p>
        </w:tc>
        <w:tc>
          <w:tcPr>
            <w:tcW w:w="78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submission record</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Team</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Virtual Group K</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Team members</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Cameron Purdon 601963; Bianca Grobler 600537; Michael Ellis 600332</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GitHub repository</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release identifier</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m4-final-20261018-r6 on feature/cameron-m4-finalisation. This tag identifies the exact assessed repository revision.</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PED version</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v4.0 Final; 18 October 2026. Primary document: docs/PED_v4.0_Final.pdf; editable source: docs/PED_v4.0.docx.</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RTM</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docs/CivicConnect_RTM_v2.0.xlsx; matching Markdown: docs/CivicConnect_RTM_v2.0.md. Original 27 requirements and 54 criteria retained.</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CI and test evidence</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docs/evidence/m4-final-20261018/summary.md; 201 passing checks. Code CI: https://github.com/Michael-Ellis819/Virtual_Group_K_SEN381_Project/actions/runs/39145430277 (tested runtime code 625e4e9). Final revision: https://github.com/Michael-Ellis819/Virtual_Group_K_SEN381_Project/pull/22/checks.</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environment</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staging; NO-GO for public production. Section 22 records the reasons and work required before go-live.</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Product access and demonstration</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Local preview: http://127.0.0.1:5089 on the demonstration computer while running. Demo account details are held separately by the team. No public hosted URL is available. README records reproducible local setup.</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Team review and agreement</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Cameron, Michael and Bianca reviewed the combined final product, PED and RTM and agreed on a group call to submit on 18 October 2026; confirmed by Cameron.</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Formal GitHub reviews</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PR22 is a draft with no submitted GitHub review entries at the final check. Team agreement on the call is recorded separately from formal PR approval.</w:t>
            </w:r>
          </w:p>
        </w:tc>
      </w:tr>
      <w:tr>
        <w:tc>
          <w:tcPr>
            <w:tcW w:w="20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Date submitted</w:t>
            </w:r>
          </w:p>
        </w:tc>
        <w:tc>
          <w:tcPr>
            <w:tcW w:w="78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18 October 2026, confirmed by Cameron.</w:t>
            </w:r>
          </w:p>
        </w:tc>
      </w:tr>
    </w:tbl>
    <w:p>
      <w:pPr>
        <w:pStyle w:val="Normal"/>
      </w:pPr>
      <w:r>
        <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Final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