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CivicConnect M3 Final Review: Conformance, Risks and Release Classification</w:t>
      </w:r>
    </w:p>
    <w:p>
      <w:r>
        <w:t>Reviewer: Bianca Grobler 600537 | Virtual Group K | SEN381 | Basis: PED v3.0 and RTM v2.0 (evidence cutoff 13 October 2026). DRAFT: confirm against the repository before signing off.</w:t>
      </w:r>
    </w:p>
    <w:p>
      <w:pPr>
        <w:pStyle w:val="Heading2"/>
      </w:pPr>
      <w:r>
        <w:t>1. Outcome</w:t>
      </w:r>
    </w:p>
    <w:p>
      <w:r>
        <w:t>Release classification confirmed: NOT READY. The demonstrated increment (protected request retrieval and status management) conforms to the approved architecture decisions for the paths that were tested. The candidate is not releasable because High-severity defects remain open, performance and recovery are unmeasured, and the exact candidate has no remote CI run or independent review.</w:t>
      </w:r>
    </w:p>
    <w:p>
      <w:pPr>
        <w:pStyle w:val="Heading2"/>
      </w:pPr>
      <w:r>
        <w:t>2. Conformance review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Decision</w:t>
            </w:r>
          </w:p>
        </w:tc>
        <w:tc>
          <w:tcPr>
            <w:tcW w:type="dxa" w:w="2160"/>
          </w:tcPr>
          <w:p>
            <w:r>
              <w:t>Implementation observed</w:t>
            </w:r>
          </w:p>
        </w:tc>
        <w:tc>
          <w:tcPr>
            <w:tcW w:type="dxa" w:w="2160"/>
          </w:tcPr>
          <w:p>
            <w:r>
              <w:t>Verdict</w:t>
            </w:r>
          </w:p>
        </w:tc>
        <w:tc>
          <w:tcPr>
            <w:tcW w:type="dxa" w:w="2160"/>
          </w:tcPr>
          <w:p>
            <w:r>
              <w:t>Residual issue</w:t>
            </w:r>
          </w:p>
        </w:tc>
      </w:tr>
      <w:tr>
        <w:tc>
          <w:tcPr>
            <w:tcW w:type="dxa" w:w="2160"/>
          </w:tcPr>
          <w:p>
            <w:r>
              <w:t>ADR-M2-01 Layered MVC application, single relational store</w:t>
            </w:r>
          </w:p>
        </w:tc>
        <w:tc>
          <w:tcPr>
            <w:tcW w:type="dxa" w:w="2160"/>
          </w:tcPr>
          <w:p>
            <w:r>
              <w:t>Controllers delegate to application services; EF Core/PostgreSQL adapters persist data (PED 5.3.1, 8.4).</w:t>
            </w:r>
          </w:p>
        </w:tc>
        <w:tc>
          <w:tcPr>
            <w:tcW w:type="dxa" w:w="2160"/>
          </w:tcPr>
          <w:p>
            <w:r>
              <w:t>Conforms (tested paths)</w:t>
            </w:r>
          </w:p>
        </w:tc>
        <w:tc>
          <w:tcPr>
            <w:tcW w:type="dxa" w:w="2160"/>
          </w:tcPr>
          <w:p>
            <w:r>
              <w:t>All layers share one project (TD-01, R-051). No dependency-direction review or automated check is recorded, so layering rests on convention.</w:t>
            </w:r>
          </w:p>
        </w:tc>
      </w:tr>
      <w:tr>
        <w:tc>
          <w:tcPr>
            <w:tcW w:type="dxa" w:w="2160"/>
          </w:tcPr>
          <w:p>
            <w:r>
              <w:t>ADR-M2-02 State pattern for lifecycle</w:t>
            </w:r>
          </w:p>
        </w:tc>
        <w:tc>
          <w:tcPr>
            <w:tcW w:type="dxa" w:w="2160"/>
          </w:tcPr>
          <w:p>
            <w:r>
              <w:t>StatusTransitionService: six states, five legal edges, terminal states deny reopening. C01/C02/C04 pass; the forbidden-edge probe is detected by C02.</w:t>
            </w:r>
          </w:p>
        </w:tc>
        <w:tc>
          <w:tcPr>
            <w:tcW w:type="dxa" w:w="2160"/>
          </w:tcPr>
          <w:p>
            <w:r>
              <w:t>Conforms</w:t>
            </w:r>
          </w:p>
        </w:tc>
        <w:tc>
          <w:tcPr>
            <w:tcW w:type="dxa" w:w="2160"/>
          </w:tcPr>
          <w:p>
            <w:r>
              <w:t>Legality is enforced only for routes that use the coordinator. The low-level writer is callable directly (TD-02, M3-R01, R-046).</w:t>
            </w:r>
          </w:p>
        </w:tc>
      </w:tr>
      <w:tr>
        <w:tc>
          <w:tcPr>
            <w:tcW w:type="dxa" w:w="2160"/>
          </w:tcPr>
          <w:p>
            <w:r>
              <w:t>ADR-M2-05/06 Central access policy and status API</w:t>
            </w:r>
          </w:p>
        </w:tc>
        <w:tc>
          <w:tcPr>
            <w:tcW w:type="dxa" w:w="2160"/>
          </w:tcPr>
          <w:p>
            <w:r>
              <w:t>RequestAccessPolicy checks permission. RequestStatusService validates input, permission and State, then passes one versioned command to the transactional writer. BB05, A04, A05, A06, E01 and E02 pass.</w:t>
            </w:r>
          </w:p>
        </w:tc>
        <w:tc>
          <w:tcPr>
            <w:tcW w:type="dxa" w:w="2160"/>
          </w:tcPr>
          <w:p>
            <w:r>
              <w:t>Conforms</w:t>
            </w:r>
          </w:p>
        </w:tc>
        <w:tc>
          <w:tcPr>
            <w:tcW w:type="dxa" w:w="2160"/>
          </w:tcPr>
          <w:p>
            <w:r>
              <w:t>Identities are synthetic only; live permission freshness is unverified (TD-M3-C01, R-049, FR-016).</w:t>
            </w:r>
          </w:p>
        </w:tc>
      </w:tr>
      <w:tr>
        <w:tc>
          <w:tcPr>
            <w:tcW w:type="dxa" w:w="2160"/>
          </w:tcPr>
          <w:p>
            <w:r>
              <w:t>Deployment and staging direction (ADR-M2-01 consequence)</w:t>
            </w:r>
          </w:p>
        </w:tc>
        <w:tc>
          <w:tcPr>
            <w:tcW w:type="dxa" w:w="2160"/>
          </w:tcPr>
          <w:p>
            <w:r>
              <w:t>Staging is simulated by a test host that skips the normal Program guard. The real web entry point accepts Development only.</w:t>
            </w:r>
          </w:p>
        </w:tc>
        <w:tc>
          <w:tcPr>
            <w:tcW w:type="dxa" w:w="2160"/>
          </w:tcPr>
          <w:p>
            <w:r>
              <w:t>Does not conform (known)</w:t>
            </w:r>
          </w:p>
        </w:tc>
        <w:tc>
          <w:tcPr>
            <w:tcW w:type="dxa" w:w="2160"/>
          </w:tcPr>
          <w:p>
            <w:r>
              <w:t>DEF-M3-C04 (High, Open) and R-054. PostgreSQL 18.4 locally vs 17 in CI.</w:t>
            </w:r>
          </w:p>
        </w:tc>
      </w:tr>
    </w:tbl>
    <w:p/>
    <w:p>
      <w:r>
        <w:t>Conclusion: the architecture was implemented as decided for the status slice. The passing checks show selected behaviour, not enforcement for every future route. The ADR "final conformance and deployment review" statement can be closed for the layered/State/policy decisions (TD-04) but stays open for deployment.</w:t>
      </w:r>
    </w:p>
    <w:p>
      <w:pPr>
        <w:pStyle w:val="Heading2"/>
      </w:pPr>
      <w:r>
        <w:t>3. Risk and technical-debt review (items I own or share)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Recommended status</w:t>
            </w:r>
          </w:p>
        </w:tc>
        <w:tc>
          <w:tcPr>
            <w:tcW w:type="dxa" w:w="2880"/>
          </w:tcPr>
          <w:p>
            <w:r>
              <w:t>Reason / action</w:t>
            </w:r>
          </w:p>
        </w:tc>
      </w:tr>
      <w:tr>
        <w:tc>
          <w:tcPr>
            <w:tcW w:type="dxa" w:w="2880"/>
          </w:tcPr>
          <w:p>
            <w:r>
              <w:t>TD-04 ADR consequences lack final review</w:t>
            </w:r>
          </w:p>
        </w:tc>
        <w:tc>
          <w:tcPr>
            <w:tcW w:type="dxa" w:w="2880"/>
          </w:tcPr>
          <w:p>
            <w:r>
              <w:t>Close (this review)</w:t>
            </w:r>
          </w:p>
        </w:tc>
        <w:tc>
          <w:tcPr>
            <w:tcW w:type="dxa" w:w="2880"/>
          </w:tcPr>
          <w:p>
            <w:r>
              <w:t>Section 2 compares the dated consequences with the implemented code and effects. Keep the deployment caveat.</w:t>
            </w:r>
          </w:p>
        </w:tc>
      </w:tr>
      <w:tr>
        <w:tc>
          <w:tcPr>
            <w:tcW w:type="dxa" w:w="2880"/>
          </w:tcPr>
          <w:p>
            <w:r>
              <w:t>TD-05 / R-058 Evidence drift from release ID</w:t>
            </w:r>
          </w:p>
        </w:tc>
        <w:tc>
          <w:tcPr>
            <w:tcW w:type="dxa" w:w="2880"/>
          </w:tcPr>
          <w:p>
            <w:r>
              <w:t>Remain Open (partial)</w:t>
            </w:r>
          </w:p>
        </w:tc>
        <w:tc>
          <w:tcPr>
            <w:tcW w:type="dxa" w:w="2880"/>
          </w:tcPr>
          <w:p>
            <w:r>
              <w:t>Tested revision f774bf8 is a local branch with no PR or remote run. Inspected main is 216f405. The tag m3-personal-evidence-20261013 is local. Action: freeze one published identifier and align code, RTM, PED and CI to it.</w:t>
            </w:r>
          </w:p>
        </w:tc>
      </w:tr>
      <w:tr>
        <w:tc>
          <w:tcPr>
            <w:tcW w:type="dxa" w:w="2880"/>
          </w:tcPr>
          <w:p>
            <w:r>
              <w:t>TD-01 / R-051 Layers in one project</w:t>
            </w:r>
          </w:p>
        </w:tc>
        <w:tc>
          <w:tcPr>
            <w:tcW w:type="dxa" w:w="2880"/>
          </w:tcPr>
          <w:p>
            <w:r>
              <w:t>Remain Open</w:t>
            </w:r>
          </w:p>
        </w:tc>
        <w:tc>
          <w:tcPr>
            <w:tcW w:type="dxa" w:w="2880"/>
          </w:tcPr>
          <w:p>
            <w:r>
              <w:t>No dependency review recorded. Action: add a short dependency-direction check, or document why it is accepted for M3.</w:t>
            </w:r>
          </w:p>
        </w:tc>
      </w:tr>
      <w:tr>
        <w:tc>
          <w:tcPr>
            <w:tcW w:type="dxa" w:w="2880"/>
          </w:tcPr>
          <w:p>
            <w:r>
              <w:t>M3-R01 / R-046 / TD-02 Writer bypass</w:t>
            </w:r>
          </w:p>
        </w:tc>
        <w:tc>
          <w:tcPr>
            <w:tcW w:type="dxa" w:w="2880"/>
          </w:tcPr>
          <w:p>
            <w:r>
              <w:t>Remain: mitigated for tested API, residual risk</w:t>
            </w:r>
          </w:p>
        </w:tc>
        <w:tc>
          <w:tcPr>
            <w:tcW w:type="dxa" w:w="2880"/>
          </w:tcPr>
          <w:p>
            <w:r>
              <w:t>Review each future write route; require coordinator, State and policy checks.</w:t>
            </w:r>
          </w:p>
        </w:tc>
      </w:tr>
      <w:tr>
        <w:tc>
          <w:tcPr>
            <w:tcW w:type="dxa" w:w="2880"/>
          </w:tcPr>
          <w:p>
            <w:r>
              <w:t>R-047 Lifecycle matrix (with Michael)</w:t>
            </w:r>
          </w:p>
        </w:tc>
        <w:tc>
          <w:tcPr>
            <w:tcW w:type="dxa" w:w="2880"/>
          </w:tcPr>
          <w:p>
            <w:r>
              <w:t>Close for M3 scope</w:t>
            </w:r>
          </w:p>
        </w:tc>
        <w:tc>
          <w:tcPr>
            <w:tcW w:type="dxa" w:w="2880"/>
          </w:tcPr>
          <w:p>
            <w:r>
              <w:t>C01/C02 verify the full matrix against the original five-edge lifecycle.</w:t>
            </w:r>
          </w:p>
        </w:tc>
      </w:tr>
      <w:tr>
        <w:tc>
          <w:tcPr>
            <w:tcW w:type="dxa" w:w="2880"/>
          </w:tcPr>
          <w:p>
            <w:r>
              <w:t>R-055 Uncontrolled release severity</w:t>
            </w:r>
          </w:p>
        </w:tc>
        <w:tc>
          <w:tcPr>
            <w:tcW w:type="dxa" w:w="2880"/>
          </w:tcPr>
          <w:p>
            <w:r>
              <w:t>Remain Open</w:t>
            </w:r>
          </w:p>
        </w:tc>
        <w:tc>
          <w:tcPr>
            <w:tcW w:type="dxa" w:w="2880"/>
          </w:tcPr>
          <w:p>
            <w:r>
              <w:t>Policy says Critical/High block release. DEF-M3-C04 and DEF-M3-C05 are High and Open, with no recorded team acceptance. This review treats them as blockers.</w:t>
            </w:r>
          </w:p>
        </w:tc>
      </w:tr>
      <w:tr>
        <w:tc>
          <w:tcPr>
            <w:tcW w:type="dxa" w:w="2880"/>
          </w:tcPr>
          <w:p>
            <w:r>
              <w:t>R-052 Green checks omit workflow (team)</w:t>
            </w:r>
          </w:p>
        </w:tc>
        <w:tc>
          <w:tcPr>
            <w:tcW w:type="dxa" w:w="2880"/>
          </w:tcPr>
          <w:p>
            <w:r>
              <w:t>Remain Open</w:t>
            </w:r>
          </w:p>
        </w:tc>
        <w:tc>
          <w:tcPr>
            <w:tcW w:type="dxa" w:w="2880"/>
          </w:tcPr>
          <w:p>
            <w:r>
              <w:t>Creation, login, assignment and reporting are absent. Passing suites must not be read as product acceptance.</w:t>
            </w:r>
          </w:p>
        </w:tc>
      </w:tr>
    </w:tbl>
    <w:p>
      <w:pPr>
        <w:pStyle w:val="Heading2"/>
      </w:pPr>
      <w:r>
        <w:t>4. Release classification</w:t>
      </w:r>
    </w:p>
    <w:p>
      <w:r>
        <w:t>NOT READY is confirmed for these reasons:</w:t>
      </w:r>
    </w:p>
    <w:p>
      <w:pPr>
        <w:pStyle w:val="ListBullet"/>
      </w:pPr>
      <w:r>
        <w:t>DEF-M3-C04 (High, Open): the real web entry point rejects Staging, so the staging evidence is simulated.</w:t>
      </w:r>
    </w:p>
    <w:p>
      <w:pPr>
        <w:pStyle w:val="ListBullet"/>
      </w:pPr>
      <w:r>
        <w:t>DEF-M3-C05 (High, Open): account sign-in, submission, assignment and reporting are not implemented. In the RTM, 14 of 27 requirements are In Development, 13 are Planned and none are complete.</w:t>
      </w:r>
    </w:p>
    <w:p>
      <w:pPr>
        <w:pStyle w:val="ListBullet"/>
      </w:pPr>
      <w:r>
        <w:t>NFR-002 (performance) and NFR-007 (backup/restore) have no measurements (M3-R05, R-057).</w:t>
      </w:r>
    </w:p>
    <w:p>
      <w:pPr>
        <w:pStyle w:val="ListBullet"/>
      </w:pPr>
      <w:r>
        <w:t>No remote CI run and no independent review exist for the current local branch. The Main ruleset requires two approvals but CI is not a required status check.</w:t>
      </w:r>
    </w:p>
    <w:p>
      <w:pPr>
        <w:pStyle w:val="ListBullet"/>
      </w:pPr>
      <w:r>
        <w:t>No team acceptance of the deferred High items is recorded.</w:t>
      </w:r>
    </w:p>
    <w:p>
      <w:r>
        <w:t>READY and CONDITIONALLY READY are not supported. For a milestone submission the correct statement is: the status-management increment is verified locally; the release is NOT READY.</w:t>
      </w:r>
    </w:p>
    <w:p>
      <w:pPr>
        <w:pStyle w:val="Heading2"/>
      </w:pPr>
      <w:r>
        <w:t>5. Conditions to move towards CONDITIONALLY READY</w:t>
      </w:r>
    </w:p>
    <w:p>
      <w:pPr>
        <w:pStyle w:val="ListNumber"/>
      </w:pPr>
      <w:r>
        <w:t>Publish the branch, open a PR, obtain two distinct approvals and a green remote CI run on one frozen commit; record that identifier.</w:t>
      </w:r>
    </w:p>
    <w:p>
      <w:pPr>
        <w:pStyle w:val="ListNumber"/>
      </w:pPr>
      <w:r>
        <w:t>Make Staging startup work in the real Program (or document an accepted, owned deviation) and re-run on that configuration.</w:t>
      </w:r>
    </w:p>
    <w:p>
      <w:pPr>
        <w:pStyle w:val="ListNumber"/>
      </w:pPr>
      <w:r>
        <w:t>Record load and restore measurements, or a signed acceptance of the deferral with owner and date.</w:t>
      </w:r>
    </w:p>
    <w:p>
      <w:pPr>
        <w:pStyle w:val="ListNumber"/>
      </w:pPr>
      <w:r>
        <w:t>Replace synthetic identities with a trusted-account path, or accept the limitation in writing.</w:t>
      </w:r>
    </w:p>
    <w:p>
      <w:pPr>
        <w:pStyle w:val="Heading2"/>
      </w:pPr>
      <w:r>
        <w:t>6. Inconsistencies noticed while reviewing</w:t>
      </w:r>
    </w:p>
    <w:p>
      <w:pPr>
        <w:pStyle w:val="ListBullet"/>
      </w:pPr>
      <w:r>
        <w:t>Status wording differs: the RTM uses Planned / In Development, while PED section 7 and 9 tables use "Partially verified". Align before export.</w:t>
      </w:r>
    </w:p>
    <w:p>
      <w:pPr>
        <w:pStyle w:val="ListBullet"/>
      </w:pPr>
      <w:r>
        <w:t>R-026/R-027 still say "recheck when Bianca integrates writes", but Cameron integrated the write path in M3. Update the owner or wording.</w:t>
      </w:r>
    </w:p>
    <w:p>
      <w:pPr>
        <w:pStyle w:val="ListBullet"/>
      </w:pPr>
      <w:r>
        <w:t>PED 15 shows Date submitted as not recorded and the identifier as a local tag (Cameron to complete before export).</w:t>
      </w:r>
    </w:p>
    <w:p>
      <w:r>
        <w:t>Sign-off: Bianca Grobler, 600537 | Date: 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