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7D0A5" w14:textId="426BD21D" w:rsidR="0079073F" w:rsidRDefault="0079073F" w:rsidP="0079073F">
      <w:pPr>
        <w:pStyle w:val="Heading1"/>
      </w:pPr>
      <w:r>
        <w:t>Assignment 2</w:t>
      </w:r>
      <w:r>
        <w:t>;</w:t>
      </w:r>
      <w:r>
        <w:t xml:space="preserve"> Research for Engineering Decisions</w:t>
      </w:r>
    </w:p>
    <w:p w14:paraId="2C9BFC38" w14:textId="77777777" w:rsidR="0079073F" w:rsidRDefault="0079073F" w:rsidP="0079073F">
      <w:pPr>
        <w:pStyle w:val="Heading2"/>
      </w:pPr>
      <w:r>
        <w:t>Bianca's Sections: Task 2 (Persistence &amp; Data Integrity, 10 marks) &amp; Task 3 (APIs &amp; Integration, 10 marks)</w:t>
      </w:r>
    </w:p>
    <w:p w14:paraId="41A0C385" w14:textId="77777777" w:rsidR="0079073F" w:rsidRDefault="0079073F" w:rsidP="0079073F"/>
    <w:p w14:paraId="4F79AA05" w14:textId="6E4FAB56" w:rsidR="0079073F" w:rsidRDefault="0079073F" w:rsidP="0079073F">
      <w:pPr>
        <w:pStyle w:val="Heading3"/>
      </w:pPr>
      <w:r>
        <w:t>Task 2</w:t>
      </w:r>
      <w:r>
        <w:t>;</w:t>
      </w:r>
      <w:r>
        <w:t xml:space="preserve"> Researching Persistence and Data-Integrity Decisions</w:t>
      </w:r>
    </w:p>
    <w:p w14:paraId="097C6074" w14:textId="77777777" w:rsidR="0079073F" w:rsidRDefault="0079073F" w:rsidP="0079073F">
      <w:pPr>
        <w:pStyle w:val="Heading4"/>
      </w:pPr>
      <w:r>
        <w:t>5.1 Selected operation</w:t>
      </w:r>
    </w:p>
    <w:p w14:paraId="038D056E" w14:textId="77777777" w:rsidR="0079073F" w:rsidRDefault="0079073F" w:rsidP="0079073F"/>
    <w:p w14:paraId="541604C8" w14:textId="13A41082" w:rsidR="0079073F" w:rsidRDefault="0079073F" w:rsidP="0079073F">
      <w:r>
        <w:t xml:space="preserve">The chosen operation is assigning or accepting ownership of a service request (FR-009 in the CivicConnect PED). This was selected because the acceptance criteria already anticipate a genuine correctness risk: AC-FR-009-2 requires that "simultaneous attempts to claim a request cannot create two owners." If two staff members both attempt to accept the same unassigned request at nearly the same moment, incorrect handling could silently create two </w:t>
      </w:r>
      <w:r w:rsidR="00167E50">
        <w:t>owners or</w:t>
      </w:r>
      <w:r>
        <w:t xml:space="preserve"> leave the record in an inconsistent state</w:t>
      </w:r>
      <w:r>
        <w:t>;</w:t>
      </w:r>
      <w:r>
        <w:t xml:space="preserve"> undermining both accountability (NFR-001, NFR-003) and the core business value of the platform.</w:t>
      </w:r>
    </w:p>
    <w:p w14:paraId="6BC252DB" w14:textId="77777777" w:rsidR="0079073F" w:rsidRDefault="0079073F" w:rsidP="0079073F"/>
    <w:p w14:paraId="18F19279" w14:textId="77777777" w:rsidR="0079073F" w:rsidRDefault="0079073F" w:rsidP="0079073F">
      <w:pPr>
        <w:pStyle w:val="Heading4"/>
      </w:pPr>
      <w:r>
        <w:t>5.2 Research into the engineering choices</w:t>
      </w:r>
    </w:p>
    <w:p w14:paraId="068CE9A0" w14:textId="77777777" w:rsidR="0079073F" w:rsidRDefault="0079073F" w:rsidP="0079073F"/>
    <w:p w14:paraId="66EB6568" w14:textId="60639A74" w:rsidR="0079073F" w:rsidRDefault="0079073F" w:rsidP="0079073F">
      <w:r w:rsidRPr="0079073F">
        <w:rPr>
          <w:b/>
          <w:bCs/>
        </w:rPr>
        <w:t>Transaction/atomicity requirements.</w:t>
      </w:r>
      <w:r>
        <w:t xml:space="preserve"> Assigning ownership is not a single write: the system must check the request is currently unowned and eligible, record the new owner, and append an audit-trail entry</w:t>
      </w:r>
      <w:r>
        <w:t>;</w:t>
      </w:r>
      <w:r>
        <w:t xml:space="preserve"> and all of this must succeed or fail as one unit. If the owner field updates but the audit entry does not, later accountability reporting (FR-015) would show an assignment with no record of who performed it, which directly threatens NFR-003 (Data integrity on save). Atomicity is one of the core guarantees a database transaction is expected to provide, and isolation</w:t>
      </w:r>
      <w:r w:rsidR="00167E50">
        <w:t>;</w:t>
      </w:r>
      <w:r>
        <w:t xml:space="preserve"> the guarantee that concurrently running operations do not interfere with each other</w:t>
      </w:r>
      <w:r>
        <w:t>;</w:t>
      </w:r>
      <w:r>
        <w:t xml:space="preserve"> is the specific property this operation depends on most heavily (freeCodeCamp, 2024).</w:t>
      </w:r>
    </w:p>
    <w:p w14:paraId="6F9E2F27" w14:textId="77777777" w:rsidR="0079073F" w:rsidRDefault="0079073F" w:rsidP="0079073F"/>
    <w:p w14:paraId="2283EC59" w14:textId="544F113C" w:rsidR="0079073F" w:rsidRDefault="0079073F" w:rsidP="0079073F">
      <w:r w:rsidRPr="0079073F">
        <w:rPr>
          <w:b/>
          <w:bCs/>
        </w:rPr>
        <w:t>Where validation should sit.</w:t>
      </w:r>
      <w:r>
        <w:t xml:space="preserve"> Validation could occur at three layers: the browser/UI, the application/service layer, or the database itself. UI-layer validation (for example, disabling the "Accept" button after the first click) improves user experience and reduces unnecessary requests, but cannot be relied upon for correctness, since a client can be bypassed or a request sent directly to the backend. Established secure-design guidance treats client-side validation as a convenience layer only, with real enforcement expected at layers the user cannot bypass, following a defence-in-depth approach where no single layer is trusted alone (OWASP Foundation, n.d.). For CivicConnect, this means the application layer must independently re-check eligibility (correct role, request currently unowned) before writing, and the database layer must provide the final, authoritative guarantee </w:t>
      </w:r>
      <w:r>
        <w:t>;</w:t>
      </w:r>
      <w:r>
        <w:t xml:space="preserve"> because it is the one component that can enforce a rule atomically across concurrent requests.</w:t>
      </w:r>
    </w:p>
    <w:p w14:paraId="3A0ECB81" w14:textId="77777777" w:rsidR="0079073F" w:rsidRDefault="0079073F" w:rsidP="0079073F"/>
    <w:p w14:paraId="30D01F18" w14:textId="1A6302D9" w:rsidR="0079073F" w:rsidRDefault="0079073F" w:rsidP="0079073F">
      <w:r w:rsidRPr="0079073F">
        <w:rPr>
          <w:b/>
          <w:bCs/>
        </w:rPr>
        <w:t>Concurrency mechanism comparison</w:t>
      </w:r>
      <w:r>
        <w:t>. Two broad mechanisms were compared, following the classic distinction established by Menascé and Nakanishi (1982) and explained in modern terms by freeCodeCamp (2024):</w:t>
      </w:r>
    </w:p>
    <w:p w14:paraId="3B45A00E" w14:textId="385E504A" w:rsidR="0079073F" w:rsidRDefault="0079073F" w:rsidP="0079073F">
      <w:pPr>
        <w:pStyle w:val="ListParagraph"/>
        <w:numPr>
          <w:ilvl w:val="0"/>
          <w:numId w:val="5"/>
        </w:numPr>
      </w:pPr>
      <w:r w:rsidRPr="0079073F">
        <w:rPr>
          <w:i/>
          <w:iCs/>
        </w:rPr>
        <w:t>Pessimistic</w:t>
      </w:r>
      <w:r>
        <w:t xml:space="preserve"> concurrency control locks the request record as soon as a staff member begins the assignment action, forcing any other staff member to wait until the lock is released. This guarantees correctness </w:t>
      </w:r>
      <w:r w:rsidR="00167E50">
        <w:t>simply but</w:t>
      </w:r>
      <w:r>
        <w:t xml:space="preserve"> introduces blocking and reduces throughput </w:t>
      </w:r>
      <w:r>
        <w:t>;</w:t>
      </w:r>
      <w:r>
        <w:t xml:space="preserve"> a cost that is hard to justify here, since two staff members racing to claim the exact same request at the exact same moment is expected to be rare for CivicConnect's likely request volume.</w:t>
      </w:r>
    </w:p>
    <w:p w14:paraId="791A05BC" w14:textId="0FD1B656" w:rsidR="0079073F" w:rsidRDefault="0079073F" w:rsidP="0079073F">
      <w:pPr>
        <w:pStyle w:val="ListParagraph"/>
        <w:numPr>
          <w:ilvl w:val="0"/>
          <w:numId w:val="5"/>
        </w:numPr>
      </w:pPr>
      <w:r w:rsidRPr="0079073F">
        <w:rPr>
          <w:i/>
          <w:iCs/>
        </w:rPr>
        <w:lastRenderedPageBreak/>
        <w:t>Optimistic</w:t>
      </w:r>
      <w:r>
        <w:t xml:space="preserve"> concurrency control allows both attempts to proceed without </w:t>
      </w:r>
      <w:r w:rsidR="00167E50">
        <w:t>locking and</w:t>
      </w:r>
      <w:r>
        <w:t xml:space="preserve"> instead relies on the database to guarantee that only one write can succeed </w:t>
      </w:r>
      <w:r>
        <w:t>;</w:t>
      </w:r>
      <w:r>
        <w:t xml:space="preserve"> for example, an atomic conditional update such as "set owner to X where the request's current owner is still empty." Whichever request reaches the database first succeeds; the second affects zero rows, and the application can detect this and inform the second staff member that the request was already claimed. This approach avoids the performance cost of locking in the common case where conflicts are rare (Menascé and Nakanishi, 1982).</w:t>
      </w:r>
    </w:p>
    <w:p w14:paraId="765AF687" w14:textId="77777777" w:rsidR="0079073F" w:rsidRDefault="0079073F" w:rsidP="0079073F"/>
    <w:p w14:paraId="1AB0955A" w14:textId="77777777" w:rsidR="0079073F" w:rsidRDefault="0079073F" w:rsidP="0079073F">
      <w:r w:rsidRPr="0079073F">
        <w:rPr>
          <w:b/>
          <w:bCs/>
        </w:rPr>
        <w:t>Caching.</w:t>
      </w:r>
      <w:r>
        <w:t xml:space="preserve"> No caching mechanism is introduced for this operation. Because "is this request still unassigned?" is exactly the kind of read where a stale answer would recreate the very race condition this section is trying to prevent, introducing a cache here would trade a small performance gain for a correctness risk that has not been evidenced as necessary.</w:t>
      </w:r>
    </w:p>
    <w:p w14:paraId="035E5E5D" w14:textId="77777777" w:rsidR="0079073F" w:rsidRDefault="0079073F" w:rsidP="0079073F"/>
    <w:p w14:paraId="5656BFE5" w14:textId="77777777" w:rsidR="0079073F" w:rsidRDefault="0079073F" w:rsidP="0079073F">
      <w:pPr>
        <w:pStyle w:val="Heading4"/>
      </w:pPr>
      <w:r>
        <w:t>5.3 Recommendation feeding the project</w:t>
      </w:r>
    </w:p>
    <w:p w14:paraId="590C912D" w14:textId="77777777" w:rsidR="0079073F" w:rsidRDefault="0079073F" w:rsidP="0079073F"/>
    <w:p w14:paraId="3D115890" w14:textId="3AA656F7" w:rsidR="0079073F" w:rsidRDefault="0079073F" w:rsidP="0079073F">
      <w:r>
        <w:t>The recommendation is an optimistic, database-enforced atomic conditional update as the authoritative correctness mechanism for FR-009 (for example, an UPDATE … WHERE owner IS NULL style operation, or an equivalent unique-constraint/version-check pattern), backed by an application-layer eligibility check performed before the write, with UI-layer validation retained only for responsiveness, not correctness. This recommendation should inform:</w:t>
      </w:r>
    </w:p>
    <w:p w14:paraId="5D7F6A45" w14:textId="77777777" w:rsidR="0079073F" w:rsidRDefault="0079073F" w:rsidP="0079073F">
      <w:pPr>
        <w:pStyle w:val="ListParagraph"/>
        <w:numPr>
          <w:ilvl w:val="0"/>
          <w:numId w:val="6"/>
        </w:numPr>
      </w:pPr>
      <w:r>
        <w:t>M2 data/persistence design — the schema must support an atomic conditional write on the ownership field.</w:t>
      </w:r>
    </w:p>
    <w:p w14:paraId="7C1CD0B9" w14:textId="77777777" w:rsidR="0079073F" w:rsidRDefault="0079073F" w:rsidP="0079073F">
      <w:pPr>
        <w:pStyle w:val="ListParagraph"/>
        <w:numPr>
          <w:ilvl w:val="0"/>
          <w:numId w:val="6"/>
        </w:numPr>
      </w:pPr>
      <w:r>
        <w:t>An Architecture Decision Record (ADR) documenting why optimistic control was chosen over locking for this specific operation.</w:t>
      </w:r>
    </w:p>
    <w:p w14:paraId="78804C7A" w14:textId="7B8BE604" w:rsidR="0079073F" w:rsidRDefault="0079073F" w:rsidP="0079073F">
      <w:pPr>
        <w:pStyle w:val="ListParagraph"/>
        <w:numPr>
          <w:ilvl w:val="0"/>
          <w:numId w:val="6"/>
        </w:numPr>
      </w:pPr>
      <w:r>
        <w:t>The RTM entry for FR-009/AC-FR-009-2</w:t>
      </w:r>
      <w:r>
        <w:t>;</w:t>
      </w:r>
      <w:r>
        <w:t xml:space="preserve"> the eventual test evidence should include a simulated simultaneous-claim test.</w:t>
      </w:r>
    </w:p>
    <w:p w14:paraId="6D02ED83" w14:textId="587CF3CE" w:rsidR="0079073F" w:rsidRDefault="0079073F" w:rsidP="0079073F">
      <w:pPr>
        <w:pStyle w:val="ListParagraph"/>
        <w:numPr>
          <w:ilvl w:val="0"/>
          <w:numId w:val="6"/>
        </w:numPr>
      </w:pPr>
      <w:r>
        <w:t>NFR-003 (Data integrity on save)</w:t>
      </w:r>
      <w:r>
        <w:t>;</w:t>
      </w:r>
      <w:r>
        <w:t xml:space="preserve"> this mechanism is the concrete implementation that satisfies that NFR for this operation.</w:t>
      </w:r>
    </w:p>
    <w:p w14:paraId="3F8CC6A2" w14:textId="77777777" w:rsidR="0079073F" w:rsidRDefault="0079073F" w:rsidP="0079073F"/>
    <w:p w14:paraId="245EAAE9" w14:textId="02554DEC" w:rsidR="0079073F" w:rsidRDefault="0079073F" w:rsidP="0079073F">
      <w:pPr>
        <w:pStyle w:val="Heading3"/>
      </w:pPr>
      <w:r>
        <w:t>Task 3</w:t>
      </w:r>
      <w:r>
        <w:t>;</w:t>
      </w:r>
      <w:r>
        <w:t xml:space="preserve"> Researching APIs and Integration Decisions</w:t>
      </w:r>
    </w:p>
    <w:p w14:paraId="5ECF6AE9" w14:textId="77777777" w:rsidR="0079073F" w:rsidRDefault="0079073F" w:rsidP="0079073F">
      <w:pPr>
        <w:pStyle w:val="Heading4"/>
      </w:pPr>
      <w:r>
        <w:t>6.1 Identifying the integration problem</w:t>
      </w:r>
    </w:p>
    <w:p w14:paraId="5645444F" w14:textId="77777777" w:rsidR="0079073F" w:rsidRDefault="0079073F" w:rsidP="0079073F"/>
    <w:p w14:paraId="3BCC7168" w14:textId="71514734" w:rsidR="0079073F" w:rsidRDefault="0079073F" w:rsidP="0079073F">
      <w:r>
        <w:t>The chosen interaction is between the status-update logic (triggered when staff change a request's status, FR-010) and the requester-feedback logic that must inform the requester when their request is accepted, rejected, updated or completed (FR-005).</w:t>
      </w:r>
    </w:p>
    <w:p w14:paraId="2D276625" w14:textId="77777777" w:rsidR="0079073F" w:rsidRDefault="0079073F" w:rsidP="0079073F">
      <w:pPr>
        <w:pStyle w:val="ListParagraph"/>
        <w:numPr>
          <w:ilvl w:val="0"/>
          <w:numId w:val="7"/>
        </w:numPr>
      </w:pPr>
      <w:r>
        <w:t>Producer/caller: the component handling a status transition.</w:t>
      </w:r>
    </w:p>
    <w:p w14:paraId="5B86583B" w14:textId="77777777" w:rsidR="0079073F" w:rsidRDefault="0079073F" w:rsidP="0079073F">
      <w:pPr>
        <w:pStyle w:val="ListParagraph"/>
        <w:numPr>
          <w:ilvl w:val="0"/>
          <w:numId w:val="7"/>
        </w:numPr>
      </w:pPr>
      <w:r>
        <w:t>Consumer/callee: the component responsible for producing requester-visible feedback.</w:t>
      </w:r>
    </w:p>
    <w:p w14:paraId="4BF3B184" w14:textId="77777777" w:rsidR="0079073F" w:rsidRDefault="0079073F" w:rsidP="0079073F">
      <w:pPr>
        <w:pStyle w:val="ListParagraph"/>
        <w:numPr>
          <w:ilvl w:val="0"/>
          <w:numId w:val="7"/>
        </w:numPr>
      </w:pPr>
      <w:r>
        <w:t>Information exchanged: request ID, previous status, new status, actor, timestamp.</w:t>
      </w:r>
    </w:p>
    <w:p w14:paraId="5EEDE5E0" w14:textId="49368315" w:rsidR="0079073F" w:rsidRDefault="0079073F" w:rsidP="0079073F">
      <w:pPr>
        <w:pStyle w:val="ListParagraph"/>
        <w:numPr>
          <w:ilvl w:val="0"/>
          <w:numId w:val="7"/>
        </w:numPr>
      </w:pPr>
      <w:r>
        <w:t>Failure consequence: if this hand-off fails silently, a requester never learns their request was resolved</w:t>
      </w:r>
      <w:r>
        <w:t xml:space="preserve">, </w:t>
      </w:r>
      <w:r>
        <w:t xml:space="preserve"> directly undermining FR-005 and the transparency goal stated in the PED's business-value section. This requires an explicit engineering decision because if the two are combined carelessly (a direct, </w:t>
      </w:r>
      <w:r w:rsidR="00167E50">
        <w:t>tightly coupled</w:t>
      </w:r>
      <w:r>
        <w:t xml:space="preserve"> call from inside the status-update code), a defect or delay in the feedback logic could interfere with the status update itself, which would violate the atomicity requirement identified in Task 2 (NFR-003).</w:t>
      </w:r>
    </w:p>
    <w:p w14:paraId="6798A2CE" w14:textId="77777777" w:rsidR="0079073F" w:rsidRDefault="0079073F" w:rsidP="0079073F">
      <w:pPr>
        <w:pStyle w:val="Heading4"/>
      </w:pPr>
      <w:r>
        <w:lastRenderedPageBreak/>
        <w:t>6.2 Comparing integration approaches</w:t>
      </w:r>
    </w:p>
    <w:p w14:paraId="65AAB045" w14:textId="77777777" w:rsidR="0079073F" w:rsidRDefault="0079073F" w:rsidP="0079073F"/>
    <w:p w14:paraId="6039356F" w14:textId="77777777" w:rsidR="0079073F" w:rsidRDefault="0079073F" w:rsidP="0079073F">
      <w:r>
        <w:t>Three mechanisms were compared, in line with the assignment's suggested categories:</w:t>
      </w:r>
    </w:p>
    <w:p w14:paraId="0DC3D285" w14:textId="77777777" w:rsidR="0079073F" w:rsidRDefault="0079073F" w:rsidP="0079073F"/>
    <w:tbl>
      <w:tblPr>
        <w:tblW w:w="11341" w:type="dxa"/>
        <w:tblCellSpacing w:w="15"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11"/>
        <w:gridCol w:w="1148"/>
        <w:gridCol w:w="1260"/>
        <w:gridCol w:w="1488"/>
        <w:gridCol w:w="1407"/>
        <w:gridCol w:w="1401"/>
        <w:gridCol w:w="1342"/>
        <w:gridCol w:w="1984"/>
      </w:tblGrid>
      <w:tr w:rsidR="0079073F" w:rsidRPr="0079073F" w14:paraId="0F14EBA8" w14:textId="77777777" w:rsidTr="0079073F">
        <w:trPr>
          <w:tblHeader/>
          <w:tblCellSpacing w:w="15" w:type="dxa"/>
        </w:trPr>
        <w:tc>
          <w:tcPr>
            <w:tcW w:w="1266" w:type="dxa"/>
            <w:vAlign w:val="center"/>
            <w:hideMark/>
          </w:tcPr>
          <w:p w14:paraId="05AE5601" w14:textId="77777777" w:rsidR="0079073F" w:rsidRPr="0079073F" w:rsidRDefault="0079073F" w:rsidP="0079073F">
            <w:pPr>
              <w:rPr>
                <w:b/>
                <w:bCs/>
                <w:sz w:val="20"/>
                <w:szCs w:val="20"/>
                <w:lang w:val="en-ZA"/>
              </w:rPr>
            </w:pPr>
            <w:r w:rsidRPr="0079073F">
              <w:rPr>
                <w:b/>
                <w:bCs/>
                <w:sz w:val="20"/>
                <w:szCs w:val="20"/>
                <w:lang w:val="en-ZA"/>
              </w:rPr>
              <w:t>Mechanism</w:t>
            </w:r>
          </w:p>
        </w:tc>
        <w:tc>
          <w:tcPr>
            <w:tcW w:w="0" w:type="auto"/>
            <w:vAlign w:val="center"/>
            <w:hideMark/>
          </w:tcPr>
          <w:p w14:paraId="0C260A95" w14:textId="77777777" w:rsidR="0079073F" w:rsidRPr="0079073F" w:rsidRDefault="0079073F" w:rsidP="0079073F">
            <w:pPr>
              <w:rPr>
                <w:b/>
                <w:bCs/>
                <w:sz w:val="20"/>
                <w:szCs w:val="20"/>
                <w:lang w:val="en-ZA"/>
              </w:rPr>
            </w:pPr>
            <w:r w:rsidRPr="0079073F">
              <w:rPr>
                <w:b/>
                <w:bCs/>
                <w:sz w:val="20"/>
                <w:szCs w:val="20"/>
                <w:lang w:val="en-ZA"/>
              </w:rPr>
              <w:t>Coupling</w:t>
            </w:r>
          </w:p>
        </w:tc>
        <w:tc>
          <w:tcPr>
            <w:tcW w:w="0" w:type="auto"/>
            <w:vAlign w:val="center"/>
            <w:hideMark/>
          </w:tcPr>
          <w:p w14:paraId="2A709BAB" w14:textId="77777777" w:rsidR="0079073F" w:rsidRPr="0079073F" w:rsidRDefault="0079073F" w:rsidP="0079073F">
            <w:pPr>
              <w:rPr>
                <w:b/>
                <w:bCs/>
                <w:sz w:val="20"/>
                <w:szCs w:val="20"/>
                <w:lang w:val="en-ZA"/>
              </w:rPr>
            </w:pPr>
            <w:r w:rsidRPr="0079073F">
              <w:rPr>
                <w:b/>
                <w:bCs/>
                <w:sz w:val="20"/>
                <w:szCs w:val="20"/>
                <w:lang w:val="en-ZA"/>
              </w:rPr>
              <w:t>Performance</w:t>
            </w:r>
          </w:p>
        </w:tc>
        <w:tc>
          <w:tcPr>
            <w:tcW w:w="0" w:type="auto"/>
            <w:vAlign w:val="center"/>
            <w:hideMark/>
          </w:tcPr>
          <w:p w14:paraId="3D10C909" w14:textId="77777777" w:rsidR="0079073F" w:rsidRPr="0079073F" w:rsidRDefault="0079073F" w:rsidP="0079073F">
            <w:pPr>
              <w:rPr>
                <w:b/>
                <w:bCs/>
                <w:sz w:val="20"/>
                <w:szCs w:val="20"/>
                <w:lang w:val="en-ZA"/>
              </w:rPr>
            </w:pPr>
            <w:r w:rsidRPr="0079073F">
              <w:rPr>
                <w:b/>
                <w:bCs/>
                <w:sz w:val="20"/>
                <w:szCs w:val="20"/>
                <w:lang w:val="en-ZA"/>
              </w:rPr>
              <w:t>Failure behaviour</w:t>
            </w:r>
          </w:p>
        </w:tc>
        <w:tc>
          <w:tcPr>
            <w:tcW w:w="0" w:type="auto"/>
            <w:vAlign w:val="center"/>
            <w:hideMark/>
          </w:tcPr>
          <w:p w14:paraId="47FD36E9" w14:textId="77777777" w:rsidR="0079073F" w:rsidRPr="0079073F" w:rsidRDefault="0079073F" w:rsidP="0079073F">
            <w:pPr>
              <w:rPr>
                <w:b/>
                <w:bCs/>
                <w:sz w:val="20"/>
                <w:szCs w:val="20"/>
                <w:lang w:val="en-ZA"/>
              </w:rPr>
            </w:pPr>
            <w:r w:rsidRPr="0079073F">
              <w:rPr>
                <w:b/>
                <w:bCs/>
                <w:sz w:val="20"/>
                <w:szCs w:val="20"/>
                <w:lang w:val="en-ZA"/>
              </w:rPr>
              <w:t>Testability</w:t>
            </w:r>
          </w:p>
        </w:tc>
        <w:tc>
          <w:tcPr>
            <w:tcW w:w="0" w:type="auto"/>
            <w:vAlign w:val="center"/>
            <w:hideMark/>
          </w:tcPr>
          <w:p w14:paraId="58305DE9" w14:textId="77777777" w:rsidR="0079073F" w:rsidRPr="0079073F" w:rsidRDefault="0079073F" w:rsidP="0079073F">
            <w:pPr>
              <w:rPr>
                <w:b/>
                <w:bCs/>
                <w:sz w:val="20"/>
                <w:szCs w:val="20"/>
                <w:lang w:val="en-ZA"/>
              </w:rPr>
            </w:pPr>
            <w:r w:rsidRPr="0079073F">
              <w:rPr>
                <w:b/>
                <w:bCs/>
                <w:sz w:val="20"/>
                <w:szCs w:val="20"/>
                <w:lang w:val="en-ZA"/>
              </w:rPr>
              <w:t>Deployment</w:t>
            </w:r>
          </w:p>
        </w:tc>
        <w:tc>
          <w:tcPr>
            <w:tcW w:w="0" w:type="auto"/>
            <w:vAlign w:val="center"/>
            <w:hideMark/>
          </w:tcPr>
          <w:p w14:paraId="528FA89B" w14:textId="77777777" w:rsidR="0079073F" w:rsidRPr="0079073F" w:rsidRDefault="0079073F" w:rsidP="0079073F">
            <w:pPr>
              <w:rPr>
                <w:b/>
                <w:bCs/>
                <w:sz w:val="20"/>
                <w:szCs w:val="20"/>
                <w:lang w:val="en-ZA"/>
              </w:rPr>
            </w:pPr>
            <w:r w:rsidRPr="0079073F">
              <w:rPr>
                <w:b/>
                <w:bCs/>
                <w:sz w:val="20"/>
                <w:szCs w:val="20"/>
                <w:lang w:val="en-ZA"/>
              </w:rPr>
              <w:t>Security boundary</w:t>
            </w:r>
          </w:p>
        </w:tc>
        <w:tc>
          <w:tcPr>
            <w:tcW w:w="1939" w:type="dxa"/>
            <w:vAlign w:val="center"/>
            <w:hideMark/>
          </w:tcPr>
          <w:p w14:paraId="6C4430E6" w14:textId="77777777" w:rsidR="0079073F" w:rsidRPr="0079073F" w:rsidRDefault="0079073F" w:rsidP="0079073F">
            <w:pPr>
              <w:rPr>
                <w:b/>
                <w:bCs/>
                <w:sz w:val="20"/>
                <w:szCs w:val="20"/>
                <w:lang w:val="en-ZA"/>
              </w:rPr>
            </w:pPr>
            <w:r w:rsidRPr="0079073F">
              <w:rPr>
                <w:b/>
                <w:bCs/>
                <w:sz w:val="20"/>
                <w:szCs w:val="20"/>
                <w:lang w:val="en-ZA"/>
              </w:rPr>
              <w:t>Change/version compatibility</w:t>
            </w:r>
          </w:p>
        </w:tc>
      </w:tr>
      <w:tr w:rsidR="0079073F" w:rsidRPr="0079073F" w14:paraId="4EC71CEC" w14:textId="77777777" w:rsidTr="0079073F">
        <w:trPr>
          <w:tblCellSpacing w:w="15" w:type="dxa"/>
        </w:trPr>
        <w:tc>
          <w:tcPr>
            <w:tcW w:w="1266" w:type="dxa"/>
            <w:vAlign w:val="center"/>
            <w:hideMark/>
          </w:tcPr>
          <w:p w14:paraId="30A14880" w14:textId="77777777" w:rsidR="0079073F" w:rsidRPr="0079073F" w:rsidRDefault="0079073F" w:rsidP="0079073F">
            <w:pPr>
              <w:rPr>
                <w:sz w:val="20"/>
                <w:szCs w:val="20"/>
                <w:lang w:val="en-ZA"/>
              </w:rPr>
            </w:pPr>
            <w:r w:rsidRPr="0079073F">
              <w:rPr>
                <w:b/>
                <w:bCs/>
                <w:sz w:val="20"/>
                <w:szCs w:val="20"/>
                <w:lang w:val="en-ZA"/>
              </w:rPr>
              <w:t>In-process direct call</w:t>
            </w:r>
          </w:p>
        </w:tc>
        <w:tc>
          <w:tcPr>
            <w:tcW w:w="0" w:type="auto"/>
            <w:vAlign w:val="center"/>
            <w:hideMark/>
          </w:tcPr>
          <w:p w14:paraId="36672061" w14:textId="1B625680" w:rsidR="0079073F" w:rsidRPr="0079073F" w:rsidRDefault="0079073F" w:rsidP="0079073F">
            <w:pPr>
              <w:rPr>
                <w:sz w:val="20"/>
                <w:szCs w:val="20"/>
                <w:lang w:val="en-ZA"/>
              </w:rPr>
            </w:pPr>
            <w:r w:rsidRPr="0079073F">
              <w:rPr>
                <w:sz w:val="20"/>
                <w:szCs w:val="20"/>
                <w:lang w:val="en-ZA"/>
              </w:rPr>
              <w:t>Tight</w:t>
            </w:r>
            <w:r>
              <w:rPr>
                <w:sz w:val="20"/>
                <w:szCs w:val="20"/>
                <w:lang w:val="en-ZA"/>
              </w:rPr>
              <w:t>;</w:t>
            </w:r>
            <w:r w:rsidRPr="0079073F">
              <w:rPr>
                <w:sz w:val="20"/>
                <w:szCs w:val="20"/>
                <w:lang w:val="en-ZA"/>
              </w:rPr>
              <w:t xml:space="preserve"> status handler directly calls the feedback function</w:t>
            </w:r>
          </w:p>
        </w:tc>
        <w:tc>
          <w:tcPr>
            <w:tcW w:w="0" w:type="auto"/>
            <w:vAlign w:val="center"/>
            <w:hideMark/>
          </w:tcPr>
          <w:p w14:paraId="2D5206D3" w14:textId="77777777" w:rsidR="0079073F" w:rsidRPr="0079073F" w:rsidRDefault="0079073F" w:rsidP="0079073F">
            <w:pPr>
              <w:rPr>
                <w:sz w:val="20"/>
                <w:szCs w:val="20"/>
                <w:lang w:val="en-ZA"/>
              </w:rPr>
            </w:pPr>
            <w:r w:rsidRPr="0079073F">
              <w:rPr>
                <w:sz w:val="20"/>
                <w:szCs w:val="20"/>
                <w:lang w:val="en-ZA"/>
              </w:rPr>
              <w:t>Fastest, no network hop</w:t>
            </w:r>
          </w:p>
        </w:tc>
        <w:tc>
          <w:tcPr>
            <w:tcW w:w="0" w:type="auto"/>
            <w:vAlign w:val="center"/>
            <w:hideMark/>
          </w:tcPr>
          <w:p w14:paraId="3EDCA179" w14:textId="77777777" w:rsidR="0079073F" w:rsidRPr="0079073F" w:rsidRDefault="0079073F" w:rsidP="0079073F">
            <w:pPr>
              <w:rPr>
                <w:sz w:val="20"/>
                <w:szCs w:val="20"/>
                <w:lang w:val="en-ZA"/>
              </w:rPr>
            </w:pPr>
            <w:r w:rsidRPr="0079073F">
              <w:rPr>
                <w:sz w:val="20"/>
                <w:szCs w:val="20"/>
                <w:lang w:val="en-ZA"/>
              </w:rPr>
              <w:t>An unhandled error in feedback logic can propagate and threaten the status update itself</w:t>
            </w:r>
          </w:p>
        </w:tc>
        <w:tc>
          <w:tcPr>
            <w:tcW w:w="0" w:type="auto"/>
            <w:vAlign w:val="center"/>
            <w:hideMark/>
          </w:tcPr>
          <w:p w14:paraId="312B6A1D" w14:textId="77777777" w:rsidR="0079073F" w:rsidRPr="0079073F" w:rsidRDefault="0079073F" w:rsidP="0079073F">
            <w:pPr>
              <w:rPr>
                <w:sz w:val="20"/>
                <w:szCs w:val="20"/>
                <w:lang w:val="en-ZA"/>
              </w:rPr>
            </w:pPr>
            <w:r w:rsidRPr="0079073F">
              <w:rPr>
                <w:sz w:val="20"/>
                <w:szCs w:val="20"/>
                <w:lang w:val="en-ZA"/>
              </w:rPr>
              <w:t>Straightforward with a mock</w:t>
            </w:r>
          </w:p>
        </w:tc>
        <w:tc>
          <w:tcPr>
            <w:tcW w:w="0" w:type="auto"/>
            <w:vAlign w:val="center"/>
            <w:hideMark/>
          </w:tcPr>
          <w:p w14:paraId="69929520" w14:textId="77777777" w:rsidR="0079073F" w:rsidRPr="0079073F" w:rsidRDefault="0079073F" w:rsidP="0079073F">
            <w:pPr>
              <w:rPr>
                <w:sz w:val="20"/>
                <w:szCs w:val="20"/>
                <w:lang w:val="en-ZA"/>
              </w:rPr>
            </w:pPr>
            <w:r w:rsidRPr="0079073F">
              <w:rPr>
                <w:sz w:val="20"/>
                <w:szCs w:val="20"/>
                <w:lang w:val="en-ZA"/>
              </w:rPr>
              <w:t>No extra infrastructure</w:t>
            </w:r>
          </w:p>
        </w:tc>
        <w:tc>
          <w:tcPr>
            <w:tcW w:w="0" w:type="auto"/>
            <w:vAlign w:val="center"/>
            <w:hideMark/>
          </w:tcPr>
          <w:p w14:paraId="376FEE7A" w14:textId="77465B8C" w:rsidR="0079073F" w:rsidRPr="0079073F" w:rsidRDefault="0079073F" w:rsidP="0079073F">
            <w:pPr>
              <w:rPr>
                <w:sz w:val="20"/>
                <w:szCs w:val="20"/>
                <w:lang w:val="en-ZA"/>
              </w:rPr>
            </w:pPr>
            <w:r w:rsidRPr="0079073F">
              <w:rPr>
                <w:sz w:val="20"/>
                <w:szCs w:val="20"/>
                <w:lang w:val="en-ZA"/>
              </w:rPr>
              <w:t>None</w:t>
            </w:r>
            <w:r>
              <w:rPr>
                <w:sz w:val="20"/>
                <w:szCs w:val="20"/>
                <w:lang w:val="en-ZA"/>
              </w:rPr>
              <w:t>;</w:t>
            </w:r>
            <w:r w:rsidRPr="0079073F">
              <w:rPr>
                <w:sz w:val="20"/>
                <w:szCs w:val="20"/>
                <w:lang w:val="en-ZA"/>
              </w:rPr>
              <w:t xml:space="preserve"> shared trust boundary</w:t>
            </w:r>
          </w:p>
        </w:tc>
        <w:tc>
          <w:tcPr>
            <w:tcW w:w="1939" w:type="dxa"/>
            <w:vAlign w:val="center"/>
            <w:hideMark/>
          </w:tcPr>
          <w:p w14:paraId="5C1C8FD7" w14:textId="77777777" w:rsidR="0079073F" w:rsidRPr="0079073F" w:rsidRDefault="0079073F" w:rsidP="0079073F">
            <w:pPr>
              <w:rPr>
                <w:sz w:val="20"/>
                <w:szCs w:val="20"/>
                <w:lang w:val="en-ZA"/>
              </w:rPr>
            </w:pPr>
            <w:r w:rsidRPr="0079073F">
              <w:rPr>
                <w:sz w:val="20"/>
                <w:szCs w:val="20"/>
                <w:lang w:val="en-ZA"/>
              </w:rPr>
              <w:t>Any change to one directly risks breaking the other</w:t>
            </w:r>
          </w:p>
        </w:tc>
      </w:tr>
      <w:tr w:rsidR="0079073F" w:rsidRPr="0079073F" w14:paraId="70E106F8" w14:textId="77777777" w:rsidTr="0079073F">
        <w:trPr>
          <w:tblCellSpacing w:w="15" w:type="dxa"/>
        </w:trPr>
        <w:tc>
          <w:tcPr>
            <w:tcW w:w="1266" w:type="dxa"/>
            <w:vAlign w:val="center"/>
            <w:hideMark/>
          </w:tcPr>
          <w:p w14:paraId="47AD6034" w14:textId="77777777" w:rsidR="0079073F" w:rsidRPr="0079073F" w:rsidRDefault="0079073F" w:rsidP="0079073F">
            <w:pPr>
              <w:rPr>
                <w:sz w:val="20"/>
                <w:szCs w:val="20"/>
                <w:lang w:val="en-ZA"/>
              </w:rPr>
            </w:pPr>
            <w:r w:rsidRPr="0079073F">
              <w:rPr>
                <w:b/>
                <w:bCs/>
                <w:sz w:val="20"/>
                <w:szCs w:val="20"/>
                <w:lang w:val="en-ZA"/>
              </w:rPr>
              <w:t>HTTP/REST API to a separate service</w:t>
            </w:r>
          </w:p>
        </w:tc>
        <w:tc>
          <w:tcPr>
            <w:tcW w:w="0" w:type="auto"/>
            <w:vAlign w:val="center"/>
            <w:hideMark/>
          </w:tcPr>
          <w:p w14:paraId="615075E4" w14:textId="77777777" w:rsidR="0079073F" w:rsidRPr="0079073F" w:rsidRDefault="0079073F" w:rsidP="0079073F">
            <w:pPr>
              <w:rPr>
                <w:sz w:val="20"/>
                <w:szCs w:val="20"/>
                <w:lang w:val="en-ZA"/>
              </w:rPr>
            </w:pPr>
            <w:r w:rsidRPr="0079073F">
              <w:rPr>
                <w:sz w:val="20"/>
                <w:szCs w:val="20"/>
                <w:lang w:val="en-ZA"/>
              </w:rPr>
              <w:t>Looser interface, but a genuine network dependency</w:t>
            </w:r>
          </w:p>
        </w:tc>
        <w:tc>
          <w:tcPr>
            <w:tcW w:w="0" w:type="auto"/>
            <w:vAlign w:val="center"/>
            <w:hideMark/>
          </w:tcPr>
          <w:p w14:paraId="66C7A536" w14:textId="77777777" w:rsidR="0079073F" w:rsidRPr="0079073F" w:rsidRDefault="0079073F" w:rsidP="0079073F">
            <w:pPr>
              <w:rPr>
                <w:sz w:val="20"/>
                <w:szCs w:val="20"/>
                <w:lang w:val="en-ZA"/>
              </w:rPr>
            </w:pPr>
            <w:r w:rsidRPr="0079073F">
              <w:rPr>
                <w:sz w:val="20"/>
                <w:szCs w:val="20"/>
                <w:lang w:val="en-ZA"/>
              </w:rPr>
              <w:t>Slower; subject to latency and timeouts</w:t>
            </w:r>
          </w:p>
        </w:tc>
        <w:tc>
          <w:tcPr>
            <w:tcW w:w="0" w:type="auto"/>
            <w:vAlign w:val="center"/>
            <w:hideMark/>
          </w:tcPr>
          <w:p w14:paraId="1419EC5A" w14:textId="77777777" w:rsidR="0079073F" w:rsidRPr="0079073F" w:rsidRDefault="0079073F" w:rsidP="0079073F">
            <w:pPr>
              <w:rPr>
                <w:sz w:val="20"/>
                <w:szCs w:val="20"/>
                <w:lang w:val="en-ZA"/>
              </w:rPr>
            </w:pPr>
            <w:r w:rsidRPr="0079073F">
              <w:rPr>
                <w:sz w:val="20"/>
                <w:szCs w:val="20"/>
                <w:lang w:val="en-ZA"/>
              </w:rPr>
              <w:t>Network failure means feedback may never be generated unless retries/queueing are added</w:t>
            </w:r>
          </w:p>
        </w:tc>
        <w:tc>
          <w:tcPr>
            <w:tcW w:w="0" w:type="auto"/>
            <w:vAlign w:val="center"/>
            <w:hideMark/>
          </w:tcPr>
          <w:p w14:paraId="418CE31B" w14:textId="77777777" w:rsidR="0079073F" w:rsidRPr="0079073F" w:rsidRDefault="0079073F" w:rsidP="0079073F">
            <w:pPr>
              <w:rPr>
                <w:sz w:val="20"/>
                <w:szCs w:val="20"/>
                <w:lang w:val="en-ZA"/>
              </w:rPr>
            </w:pPr>
            <w:r w:rsidRPr="0079073F">
              <w:rPr>
                <w:sz w:val="20"/>
                <w:szCs w:val="20"/>
                <w:lang w:val="en-ZA"/>
              </w:rPr>
              <w:t>Requires the service running or mocked over HTTP</w:t>
            </w:r>
          </w:p>
        </w:tc>
        <w:tc>
          <w:tcPr>
            <w:tcW w:w="0" w:type="auto"/>
            <w:vAlign w:val="center"/>
            <w:hideMark/>
          </w:tcPr>
          <w:p w14:paraId="54F1554E" w14:textId="77777777" w:rsidR="0079073F" w:rsidRPr="0079073F" w:rsidRDefault="0079073F" w:rsidP="0079073F">
            <w:pPr>
              <w:rPr>
                <w:sz w:val="20"/>
                <w:szCs w:val="20"/>
                <w:lang w:val="en-ZA"/>
              </w:rPr>
            </w:pPr>
            <w:r w:rsidRPr="0079073F">
              <w:rPr>
                <w:sz w:val="20"/>
                <w:szCs w:val="20"/>
                <w:lang w:val="en-ZA"/>
              </w:rPr>
              <w:t>Two deployables, two configs/secrets to manage</w:t>
            </w:r>
          </w:p>
        </w:tc>
        <w:tc>
          <w:tcPr>
            <w:tcW w:w="0" w:type="auto"/>
            <w:vAlign w:val="center"/>
            <w:hideMark/>
          </w:tcPr>
          <w:p w14:paraId="49626AA6" w14:textId="77777777" w:rsidR="0079073F" w:rsidRPr="0079073F" w:rsidRDefault="0079073F" w:rsidP="0079073F">
            <w:pPr>
              <w:rPr>
                <w:sz w:val="20"/>
                <w:szCs w:val="20"/>
                <w:lang w:val="en-ZA"/>
              </w:rPr>
            </w:pPr>
            <w:r w:rsidRPr="0079073F">
              <w:rPr>
                <w:sz w:val="20"/>
                <w:szCs w:val="20"/>
                <w:lang w:val="en-ZA"/>
              </w:rPr>
              <w:t>Genuine boundary; needs its own authentication</w:t>
            </w:r>
          </w:p>
        </w:tc>
        <w:tc>
          <w:tcPr>
            <w:tcW w:w="1939" w:type="dxa"/>
            <w:vAlign w:val="center"/>
            <w:hideMark/>
          </w:tcPr>
          <w:p w14:paraId="5FA24FEC" w14:textId="77777777" w:rsidR="0079073F" w:rsidRPr="0079073F" w:rsidRDefault="0079073F" w:rsidP="0079073F">
            <w:pPr>
              <w:rPr>
                <w:sz w:val="20"/>
                <w:szCs w:val="20"/>
                <w:lang w:val="en-ZA"/>
              </w:rPr>
            </w:pPr>
            <w:r w:rsidRPr="0079073F">
              <w:rPr>
                <w:sz w:val="20"/>
                <w:szCs w:val="20"/>
                <w:lang w:val="en-ZA"/>
              </w:rPr>
              <w:t>Can evolve independently if REST's constraints (resource identification, statelessness) are followed correctly (Fielding, 2000)</w:t>
            </w:r>
          </w:p>
        </w:tc>
      </w:tr>
      <w:tr w:rsidR="0079073F" w:rsidRPr="0079073F" w14:paraId="6486F572" w14:textId="77777777" w:rsidTr="0079073F">
        <w:trPr>
          <w:tblCellSpacing w:w="15" w:type="dxa"/>
        </w:trPr>
        <w:tc>
          <w:tcPr>
            <w:tcW w:w="1266" w:type="dxa"/>
            <w:vAlign w:val="center"/>
            <w:hideMark/>
          </w:tcPr>
          <w:p w14:paraId="03D54A10" w14:textId="77777777" w:rsidR="0079073F" w:rsidRPr="0079073F" w:rsidRDefault="0079073F" w:rsidP="0079073F">
            <w:pPr>
              <w:rPr>
                <w:sz w:val="20"/>
                <w:szCs w:val="20"/>
                <w:lang w:val="en-ZA"/>
              </w:rPr>
            </w:pPr>
            <w:r w:rsidRPr="0079073F">
              <w:rPr>
                <w:b/>
                <w:bCs/>
                <w:sz w:val="20"/>
                <w:szCs w:val="20"/>
                <w:lang w:val="en-ZA"/>
              </w:rPr>
              <w:t>In-process event (Observer pattern)</w:t>
            </w:r>
          </w:p>
        </w:tc>
        <w:tc>
          <w:tcPr>
            <w:tcW w:w="0" w:type="auto"/>
            <w:vAlign w:val="center"/>
            <w:hideMark/>
          </w:tcPr>
          <w:p w14:paraId="288705EE" w14:textId="77777777" w:rsidR="0079073F" w:rsidRPr="0079073F" w:rsidRDefault="0079073F" w:rsidP="0079073F">
            <w:pPr>
              <w:rPr>
                <w:sz w:val="20"/>
                <w:szCs w:val="20"/>
                <w:lang w:val="en-ZA"/>
              </w:rPr>
            </w:pPr>
            <w:r w:rsidRPr="0079073F">
              <w:rPr>
                <w:sz w:val="20"/>
                <w:szCs w:val="20"/>
                <w:lang w:val="en-ZA"/>
              </w:rPr>
              <w:t>Status handler depends only on "publish an event," not on the feedback component directly</w:t>
            </w:r>
          </w:p>
        </w:tc>
        <w:tc>
          <w:tcPr>
            <w:tcW w:w="0" w:type="auto"/>
            <w:vAlign w:val="center"/>
            <w:hideMark/>
          </w:tcPr>
          <w:p w14:paraId="5EFB4530" w14:textId="77777777" w:rsidR="0079073F" w:rsidRPr="0079073F" w:rsidRDefault="0079073F" w:rsidP="0079073F">
            <w:pPr>
              <w:rPr>
                <w:sz w:val="20"/>
                <w:szCs w:val="20"/>
                <w:lang w:val="en-ZA"/>
              </w:rPr>
            </w:pPr>
            <w:r w:rsidRPr="0079073F">
              <w:rPr>
                <w:sz w:val="20"/>
                <w:szCs w:val="20"/>
                <w:lang w:val="en-ZA"/>
              </w:rPr>
              <w:t>Fast, same process</w:t>
            </w:r>
          </w:p>
        </w:tc>
        <w:tc>
          <w:tcPr>
            <w:tcW w:w="0" w:type="auto"/>
            <w:vAlign w:val="center"/>
            <w:hideMark/>
          </w:tcPr>
          <w:p w14:paraId="689A3873" w14:textId="77777777" w:rsidR="0079073F" w:rsidRPr="0079073F" w:rsidRDefault="0079073F" w:rsidP="0079073F">
            <w:pPr>
              <w:rPr>
                <w:sz w:val="20"/>
                <w:szCs w:val="20"/>
                <w:lang w:val="en-ZA"/>
              </w:rPr>
            </w:pPr>
            <w:r w:rsidRPr="0079073F">
              <w:rPr>
                <w:sz w:val="20"/>
                <w:szCs w:val="20"/>
                <w:lang w:val="en-ZA"/>
              </w:rPr>
              <w:t>A failing observer can be isolated (logged) without blocking the status update</w:t>
            </w:r>
          </w:p>
        </w:tc>
        <w:tc>
          <w:tcPr>
            <w:tcW w:w="0" w:type="auto"/>
            <w:vAlign w:val="center"/>
            <w:hideMark/>
          </w:tcPr>
          <w:p w14:paraId="7F7470D6" w14:textId="10A130DB" w:rsidR="0079073F" w:rsidRPr="0079073F" w:rsidRDefault="0079073F" w:rsidP="0079073F">
            <w:pPr>
              <w:rPr>
                <w:sz w:val="20"/>
                <w:szCs w:val="20"/>
                <w:lang w:val="en-ZA"/>
              </w:rPr>
            </w:pPr>
            <w:r w:rsidRPr="0079073F">
              <w:rPr>
                <w:sz w:val="20"/>
                <w:szCs w:val="20"/>
                <w:lang w:val="en-ZA"/>
              </w:rPr>
              <w:t>Easy</w:t>
            </w:r>
            <w:r>
              <w:rPr>
                <w:sz w:val="20"/>
                <w:szCs w:val="20"/>
                <w:lang w:val="en-ZA"/>
              </w:rPr>
              <w:t>;</w:t>
            </w:r>
            <w:r w:rsidRPr="0079073F">
              <w:rPr>
                <w:sz w:val="20"/>
                <w:szCs w:val="20"/>
                <w:lang w:val="en-ZA"/>
              </w:rPr>
              <w:t xml:space="preserve"> test the event fires correctly; test the observer separately</w:t>
            </w:r>
          </w:p>
        </w:tc>
        <w:tc>
          <w:tcPr>
            <w:tcW w:w="0" w:type="auto"/>
            <w:vAlign w:val="center"/>
            <w:hideMark/>
          </w:tcPr>
          <w:p w14:paraId="3119B283" w14:textId="094BB439" w:rsidR="0079073F" w:rsidRPr="0079073F" w:rsidRDefault="0079073F" w:rsidP="0079073F">
            <w:pPr>
              <w:rPr>
                <w:sz w:val="20"/>
                <w:szCs w:val="20"/>
                <w:lang w:val="en-ZA"/>
              </w:rPr>
            </w:pPr>
            <w:r w:rsidRPr="0079073F">
              <w:rPr>
                <w:sz w:val="20"/>
                <w:szCs w:val="20"/>
                <w:lang w:val="en-ZA"/>
              </w:rPr>
              <w:t>None</w:t>
            </w:r>
            <w:r>
              <w:rPr>
                <w:sz w:val="20"/>
                <w:szCs w:val="20"/>
                <w:lang w:val="en-ZA"/>
              </w:rPr>
              <w:t>;</w:t>
            </w:r>
            <w:r w:rsidRPr="0079073F">
              <w:rPr>
                <w:sz w:val="20"/>
                <w:szCs w:val="20"/>
                <w:lang w:val="en-ZA"/>
              </w:rPr>
              <w:t xml:space="preserve"> same deployable</w:t>
            </w:r>
          </w:p>
        </w:tc>
        <w:tc>
          <w:tcPr>
            <w:tcW w:w="0" w:type="auto"/>
            <w:vAlign w:val="center"/>
            <w:hideMark/>
          </w:tcPr>
          <w:p w14:paraId="41E20D4D" w14:textId="1A81D922" w:rsidR="0079073F" w:rsidRPr="0079073F" w:rsidRDefault="0079073F" w:rsidP="0079073F">
            <w:pPr>
              <w:rPr>
                <w:sz w:val="20"/>
                <w:szCs w:val="20"/>
                <w:lang w:val="en-ZA"/>
              </w:rPr>
            </w:pPr>
            <w:r w:rsidRPr="0079073F">
              <w:rPr>
                <w:sz w:val="20"/>
                <w:szCs w:val="20"/>
                <w:lang w:val="en-ZA"/>
              </w:rPr>
              <w:t>None</w:t>
            </w:r>
            <w:r>
              <w:rPr>
                <w:sz w:val="20"/>
                <w:szCs w:val="20"/>
                <w:lang w:val="en-ZA"/>
              </w:rPr>
              <w:t>;</w:t>
            </w:r>
            <w:r w:rsidRPr="0079073F">
              <w:rPr>
                <w:sz w:val="20"/>
                <w:szCs w:val="20"/>
                <w:lang w:val="en-ZA"/>
              </w:rPr>
              <w:t xml:space="preserve"> shared trust boundary</w:t>
            </w:r>
          </w:p>
        </w:tc>
        <w:tc>
          <w:tcPr>
            <w:tcW w:w="1939" w:type="dxa"/>
            <w:vAlign w:val="center"/>
            <w:hideMark/>
          </w:tcPr>
          <w:p w14:paraId="18252847" w14:textId="77777777" w:rsidR="0079073F" w:rsidRPr="0079073F" w:rsidRDefault="0079073F" w:rsidP="0079073F">
            <w:pPr>
              <w:rPr>
                <w:sz w:val="20"/>
                <w:szCs w:val="20"/>
                <w:lang w:val="en-ZA"/>
              </w:rPr>
            </w:pPr>
            <w:r w:rsidRPr="0079073F">
              <w:rPr>
                <w:sz w:val="20"/>
                <w:szCs w:val="20"/>
                <w:lang w:val="en-ZA"/>
              </w:rPr>
              <w:t>New notification channels become new observers, not rewrites of the status handler (Gamma et al., 1994)</w:t>
            </w:r>
          </w:p>
        </w:tc>
      </w:tr>
    </w:tbl>
    <w:p w14:paraId="30E16939" w14:textId="77777777" w:rsidR="0079073F" w:rsidRDefault="0079073F" w:rsidP="0079073F"/>
    <w:p w14:paraId="528E8D5E" w14:textId="397CA1C0" w:rsidR="0079073F" w:rsidRDefault="0079073F" w:rsidP="0079073F">
      <w:r>
        <w:t>REST is built around a genuine client–server network boundary, and its statelessness constraint specifically exists to support scalability and independent evolution across that boundary (Fielding, 2000)</w:t>
      </w:r>
      <w:r>
        <w:t>,</w:t>
      </w:r>
      <w:r>
        <w:t xml:space="preserve"> properties that matter when the client and server are developed, deployed, and scaled separately. Introducing a network boundary between two internal backend components that are built, deployed and maintained by the same three-person team does not have this justification. This aligns with Fowler's First Law of Distributed Object Design</w:t>
      </w:r>
      <w:r>
        <w:t>,</w:t>
      </w:r>
      <w:r>
        <w:t xml:space="preserve"> "don't distribute your objects"</w:t>
      </w:r>
      <w:r>
        <w:t xml:space="preserve">, </w:t>
      </w:r>
      <w:r>
        <w:t xml:space="preserve"> the principle that a network boundary between components should be a deliberate choice justified by independent scaling, deployment or ownership, not a default (Fowler, 2003; Fowler, 2004).</w:t>
      </w:r>
    </w:p>
    <w:p w14:paraId="41D22AF0" w14:textId="77777777" w:rsidR="0079073F" w:rsidRDefault="0079073F" w:rsidP="0079073F"/>
    <w:p w14:paraId="36C60038" w14:textId="77777777" w:rsidR="0079073F" w:rsidRDefault="0079073F" w:rsidP="0079073F">
      <w:pPr>
        <w:pStyle w:val="Heading4"/>
      </w:pPr>
      <w:r>
        <w:t>6.3 Recommendation feeding the project</w:t>
      </w:r>
    </w:p>
    <w:p w14:paraId="650345AC" w14:textId="77777777" w:rsidR="0079073F" w:rsidRDefault="0079073F" w:rsidP="0079073F"/>
    <w:p w14:paraId="4994D5D0" w14:textId="77777777" w:rsidR="0079073F" w:rsidRDefault="0079073F" w:rsidP="0079073F">
      <w:r>
        <w:t>The recommendation is to use an in-process event/Observer mechanism for the status-change → requester-feedback interaction inside the backend, while retaining an HTTP-based (REST-style) interface specifically for the genuine network boundary between the browser client and the CivicConnect backend, where that boundary is justified. This recommendation should inform:</w:t>
      </w:r>
    </w:p>
    <w:p w14:paraId="6DDB6FD7" w14:textId="77777777" w:rsidR="0079073F" w:rsidRDefault="0079073F" w:rsidP="0079073F"/>
    <w:p w14:paraId="165E7ECC" w14:textId="77777777" w:rsidR="0079073F" w:rsidRDefault="0079073F" w:rsidP="0079073F">
      <w:pPr>
        <w:pStyle w:val="ListParagraph"/>
        <w:numPr>
          <w:ilvl w:val="0"/>
          <w:numId w:val="8"/>
        </w:numPr>
      </w:pPr>
      <w:r>
        <w:t>The M2 architecture/internal design decision on how backend components communicate.</w:t>
      </w:r>
    </w:p>
    <w:p w14:paraId="42331CF8" w14:textId="609E62E2" w:rsidR="0079073F" w:rsidRDefault="0079073F" w:rsidP="0079073F">
      <w:pPr>
        <w:pStyle w:val="ListParagraph"/>
        <w:numPr>
          <w:ilvl w:val="0"/>
          <w:numId w:val="8"/>
        </w:numPr>
      </w:pPr>
      <w:r>
        <w:t>A candidate ADR, which also connects directly to Michael's Task 1 design-pattern research if Observer is one of his selected patterns</w:t>
      </w:r>
      <w:r>
        <w:t>;</w:t>
      </w:r>
      <w:r>
        <w:t xml:space="preserve"> a natural link for the Task 5 Research-to-Decision Map.</w:t>
      </w:r>
    </w:p>
    <w:p w14:paraId="3DEB2D29" w14:textId="1A44FFF0" w:rsidR="0079073F" w:rsidRDefault="0079073F" w:rsidP="0079073F">
      <w:pPr>
        <w:pStyle w:val="ListParagraph"/>
        <w:numPr>
          <w:ilvl w:val="0"/>
          <w:numId w:val="8"/>
        </w:numPr>
      </w:pPr>
      <w:r>
        <w:t>Application documentation describing how FR-005 feedback is actually generated and delivered internally.</w:t>
      </w:r>
    </w:p>
    <w:p w14:paraId="02305A49" w14:textId="77777777" w:rsidR="0079073F" w:rsidRDefault="0079073F" w:rsidP="0079073F">
      <w:r>
        <w:t>Rows for Task 5 (Research-to-Decision Map</w:t>
      </w:r>
      <w:r w:rsidRPr="0079073F">
        <w:rPr>
          <w:highlight w:val="yellow"/>
        </w:rPr>
        <w:t>) — for Cameron to incorporate</w:t>
      </w:r>
    </w:p>
    <w:tbl>
      <w:tblPr>
        <w:tblW w:w="11199" w:type="dxa"/>
        <w:tblCellSpacing w:w="15"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96"/>
        <w:gridCol w:w="2237"/>
        <w:gridCol w:w="1881"/>
        <w:gridCol w:w="1942"/>
        <w:gridCol w:w="3043"/>
      </w:tblGrid>
      <w:tr w:rsidR="0079073F" w:rsidRPr="0079073F" w14:paraId="3E5E6587" w14:textId="77777777" w:rsidTr="0079073F">
        <w:trPr>
          <w:tblHeader/>
          <w:tblCellSpacing w:w="15" w:type="dxa"/>
        </w:trPr>
        <w:tc>
          <w:tcPr>
            <w:tcW w:w="2052" w:type="dxa"/>
            <w:vAlign w:val="center"/>
            <w:hideMark/>
          </w:tcPr>
          <w:p w14:paraId="7882B6EE" w14:textId="77777777" w:rsidR="0079073F" w:rsidRPr="0079073F" w:rsidRDefault="0079073F" w:rsidP="0079073F">
            <w:pPr>
              <w:rPr>
                <w:b/>
                <w:bCs/>
                <w:sz w:val="20"/>
                <w:szCs w:val="20"/>
                <w:lang w:val="en-ZA"/>
              </w:rPr>
            </w:pPr>
            <w:r w:rsidRPr="0079073F">
              <w:rPr>
                <w:b/>
                <w:bCs/>
                <w:sz w:val="20"/>
                <w:szCs w:val="20"/>
                <w:lang w:val="en-ZA"/>
              </w:rPr>
              <w:t>A2 finding</w:t>
            </w:r>
          </w:p>
        </w:tc>
        <w:tc>
          <w:tcPr>
            <w:tcW w:w="0" w:type="auto"/>
            <w:vAlign w:val="center"/>
            <w:hideMark/>
          </w:tcPr>
          <w:p w14:paraId="49B0C152" w14:textId="77777777" w:rsidR="0079073F" w:rsidRPr="0079073F" w:rsidRDefault="0079073F" w:rsidP="0079073F">
            <w:pPr>
              <w:rPr>
                <w:b/>
                <w:bCs/>
                <w:sz w:val="20"/>
                <w:szCs w:val="20"/>
                <w:lang w:val="en-ZA"/>
              </w:rPr>
            </w:pPr>
            <w:r w:rsidRPr="0079073F">
              <w:rPr>
                <w:b/>
                <w:bCs/>
                <w:sz w:val="20"/>
                <w:szCs w:val="20"/>
                <w:lang w:val="en-ZA"/>
              </w:rPr>
              <w:t>Evidence/alternative considered</w:t>
            </w:r>
          </w:p>
        </w:tc>
        <w:tc>
          <w:tcPr>
            <w:tcW w:w="0" w:type="auto"/>
            <w:vAlign w:val="center"/>
            <w:hideMark/>
          </w:tcPr>
          <w:p w14:paraId="1CF5402E" w14:textId="77777777" w:rsidR="0079073F" w:rsidRPr="0079073F" w:rsidRDefault="0079073F" w:rsidP="0079073F">
            <w:pPr>
              <w:rPr>
                <w:b/>
                <w:bCs/>
                <w:sz w:val="20"/>
                <w:szCs w:val="20"/>
                <w:lang w:val="en-ZA"/>
              </w:rPr>
            </w:pPr>
            <w:r w:rsidRPr="0079073F">
              <w:rPr>
                <w:b/>
                <w:bCs/>
                <w:sz w:val="20"/>
                <w:szCs w:val="20"/>
                <w:lang w:val="en-ZA"/>
              </w:rPr>
              <w:t>Recommendation</w:t>
            </w:r>
          </w:p>
        </w:tc>
        <w:tc>
          <w:tcPr>
            <w:tcW w:w="0" w:type="auto"/>
            <w:vAlign w:val="center"/>
            <w:hideMark/>
          </w:tcPr>
          <w:p w14:paraId="07ABF2F1" w14:textId="77777777" w:rsidR="0079073F" w:rsidRPr="0079073F" w:rsidRDefault="0079073F" w:rsidP="0079073F">
            <w:pPr>
              <w:rPr>
                <w:b/>
                <w:bCs/>
                <w:sz w:val="20"/>
                <w:szCs w:val="20"/>
                <w:lang w:val="en-ZA"/>
              </w:rPr>
            </w:pPr>
            <w:r w:rsidRPr="0079073F">
              <w:rPr>
                <w:b/>
                <w:bCs/>
                <w:sz w:val="20"/>
                <w:szCs w:val="20"/>
                <w:lang w:val="en-ZA"/>
              </w:rPr>
              <w:t>Project decision it should inform</w:t>
            </w:r>
          </w:p>
        </w:tc>
        <w:tc>
          <w:tcPr>
            <w:tcW w:w="2998" w:type="dxa"/>
            <w:vAlign w:val="center"/>
            <w:hideMark/>
          </w:tcPr>
          <w:p w14:paraId="6A93ACF0" w14:textId="77777777" w:rsidR="0079073F" w:rsidRPr="0079073F" w:rsidRDefault="0079073F" w:rsidP="0079073F">
            <w:pPr>
              <w:rPr>
                <w:b/>
                <w:bCs/>
                <w:sz w:val="20"/>
                <w:szCs w:val="20"/>
                <w:lang w:val="en-ZA"/>
              </w:rPr>
            </w:pPr>
            <w:r w:rsidRPr="0079073F">
              <w:rPr>
                <w:b/>
                <w:bCs/>
                <w:sz w:val="20"/>
                <w:szCs w:val="20"/>
                <w:lang w:val="en-ZA"/>
              </w:rPr>
              <w:t>Expected PED/ADR/RTM/application evidence</w:t>
            </w:r>
          </w:p>
        </w:tc>
      </w:tr>
      <w:tr w:rsidR="0079073F" w:rsidRPr="0079073F" w14:paraId="31C2B070" w14:textId="77777777" w:rsidTr="0079073F">
        <w:trPr>
          <w:tblCellSpacing w:w="15" w:type="dxa"/>
        </w:trPr>
        <w:tc>
          <w:tcPr>
            <w:tcW w:w="2052" w:type="dxa"/>
            <w:vAlign w:val="center"/>
            <w:hideMark/>
          </w:tcPr>
          <w:p w14:paraId="4669CCED" w14:textId="77777777" w:rsidR="0079073F" w:rsidRPr="0079073F" w:rsidRDefault="0079073F" w:rsidP="0079073F">
            <w:pPr>
              <w:rPr>
                <w:sz w:val="20"/>
                <w:szCs w:val="20"/>
                <w:lang w:val="en-ZA"/>
              </w:rPr>
            </w:pPr>
            <w:r w:rsidRPr="0079073F">
              <w:rPr>
                <w:sz w:val="20"/>
                <w:szCs w:val="20"/>
                <w:lang w:val="en-ZA"/>
              </w:rPr>
              <w:t>Persistence/data</w:t>
            </w:r>
          </w:p>
        </w:tc>
        <w:tc>
          <w:tcPr>
            <w:tcW w:w="0" w:type="auto"/>
            <w:vAlign w:val="center"/>
            <w:hideMark/>
          </w:tcPr>
          <w:p w14:paraId="63E7749D" w14:textId="77777777" w:rsidR="0079073F" w:rsidRPr="0079073F" w:rsidRDefault="0079073F" w:rsidP="0079073F">
            <w:pPr>
              <w:rPr>
                <w:sz w:val="20"/>
                <w:szCs w:val="20"/>
                <w:lang w:val="en-ZA"/>
              </w:rPr>
            </w:pPr>
            <w:r w:rsidRPr="0079073F">
              <w:rPr>
                <w:sz w:val="20"/>
                <w:szCs w:val="20"/>
                <w:lang w:val="en-ZA"/>
              </w:rPr>
              <w:t>Pessimistic locking vs. optimistic conditional update (Menascé and Nakanishi, 1982) for FR-009 ownership assignment</w:t>
            </w:r>
          </w:p>
        </w:tc>
        <w:tc>
          <w:tcPr>
            <w:tcW w:w="0" w:type="auto"/>
            <w:vAlign w:val="center"/>
            <w:hideMark/>
          </w:tcPr>
          <w:p w14:paraId="4171A70B" w14:textId="77777777" w:rsidR="0079073F" w:rsidRPr="0079073F" w:rsidRDefault="0079073F" w:rsidP="0079073F">
            <w:pPr>
              <w:rPr>
                <w:sz w:val="20"/>
                <w:szCs w:val="20"/>
                <w:lang w:val="en-ZA"/>
              </w:rPr>
            </w:pPr>
            <w:r w:rsidRPr="0079073F">
              <w:rPr>
                <w:sz w:val="20"/>
                <w:szCs w:val="20"/>
                <w:lang w:val="en-ZA"/>
              </w:rPr>
              <w:t>Optimistic, database-enforced atomic conditional update, backed by application-layer eligibility checks</w:t>
            </w:r>
          </w:p>
        </w:tc>
        <w:tc>
          <w:tcPr>
            <w:tcW w:w="0" w:type="auto"/>
            <w:vAlign w:val="center"/>
            <w:hideMark/>
          </w:tcPr>
          <w:p w14:paraId="40221C13" w14:textId="77777777" w:rsidR="0079073F" w:rsidRPr="0079073F" w:rsidRDefault="0079073F" w:rsidP="0079073F">
            <w:pPr>
              <w:rPr>
                <w:sz w:val="20"/>
                <w:szCs w:val="20"/>
                <w:lang w:val="en-ZA"/>
              </w:rPr>
            </w:pPr>
            <w:r w:rsidRPr="0079073F">
              <w:rPr>
                <w:sz w:val="20"/>
                <w:szCs w:val="20"/>
                <w:lang w:val="en-ZA"/>
              </w:rPr>
              <w:t>M2 data/persistence design; ADR on concurrency handling</w:t>
            </w:r>
          </w:p>
        </w:tc>
        <w:tc>
          <w:tcPr>
            <w:tcW w:w="2998" w:type="dxa"/>
            <w:vAlign w:val="center"/>
            <w:hideMark/>
          </w:tcPr>
          <w:p w14:paraId="779BDEE3" w14:textId="77777777" w:rsidR="0079073F" w:rsidRPr="0079073F" w:rsidRDefault="0079073F" w:rsidP="0079073F">
            <w:pPr>
              <w:rPr>
                <w:sz w:val="20"/>
                <w:szCs w:val="20"/>
                <w:lang w:val="en-ZA"/>
              </w:rPr>
            </w:pPr>
            <w:r w:rsidRPr="0079073F">
              <w:rPr>
                <w:sz w:val="20"/>
                <w:szCs w:val="20"/>
                <w:lang w:val="en-ZA"/>
              </w:rPr>
              <w:t>ADR; RTM test note on FR-009/AC-FR-009-2; NFR-003 evidence</w:t>
            </w:r>
          </w:p>
        </w:tc>
      </w:tr>
      <w:tr w:rsidR="0079073F" w:rsidRPr="0079073F" w14:paraId="14DBD8BB" w14:textId="77777777" w:rsidTr="0079073F">
        <w:trPr>
          <w:tblCellSpacing w:w="15" w:type="dxa"/>
        </w:trPr>
        <w:tc>
          <w:tcPr>
            <w:tcW w:w="2052" w:type="dxa"/>
            <w:vAlign w:val="center"/>
            <w:hideMark/>
          </w:tcPr>
          <w:p w14:paraId="14F789D6" w14:textId="77777777" w:rsidR="0079073F" w:rsidRPr="0079073F" w:rsidRDefault="0079073F" w:rsidP="0079073F">
            <w:pPr>
              <w:rPr>
                <w:sz w:val="20"/>
                <w:szCs w:val="20"/>
                <w:lang w:val="en-ZA"/>
              </w:rPr>
            </w:pPr>
            <w:r w:rsidRPr="0079073F">
              <w:rPr>
                <w:sz w:val="20"/>
                <w:szCs w:val="20"/>
                <w:lang w:val="en-ZA"/>
              </w:rPr>
              <w:t>Integration/API</w:t>
            </w:r>
          </w:p>
        </w:tc>
        <w:tc>
          <w:tcPr>
            <w:tcW w:w="0" w:type="auto"/>
            <w:vAlign w:val="center"/>
            <w:hideMark/>
          </w:tcPr>
          <w:p w14:paraId="776FA5B7" w14:textId="77777777" w:rsidR="0079073F" w:rsidRPr="0079073F" w:rsidRDefault="0079073F" w:rsidP="0079073F">
            <w:pPr>
              <w:rPr>
                <w:sz w:val="20"/>
                <w:szCs w:val="20"/>
                <w:lang w:val="en-ZA"/>
              </w:rPr>
            </w:pPr>
            <w:r w:rsidRPr="0079073F">
              <w:rPr>
                <w:sz w:val="20"/>
                <w:szCs w:val="20"/>
                <w:lang w:val="en-ZA"/>
              </w:rPr>
              <w:t>In-process call vs. REST API vs. in-process event/Observer (Fielding, 2000; Fowler, 2003; Gamma et al., 1994) for status-change → requester feedback (FR-005)</w:t>
            </w:r>
          </w:p>
        </w:tc>
        <w:tc>
          <w:tcPr>
            <w:tcW w:w="0" w:type="auto"/>
            <w:vAlign w:val="center"/>
            <w:hideMark/>
          </w:tcPr>
          <w:p w14:paraId="1135488E" w14:textId="77777777" w:rsidR="0079073F" w:rsidRPr="0079073F" w:rsidRDefault="0079073F" w:rsidP="0079073F">
            <w:pPr>
              <w:rPr>
                <w:sz w:val="20"/>
                <w:szCs w:val="20"/>
                <w:lang w:val="en-ZA"/>
              </w:rPr>
            </w:pPr>
            <w:r w:rsidRPr="0079073F">
              <w:rPr>
                <w:sz w:val="20"/>
                <w:szCs w:val="20"/>
                <w:lang w:val="en-ZA"/>
              </w:rPr>
              <w:t>In-process Observer/event internally; REST reserved for the browser-backend boundary</w:t>
            </w:r>
          </w:p>
        </w:tc>
        <w:tc>
          <w:tcPr>
            <w:tcW w:w="0" w:type="auto"/>
            <w:vAlign w:val="center"/>
            <w:hideMark/>
          </w:tcPr>
          <w:p w14:paraId="442D38CA" w14:textId="77777777" w:rsidR="0079073F" w:rsidRPr="0079073F" w:rsidRDefault="0079073F" w:rsidP="0079073F">
            <w:pPr>
              <w:rPr>
                <w:sz w:val="20"/>
                <w:szCs w:val="20"/>
                <w:lang w:val="en-ZA"/>
              </w:rPr>
            </w:pPr>
            <w:r w:rsidRPr="0079073F">
              <w:rPr>
                <w:sz w:val="20"/>
                <w:szCs w:val="20"/>
                <w:lang w:val="en-ZA"/>
              </w:rPr>
              <w:t>M2 architecture/internal design decision</w:t>
            </w:r>
          </w:p>
        </w:tc>
        <w:tc>
          <w:tcPr>
            <w:tcW w:w="2998" w:type="dxa"/>
            <w:vAlign w:val="center"/>
            <w:hideMark/>
          </w:tcPr>
          <w:p w14:paraId="15E888FC" w14:textId="77777777" w:rsidR="0079073F" w:rsidRPr="0079073F" w:rsidRDefault="0079073F" w:rsidP="0079073F">
            <w:pPr>
              <w:rPr>
                <w:sz w:val="20"/>
                <w:szCs w:val="20"/>
                <w:lang w:val="en-ZA"/>
              </w:rPr>
            </w:pPr>
            <w:r w:rsidRPr="0079073F">
              <w:rPr>
                <w:sz w:val="20"/>
                <w:szCs w:val="20"/>
                <w:lang w:val="en-ZA"/>
              </w:rPr>
              <w:t>ADR; application documentation of FR-005 delivery mechanism</w:t>
            </w:r>
          </w:p>
        </w:tc>
      </w:tr>
    </w:tbl>
    <w:p w14:paraId="35C0902C" w14:textId="4E8FAA3D" w:rsidR="0079073F" w:rsidRDefault="0079073F" w:rsidP="0079073F">
      <w:r>
        <w:br/>
      </w:r>
    </w:p>
    <w:p w14:paraId="28CD9E2A" w14:textId="77777777" w:rsidR="0079073F" w:rsidRDefault="0079073F" w:rsidP="0079073F"/>
    <w:p w14:paraId="3767A607" w14:textId="77777777" w:rsidR="0079073F" w:rsidRDefault="0079073F" w:rsidP="0079073F">
      <w:pPr>
        <w:pStyle w:val="Heading1"/>
      </w:pPr>
      <w:r>
        <w:t>References</w:t>
      </w:r>
    </w:p>
    <w:p w14:paraId="1E591D4E" w14:textId="77777777" w:rsidR="0079073F" w:rsidRDefault="0079073F" w:rsidP="0079073F"/>
    <w:p w14:paraId="5BC60D1B" w14:textId="2A4EE0B2" w:rsidR="0079073F" w:rsidRDefault="0079073F" w:rsidP="0079073F">
      <w:r>
        <w:t xml:space="preserve">Fielding, R.T. (2000) Architectural Styles and the Design of Network-based Software Architectures. PhD dissertation. University of California, Irvine. Available at: </w:t>
      </w:r>
      <w:hyperlink r:id="rId5" w:history="1">
        <w:r w:rsidRPr="00020B10">
          <w:rPr>
            <w:rStyle w:val="Hyperlink"/>
          </w:rPr>
          <w:t>https://www.ics.uci.edu/~fielding/pubs/dissertation/rest_arch_style.htm</w:t>
        </w:r>
      </w:hyperlink>
      <w:r>
        <w:t xml:space="preserve"> </w:t>
      </w:r>
      <w:r>
        <w:t>(Accessed: 15 September 2026).</w:t>
      </w:r>
    </w:p>
    <w:p w14:paraId="57F1A17E" w14:textId="77777777" w:rsidR="0079073F" w:rsidRDefault="0079073F" w:rsidP="0079073F"/>
    <w:p w14:paraId="6BCD530F" w14:textId="77777777" w:rsidR="0079073F" w:rsidRDefault="0079073F" w:rsidP="0079073F">
      <w:r>
        <w:t>Fowler, M. (2003) Patterns of Enterprise Application Architecture. Boston: Addison-Wesley.</w:t>
      </w:r>
    </w:p>
    <w:p w14:paraId="3EF8630E" w14:textId="77777777" w:rsidR="0079073F" w:rsidRDefault="0079073F" w:rsidP="0079073F"/>
    <w:p w14:paraId="59FCEC9F" w14:textId="00971707" w:rsidR="0079073F" w:rsidRDefault="0079073F" w:rsidP="0079073F">
      <w:r>
        <w:t xml:space="preserve">Fowler, M. (2004) First Law. martinfowler.com bliki. Available at: </w:t>
      </w:r>
      <w:hyperlink r:id="rId6" w:history="1">
        <w:r w:rsidRPr="00020B10">
          <w:rPr>
            <w:rStyle w:val="Hyperlink"/>
          </w:rPr>
          <w:t>https://www.martinfowler.com/bliki/FirstLaw.html</w:t>
        </w:r>
      </w:hyperlink>
      <w:r>
        <w:t xml:space="preserve"> </w:t>
      </w:r>
      <w:r>
        <w:t xml:space="preserve"> (Accessed: 15 September 2026).</w:t>
      </w:r>
    </w:p>
    <w:p w14:paraId="570E761D" w14:textId="77777777" w:rsidR="0079073F" w:rsidRDefault="0079073F" w:rsidP="0079073F"/>
    <w:p w14:paraId="60D61505" w14:textId="798B4A43" w:rsidR="0079073F" w:rsidRDefault="0079073F" w:rsidP="0079073F">
      <w:r>
        <w:t xml:space="preserve">freeCodeCamp (2024) How Databases Guarantee Isolation – Pessimistic vs Optimistic Concurrency Control Explained. Available at: </w:t>
      </w:r>
      <w:hyperlink r:id="rId7" w:history="1">
        <w:r w:rsidRPr="00020B10">
          <w:rPr>
            <w:rStyle w:val="Hyperlink"/>
          </w:rPr>
          <w:t>https://www.freecodecamp.org/news/how-databases-guarantee-isolation/</w:t>
        </w:r>
      </w:hyperlink>
      <w:r>
        <w:t xml:space="preserve"> </w:t>
      </w:r>
      <w:r>
        <w:t xml:space="preserve"> (Accessed: 15 September 2026).</w:t>
      </w:r>
    </w:p>
    <w:p w14:paraId="0FF13C88" w14:textId="77777777" w:rsidR="0079073F" w:rsidRDefault="0079073F" w:rsidP="0079073F"/>
    <w:p w14:paraId="34ABED79" w14:textId="77777777" w:rsidR="0079073F" w:rsidRDefault="0079073F" w:rsidP="0079073F">
      <w:r>
        <w:lastRenderedPageBreak/>
        <w:t>Gamma, E., Helm, R., Johnson, R. and Vlissides, J. (1994) Design Patterns: Elements of Reusable Object-Oriented Software. Reading, MA: Addison-Wesley.</w:t>
      </w:r>
    </w:p>
    <w:p w14:paraId="42C1FA0C" w14:textId="77777777" w:rsidR="0079073F" w:rsidRDefault="0079073F" w:rsidP="0079073F"/>
    <w:p w14:paraId="26A275F4" w14:textId="77777777" w:rsidR="0079073F" w:rsidRDefault="0079073F" w:rsidP="0079073F">
      <w:r>
        <w:t>Menascé, D.A. and Nakanishi, T. (1982) 'Optimistic versus pessimistic concurrency control mechanisms in database management systems', Information Systems, 7(1), pp. 13–27.</w:t>
      </w:r>
    </w:p>
    <w:p w14:paraId="4193D214" w14:textId="77777777" w:rsidR="0079073F" w:rsidRDefault="0079073F" w:rsidP="0079073F"/>
    <w:p w14:paraId="5EEF2B32" w14:textId="56837421" w:rsidR="0079073F" w:rsidRDefault="0079073F" w:rsidP="0079073F">
      <w:r>
        <w:t>OWASP Foundation (n.d.) Secure Product Design</w:t>
      </w:r>
      <w:r>
        <w:t>;</w:t>
      </w:r>
      <w:r>
        <w:t xml:space="preserve"> OWASP Cheat Sheet Series. Available at: </w:t>
      </w:r>
      <w:hyperlink r:id="rId8" w:history="1">
        <w:r w:rsidRPr="00020B10">
          <w:rPr>
            <w:rStyle w:val="Hyperlink"/>
          </w:rPr>
          <w:t>https://cheatsheetseries.owasp.org/cheatsheets/Secure_Product_Design_Cheat_Sheet.html</w:t>
        </w:r>
      </w:hyperlink>
      <w:r>
        <w:t xml:space="preserve"> </w:t>
      </w:r>
      <w:r>
        <w:t xml:space="preserve"> (Accessed: 15 September 2026).</w:t>
      </w:r>
    </w:p>
    <w:p w14:paraId="18590684" w14:textId="77777777" w:rsidR="0079073F" w:rsidRDefault="0079073F" w:rsidP="0079073F"/>
    <w:p w14:paraId="2A5BB844" w14:textId="1E933C2B" w:rsidR="0079073F" w:rsidRDefault="0079073F" w:rsidP="0079073F">
      <w:r>
        <w:t>OWASP (n.d.) C3: Validate all Input &amp; Handle Exceptions</w:t>
      </w:r>
      <w:r>
        <w:t>;</w:t>
      </w:r>
      <w:r>
        <w:t xml:space="preserve"> OWASP Top 10 Proactive Controls. Available at: </w:t>
      </w:r>
      <w:hyperlink r:id="rId9" w:history="1">
        <w:r w:rsidRPr="00020B10">
          <w:rPr>
            <w:rStyle w:val="Hyperlink"/>
          </w:rPr>
          <w:t>https://top10proactive.owasp.org/the-top-10/c3-validate-input-and-handle-exceptions/</w:t>
        </w:r>
      </w:hyperlink>
      <w:r>
        <w:t xml:space="preserve"> </w:t>
      </w:r>
      <w:r>
        <w:t xml:space="preserve"> (Accessed: 15 September 2026).</w:t>
      </w:r>
    </w:p>
    <w:p w14:paraId="1BB8D907" w14:textId="77777777" w:rsidR="0079073F" w:rsidRDefault="0079073F" w:rsidP="0079073F"/>
    <w:p w14:paraId="1D6AB098" w14:textId="607DC6F7" w:rsidR="0079073F" w:rsidRPr="0079073F" w:rsidRDefault="0079073F" w:rsidP="0079073F">
      <w:pPr>
        <w:rPr>
          <w:highlight w:val="yellow"/>
        </w:rPr>
      </w:pPr>
      <w:r w:rsidRPr="0079073F">
        <w:rPr>
          <w:highlight w:val="yellow"/>
        </w:rPr>
        <w:t>AI Usage Register</w:t>
      </w:r>
    </w:p>
    <w:p w14:paraId="210582E6" w14:textId="77777777" w:rsidR="0079073F" w:rsidRPr="0079073F" w:rsidRDefault="0079073F" w:rsidP="0079073F">
      <w:pPr>
        <w:rPr>
          <w:highlight w:val="yellow"/>
        </w:rPr>
      </w:pPr>
    </w:p>
    <w:p w14:paraId="6161530A" w14:textId="5446EBF0" w:rsidR="00602467" w:rsidRPr="0079073F" w:rsidRDefault="0079073F" w:rsidP="0079073F">
      <w:r w:rsidRPr="0079073F">
        <w:rPr>
          <w:highlight w:val="yellow"/>
        </w:rPr>
        <w:t xml:space="preserve">Tool: AI assistant. </w:t>
      </w:r>
      <w:r w:rsidRPr="0079073F">
        <w:rPr>
          <w:highlight w:val="yellow"/>
        </w:rPr>
        <w:br/>
      </w:r>
      <w:r w:rsidRPr="0079073F">
        <w:rPr>
          <w:highlight w:val="yellow"/>
        </w:rPr>
        <w:t>Purpose: to research and structure comparisons of concurrency-control and integration mechanisms for Tasks 2–3. Verification: claims were checked against the cited academic/authoritative sources above (Fielding's original dissertation, the Gang of Four book, a peer-reviewed concurrency-control paper, OWASP) rather than accepted from the AI directly; blog-only explanations were used only where they matched an authoritative source's claims. What was rejected: generic definitions without a CivicConnect-specific link were reworked or dropped, per the assignment's instruction that this is not a definitions assignment.</w:t>
      </w:r>
    </w:p>
    <w:sectPr w:rsidR="00602467" w:rsidRPr="0079073F" w:rsidSect="0079073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25E59"/>
    <w:multiLevelType w:val="multilevel"/>
    <w:tmpl w:val="93DC0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CE16D4"/>
    <w:multiLevelType w:val="multilevel"/>
    <w:tmpl w:val="DEDC5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F96161"/>
    <w:multiLevelType w:val="hybridMultilevel"/>
    <w:tmpl w:val="2FA2D91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3627240C"/>
    <w:multiLevelType w:val="hybridMultilevel"/>
    <w:tmpl w:val="0DB63CC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43CC3311"/>
    <w:multiLevelType w:val="hybridMultilevel"/>
    <w:tmpl w:val="B882FF7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51697F20"/>
    <w:multiLevelType w:val="multilevel"/>
    <w:tmpl w:val="765AE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DE6123"/>
    <w:multiLevelType w:val="multilevel"/>
    <w:tmpl w:val="842E5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D753E3"/>
    <w:multiLevelType w:val="hybridMultilevel"/>
    <w:tmpl w:val="EA0A2D9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985742920">
    <w:abstractNumId w:val="6"/>
  </w:num>
  <w:num w:numId="2" w16cid:durableId="622738055">
    <w:abstractNumId w:val="5"/>
  </w:num>
  <w:num w:numId="3" w16cid:durableId="568348604">
    <w:abstractNumId w:val="0"/>
  </w:num>
  <w:num w:numId="4" w16cid:durableId="660473939">
    <w:abstractNumId w:val="1"/>
  </w:num>
  <w:num w:numId="5" w16cid:durableId="398745033">
    <w:abstractNumId w:val="3"/>
  </w:num>
  <w:num w:numId="6" w16cid:durableId="905145109">
    <w:abstractNumId w:val="4"/>
  </w:num>
  <w:num w:numId="7" w16cid:durableId="1622229362">
    <w:abstractNumId w:val="7"/>
  </w:num>
  <w:num w:numId="8" w16cid:durableId="4313607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73F"/>
    <w:rsid w:val="00167E50"/>
    <w:rsid w:val="002A7994"/>
    <w:rsid w:val="00403B18"/>
    <w:rsid w:val="0046315F"/>
    <w:rsid w:val="004648DB"/>
    <w:rsid w:val="00602467"/>
    <w:rsid w:val="0079073F"/>
    <w:rsid w:val="009E5907"/>
    <w:rsid w:val="00B06F3D"/>
    <w:rsid w:val="00D013B5"/>
    <w:rsid w:val="00F8219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7C95D"/>
  <w15:chartTrackingRefBased/>
  <w15:docId w15:val="{520CDE0A-8E6C-463D-82C6-A337EA2F6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315F"/>
    <w:rPr>
      <w:lang w:val="en-GB"/>
    </w:rPr>
  </w:style>
  <w:style w:type="paragraph" w:styleId="Heading1">
    <w:name w:val="heading 1"/>
    <w:basedOn w:val="Normal"/>
    <w:next w:val="Normal"/>
    <w:link w:val="Heading1Char"/>
    <w:autoRedefine/>
    <w:uiPriority w:val="9"/>
    <w:qFormat/>
    <w:rsid w:val="0046315F"/>
    <w:pPr>
      <w:keepNext/>
      <w:keepLines/>
      <w:spacing w:before="360" w:after="80"/>
      <w:outlineLvl w:val="0"/>
    </w:pPr>
    <w:rPr>
      <w:rFonts w:ascii="Calibri" w:eastAsiaTheme="majorEastAsia" w:hAnsi="Calibri" w:cstheme="majorBidi"/>
      <w:color w:val="0F4761" w:themeColor="accent1" w:themeShade="BF"/>
      <w:sz w:val="40"/>
      <w:szCs w:val="40"/>
    </w:rPr>
  </w:style>
  <w:style w:type="paragraph" w:styleId="Heading2">
    <w:name w:val="heading 2"/>
    <w:basedOn w:val="Normal"/>
    <w:next w:val="Normal"/>
    <w:link w:val="Heading2Char"/>
    <w:autoRedefine/>
    <w:uiPriority w:val="9"/>
    <w:unhideWhenUsed/>
    <w:qFormat/>
    <w:rsid w:val="0046315F"/>
    <w:pPr>
      <w:keepNext/>
      <w:keepLines/>
      <w:spacing w:before="160" w:after="80"/>
      <w:outlineLvl w:val="1"/>
    </w:pPr>
    <w:rPr>
      <w:rFonts w:ascii="Calibri" w:eastAsiaTheme="majorEastAsia" w:hAnsi="Calibr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907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907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07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07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07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07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07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6315F"/>
    <w:rPr>
      <w:rFonts w:ascii="Calibri" w:eastAsiaTheme="majorEastAsia" w:hAnsi="Calibri" w:cstheme="majorBidi"/>
      <w:color w:val="0F4761" w:themeColor="accent1" w:themeShade="BF"/>
      <w:sz w:val="32"/>
      <w:szCs w:val="32"/>
    </w:rPr>
  </w:style>
  <w:style w:type="character" w:customStyle="1" w:styleId="Heading1Char">
    <w:name w:val="Heading 1 Char"/>
    <w:basedOn w:val="DefaultParagraphFont"/>
    <w:link w:val="Heading1"/>
    <w:uiPriority w:val="9"/>
    <w:rsid w:val="0046315F"/>
    <w:rPr>
      <w:rFonts w:ascii="Calibri" w:eastAsiaTheme="majorEastAsia" w:hAnsi="Calibri" w:cstheme="majorBidi"/>
      <w:color w:val="0F4761" w:themeColor="accent1" w:themeShade="BF"/>
      <w:sz w:val="40"/>
      <w:szCs w:val="40"/>
    </w:rPr>
  </w:style>
  <w:style w:type="character" w:customStyle="1" w:styleId="Heading3Char">
    <w:name w:val="Heading 3 Char"/>
    <w:basedOn w:val="DefaultParagraphFont"/>
    <w:link w:val="Heading3"/>
    <w:uiPriority w:val="9"/>
    <w:rsid w:val="0079073F"/>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rsid w:val="0079073F"/>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79073F"/>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79073F"/>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79073F"/>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79073F"/>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79073F"/>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7907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073F"/>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7907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073F"/>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79073F"/>
    <w:pPr>
      <w:spacing w:before="160"/>
      <w:jc w:val="center"/>
    </w:pPr>
    <w:rPr>
      <w:i/>
      <w:iCs/>
      <w:color w:val="404040" w:themeColor="text1" w:themeTint="BF"/>
    </w:rPr>
  </w:style>
  <w:style w:type="character" w:customStyle="1" w:styleId="QuoteChar">
    <w:name w:val="Quote Char"/>
    <w:basedOn w:val="DefaultParagraphFont"/>
    <w:link w:val="Quote"/>
    <w:uiPriority w:val="29"/>
    <w:rsid w:val="0079073F"/>
    <w:rPr>
      <w:i/>
      <w:iCs/>
      <w:color w:val="404040" w:themeColor="text1" w:themeTint="BF"/>
      <w:lang w:val="en-GB"/>
    </w:rPr>
  </w:style>
  <w:style w:type="paragraph" w:styleId="ListParagraph">
    <w:name w:val="List Paragraph"/>
    <w:basedOn w:val="Normal"/>
    <w:uiPriority w:val="34"/>
    <w:qFormat/>
    <w:rsid w:val="0079073F"/>
    <w:pPr>
      <w:ind w:left="720"/>
      <w:contextualSpacing/>
    </w:pPr>
  </w:style>
  <w:style w:type="character" w:styleId="IntenseEmphasis">
    <w:name w:val="Intense Emphasis"/>
    <w:basedOn w:val="DefaultParagraphFont"/>
    <w:uiPriority w:val="21"/>
    <w:qFormat/>
    <w:rsid w:val="0079073F"/>
    <w:rPr>
      <w:i/>
      <w:iCs/>
      <w:color w:val="0F4761" w:themeColor="accent1" w:themeShade="BF"/>
    </w:rPr>
  </w:style>
  <w:style w:type="paragraph" w:styleId="IntenseQuote">
    <w:name w:val="Intense Quote"/>
    <w:basedOn w:val="Normal"/>
    <w:next w:val="Normal"/>
    <w:link w:val="IntenseQuoteChar"/>
    <w:uiPriority w:val="30"/>
    <w:qFormat/>
    <w:rsid w:val="007907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073F"/>
    <w:rPr>
      <w:i/>
      <w:iCs/>
      <w:color w:val="0F4761" w:themeColor="accent1" w:themeShade="BF"/>
      <w:lang w:val="en-GB"/>
    </w:rPr>
  </w:style>
  <w:style w:type="character" w:styleId="IntenseReference">
    <w:name w:val="Intense Reference"/>
    <w:basedOn w:val="DefaultParagraphFont"/>
    <w:uiPriority w:val="32"/>
    <w:qFormat/>
    <w:rsid w:val="0079073F"/>
    <w:rPr>
      <w:b/>
      <w:bCs/>
      <w:smallCaps/>
      <w:color w:val="0F4761" w:themeColor="accent1" w:themeShade="BF"/>
      <w:spacing w:val="5"/>
    </w:rPr>
  </w:style>
  <w:style w:type="character" w:styleId="Hyperlink">
    <w:name w:val="Hyperlink"/>
    <w:basedOn w:val="DefaultParagraphFont"/>
    <w:uiPriority w:val="99"/>
    <w:unhideWhenUsed/>
    <w:rsid w:val="0079073F"/>
    <w:rPr>
      <w:color w:val="467886" w:themeColor="hyperlink"/>
      <w:u w:val="single"/>
    </w:rPr>
  </w:style>
  <w:style w:type="character" w:styleId="UnresolvedMention">
    <w:name w:val="Unresolved Mention"/>
    <w:basedOn w:val="DefaultParagraphFont"/>
    <w:uiPriority w:val="99"/>
    <w:semiHidden/>
    <w:unhideWhenUsed/>
    <w:rsid w:val="007907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heatsheetseries.owasp.org/cheatsheets/Secure_Product_Design_Cheat_Sheet.html" TargetMode="External"/><Relationship Id="rId3" Type="http://schemas.openxmlformats.org/officeDocument/2006/relationships/settings" Target="settings.xml"/><Relationship Id="rId7" Type="http://schemas.openxmlformats.org/officeDocument/2006/relationships/hyperlink" Target="https://www.freecodecamp.org/news/how-databases-guarantee-isolat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artinfowler.com/bliki/FirstLaw.html" TargetMode="External"/><Relationship Id="rId11" Type="http://schemas.openxmlformats.org/officeDocument/2006/relationships/theme" Target="theme/theme1.xml"/><Relationship Id="rId5" Type="http://schemas.openxmlformats.org/officeDocument/2006/relationships/hyperlink" Target="https://www.ics.uci.edu/~fielding/pubs/dissertation/rest_arch_style.ht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top10proactive.owasp.org/the-top-10/c3-validate-input-and-handle-excep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5</Pages>
  <Words>1920</Words>
  <Characters>10948</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Bianca Grobler</dc:creator>
  <cp:keywords/>
  <dc:description/>
  <cp:lastModifiedBy>Bianca Grobler</cp:lastModifiedBy>
  <cp:revision>1</cp:revision>
  <dcterms:created xsi:type="dcterms:W3CDTF">2026-09-15T06:46:00Z</dcterms:created>
  <dcterms:modified xsi:type="dcterms:W3CDTF">2026-09-15T07:00:00Z</dcterms:modified>
</cp:coreProperties>
</file>