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575656D9" w:rsidR="00F24965" w:rsidRPr="00990745" w:rsidRDefault="00490E74">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238E80B7" w:rsidR="00F24965" w:rsidRPr="00990745" w:rsidRDefault="00490E74">
            <w:pPr>
              <w:rPr>
                <w:sz w:val="20"/>
                <w:szCs w:val="20"/>
              </w:rPr>
            </w:pPr>
            <w:r>
              <w:rPr>
                <w:sz w:val="20"/>
                <w:szCs w:val="20"/>
              </w:rPr>
              <w:t>Michael</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7F2DC3EB" w:rsidR="00F24965" w:rsidRPr="00990745" w:rsidRDefault="00490E74">
            <w:pPr>
              <w:rPr>
                <w:sz w:val="20"/>
                <w:szCs w:val="20"/>
              </w:rPr>
            </w:pPr>
            <w:r>
              <w:rPr>
                <w:sz w:val="20"/>
                <w:szCs w:val="20"/>
              </w:rPr>
              <w:t xml:space="preserve">Potential M&amp;A targets for </w:t>
            </w:r>
            <w:proofErr w:type="spellStart"/>
            <w:r>
              <w:rPr>
                <w:sz w:val="20"/>
                <w:szCs w:val="20"/>
              </w:rPr>
              <w:t>WorldWide</w:t>
            </w:r>
            <w:proofErr w:type="spellEnd"/>
            <w:r>
              <w:rPr>
                <w:sz w:val="20"/>
                <w:szCs w:val="20"/>
              </w:rPr>
              <w:t xml:space="preserve"> Brewing Co.</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53E24947" w:rsidR="00AF616A" w:rsidRDefault="000E6230" w:rsidP="0039065E">
            <w:pPr>
              <w:rPr>
                <w:sz w:val="20"/>
                <w:szCs w:val="20"/>
              </w:rPr>
            </w:pPr>
            <w:r>
              <w:rPr>
                <w:sz w:val="20"/>
                <w:szCs w:val="20"/>
              </w:rPr>
              <w:t>Hi Anna,</w:t>
            </w:r>
          </w:p>
          <w:p w14:paraId="2B22034F" w14:textId="52E5B15C" w:rsidR="000E6230" w:rsidRDefault="000E6230" w:rsidP="0039065E">
            <w:pPr>
              <w:rPr>
                <w:sz w:val="20"/>
                <w:szCs w:val="20"/>
              </w:rPr>
            </w:pPr>
          </w:p>
          <w:p w14:paraId="50D1F116" w14:textId="13FC9FDD" w:rsidR="000E6230" w:rsidRPr="00AF616A" w:rsidRDefault="000E6230" w:rsidP="0039065E">
            <w:pPr>
              <w:rPr>
                <w:sz w:val="20"/>
                <w:szCs w:val="20"/>
              </w:rPr>
            </w:pPr>
            <w:r>
              <w:rPr>
                <w:sz w:val="20"/>
                <w:szCs w:val="20"/>
              </w:rPr>
              <w:t xml:space="preserve">Below I have described and recommended potential M&amp;A targets for </w:t>
            </w:r>
            <w:proofErr w:type="spellStart"/>
            <w:r>
              <w:rPr>
                <w:sz w:val="20"/>
                <w:szCs w:val="20"/>
              </w:rPr>
              <w:t>WorldWide</w:t>
            </w:r>
            <w:proofErr w:type="spellEnd"/>
            <w:r>
              <w:rPr>
                <w:sz w:val="20"/>
                <w:szCs w:val="20"/>
              </w:rPr>
              <w:t xml:space="preserve"> Brewing Co.</w:t>
            </w: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 xml:space="preserve">Relevance to </w:t>
                  </w:r>
                  <w:proofErr w:type="spellStart"/>
                  <w:r w:rsidRPr="00757AEB">
                    <w:rPr>
                      <w:rFonts w:ascii="Calibri" w:hAnsi="Calibri" w:cs="Calibri"/>
                      <w:b/>
                      <w:bCs/>
                      <w:sz w:val="20"/>
                      <w:szCs w:val="20"/>
                    </w:rPr>
                    <w:t>WorldWide</w:t>
                  </w:r>
                  <w:proofErr w:type="spellEnd"/>
                  <w:r w:rsidRPr="00757AEB">
                    <w:rPr>
                      <w:rFonts w:ascii="Calibri" w:hAnsi="Calibri" w:cs="Calibri"/>
                      <w:b/>
                      <w:bCs/>
                      <w:sz w:val="20"/>
                      <w:szCs w:val="20"/>
                    </w:rPr>
                    <w:t xml:space="preserv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proofErr w:type="spellStart"/>
                  <w:r w:rsidRPr="00757AEB">
                    <w:rPr>
                      <w:rFonts w:ascii="Calibri" w:hAnsi="Calibri" w:cs="Calibri"/>
                      <w:b/>
                      <w:bCs/>
                      <w:sz w:val="20"/>
                      <w:szCs w:val="20"/>
                    </w:rPr>
                    <w:t>HappyHour</w:t>
                  </w:r>
                  <w:proofErr w:type="spellEnd"/>
                  <w:r w:rsidRPr="00757AEB">
                    <w:rPr>
                      <w:rFonts w:ascii="Calibri" w:hAnsi="Calibri" w:cs="Calibri"/>
                      <w:b/>
                      <w:bCs/>
                      <w:sz w:val="20"/>
                      <w:szCs w:val="20"/>
                    </w:rPr>
                    <w:t xml:space="preserve"> Co.</w:t>
                  </w:r>
                </w:p>
              </w:tc>
              <w:tc>
                <w:tcPr>
                  <w:tcW w:w="2647" w:type="dxa"/>
                </w:tcPr>
                <w:p w14:paraId="64ABB862" w14:textId="77777777" w:rsidR="009B6A6C" w:rsidRPr="00757AEB" w:rsidRDefault="009B6A6C" w:rsidP="009B6A6C">
                  <w:pPr>
                    <w:rPr>
                      <w:rFonts w:ascii="Calibri" w:hAnsi="Calibri" w:cs="Calibri"/>
                      <w:sz w:val="20"/>
                      <w:szCs w:val="20"/>
                    </w:rPr>
                  </w:pP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w:t>
                  </w:r>
                  <w:proofErr w:type="spellStart"/>
                  <w:r w:rsidRPr="00757AEB">
                    <w:rPr>
                      <w:rFonts w:ascii="Calibri" w:hAnsi="Calibri" w:cs="Calibri"/>
                      <w:sz w:val="20"/>
                      <w:szCs w:val="20"/>
                    </w:rPr>
                    <w:t>pcp</w:t>
                  </w:r>
                  <w:proofErr w:type="spellEnd"/>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t>
                  </w:r>
                  <w:proofErr w:type="spellStart"/>
                  <w:r w:rsidRPr="00757AEB">
                    <w:rPr>
                      <w:rFonts w:ascii="Calibri" w:hAnsi="Calibri" w:cs="Calibri"/>
                      <w:sz w:val="20"/>
                      <w:szCs w:val="20"/>
                    </w:rPr>
                    <w:t>WorldWide</w:t>
                  </w:r>
                  <w:proofErr w:type="spellEnd"/>
                  <w:r w:rsidRPr="00757AEB">
                    <w:rPr>
                      <w:rFonts w:ascii="Calibri" w:hAnsi="Calibri" w:cs="Calibri"/>
                      <w:sz w:val="20"/>
                      <w:szCs w:val="20"/>
                    </w:rPr>
                    <w:t xml:space="preserv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 xml:space="preserve">acquisition relatively simple and feasible. </w:t>
                  </w: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306EB085" w:rsidR="009B6A6C" w:rsidRDefault="00490E74"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229C8B34" w14:textId="652338CE" w:rsidR="009B6A6C" w:rsidRDefault="005F6D4B" w:rsidP="009B6A6C">
                  <w:pPr>
                    <w:rPr>
                      <w:rFonts w:ascii="Calibri" w:hAnsi="Calibri" w:cs="Calibri"/>
                      <w:sz w:val="20"/>
                      <w:szCs w:val="20"/>
                    </w:rPr>
                  </w:pPr>
                  <w:r>
                    <w:rPr>
                      <w:rFonts w:ascii="Calibri" w:hAnsi="Calibri" w:cs="Calibri"/>
                      <w:sz w:val="20"/>
                      <w:szCs w:val="20"/>
                    </w:rPr>
                    <w:t>The b</w:t>
                  </w:r>
                  <w:r w:rsidR="00490E74">
                    <w:rPr>
                      <w:rFonts w:ascii="Calibri" w:hAnsi="Calibri" w:cs="Calibri"/>
                      <w:sz w:val="20"/>
                      <w:szCs w:val="20"/>
                    </w:rPr>
                    <w:t xml:space="preserve">iggest player in Indonesia whilst being the number 2 player in Singapore and Malaysia in Beer, Spirits and Non-alcoholic beverages. Operations include manufacturing in Indonesia, distribution and direct sales. Their EBITDA growth is very strong, up 40% </w:t>
                  </w:r>
                  <w:proofErr w:type="spellStart"/>
                  <w:r w:rsidR="00490E74">
                    <w:rPr>
                      <w:rFonts w:ascii="Calibri" w:hAnsi="Calibri" w:cs="Calibri"/>
                      <w:sz w:val="20"/>
                      <w:szCs w:val="20"/>
                    </w:rPr>
                    <w:t>pcp</w:t>
                  </w:r>
                  <w:proofErr w:type="spellEnd"/>
                  <w:r w:rsidR="00490E74">
                    <w:rPr>
                      <w:rFonts w:ascii="Calibri" w:hAnsi="Calibri" w:cs="Calibri"/>
                      <w:sz w:val="20"/>
                      <w:szCs w:val="20"/>
                    </w:rPr>
                    <w:t xml:space="preserve"> (amounting to US$400mm).</w:t>
                  </w:r>
                </w:p>
                <w:p w14:paraId="18F2157A" w14:textId="78B3BE68" w:rsidR="00BD0B73" w:rsidRPr="00757AEB" w:rsidRDefault="00BD0B73" w:rsidP="009B6A6C">
                  <w:pPr>
                    <w:rPr>
                      <w:rFonts w:ascii="Calibri" w:hAnsi="Calibri" w:cs="Calibri"/>
                      <w:sz w:val="20"/>
                      <w:szCs w:val="20"/>
                    </w:rPr>
                  </w:pPr>
                </w:p>
              </w:tc>
              <w:tc>
                <w:tcPr>
                  <w:tcW w:w="2893" w:type="dxa"/>
                </w:tcPr>
                <w:p w14:paraId="1A2EB85F" w14:textId="78752208" w:rsidR="00BF3191" w:rsidRDefault="00BD0B73" w:rsidP="009B6A6C">
                  <w:pPr>
                    <w:rPr>
                      <w:rFonts w:ascii="Calibri" w:hAnsi="Calibri" w:cs="Calibri"/>
                      <w:sz w:val="20"/>
                      <w:szCs w:val="20"/>
                    </w:rPr>
                  </w:pPr>
                  <w:r>
                    <w:rPr>
                      <w:rFonts w:ascii="Calibri" w:hAnsi="Calibri" w:cs="Calibri"/>
                      <w:sz w:val="20"/>
                      <w:szCs w:val="20"/>
                    </w:rPr>
                    <w:t xml:space="preserve">Being the biggest player in Indonesia and the number 2 in Malaysia and Singapore with brewing across the same segments indicates strategic benefits and synergies over several countries. Has very strong growth and is financially sound. It is owned by </w:t>
                  </w:r>
                  <w:r w:rsidR="00BF3191">
                    <w:rPr>
                      <w:rFonts w:ascii="Calibri" w:hAnsi="Calibri" w:cs="Calibri"/>
                      <w:sz w:val="20"/>
                      <w:szCs w:val="20"/>
                    </w:rPr>
                    <w:t xml:space="preserve">both </w:t>
                  </w:r>
                  <w:r>
                    <w:rPr>
                      <w:rFonts w:ascii="Calibri" w:hAnsi="Calibri" w:cs="Calibri"/>
                      <w:sz w:val="20"/>
                      <w:szCs w:val="20"/>
                    </w:rPr>
                    <w:t>Global Spons</w:t>
                  </w:r>
                  <w:r w:rsidR="00BF3191">
                    <w:rPr>
                      <w:rFonts w:ascii="Calibri" w:hAnsi="Calibri" w:cs="Calibri"/>
                      <w:sz w:val="20"/>
                      <w:szCs w:val="20"/>
                    </w:rPr>
                    <w:t>o</w:t>
                  </w:r>
                  <w:r>
                    <w:rPr>
                      <w:rFonts w:ascii="Calibri" w:hAnsi="Calibri" w:cs="Calibri"/>
                      <w:sz w:val="20"/>
                      <w:szCs w:val="20"/>
                    </w:rPr>
                    <w:t>r</w:t>
                  </w:r>
                  <w:r w:rsidR="00BF3191">
                    <w:rPr>
                      <w:rFonts w:ascii="Calibri" w:hAnsi="Calibri" w:cs="Calibri"/>
                      <w:sz w:val="20"/>
                      <w:szCs w:val="20"/>
                    </w:rPr>
                    <w:t xml:space="preserve"> and employees with a 60/40 split. Acquiring this would be simple and Spirit Bay would be appropriate to share.</w:t>
                  </w:r>
                </w:p>
              </w:tc>
              <w:tc>
                <w:tcPr>
                  <w:tcW w:w="2350" w:type="dxa"/>
                </w:tcPr>
                <w:p w14:paraId="0D63E031" w14:textId="53EBA070" w:rsidR="009B6A6C" w:rsidRDefault="001469EB"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2F211ED" w14:textId="77777777" w:rsidTr="009318F6">
              <w:tc>
                <w:tcPr>
                  <w:tcW w:w="1240" w:type="dxa"/>
                </w:tcPr>
                <w:p w14:paraId="1D52A033" w14:textId="77777777" w:rsidR="009B6A6C" w:rsidRDefault="009B6A6C" w:rsidP="009B6A6C">
                  <w:pPr>
                    <w:rPr>
                      <w:rFonts w:ascii="Calibri" w:hAnsi="Calibri" w:cs="Calibri"/>
                      <w:b/>
                      <w:bCs/>
                      <w:sz w:val="20"/>
                      <w:szCs w:val="20"/>
                    </w:rPr>
                  </w:pPr>
                </w:p>
                <w:p w14:paraId="6099C0D4" w14:textId="0F080F33" w:rsidR="009B6A6C" w:rsidRDefault="00490E74" w:rsidP="009B6A6C">
                  <w:pPr>
                    <w:rPr>
                      <w:rFonts w:ascii="Calibri" w:hAnsi="Calibri" w:cs="Calibri"/>
                      <w:b/>
                      <w:bCs/>
                      <w:sz w:val="20"/>
                      <w:szCs w:val="20"/>
                    </w:rPr>
                  </w:pPr>
                  <w:r>
                    <w:rPr>
                      <w:rFonts w:ascii="Calibri" w:hAnsi="Calibri" w:cs="Calibri"/>
                      <w:b/>
                      <w:bCs/>
                      <w:sz w:val="20"/>
                      <w:szCs w:val="20"/>
                    </w:rPr>
                    <w:t>Hipsters’ Ale</w:t>
                  </w: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647" w:type="dxa"/>
                </w:tcPr>
                <w:p w14:paraId="715E4A18" w14:textId="77777777" w:rsidR="009B6A6C" w:rsidRDefault="00490E74" w:rsidP="009B6A6C">
                  <w:pPr>
                    <w:rPr>
                      <w:rFonts w:ascii="Calibri" w:hAnsi="Calibri" w:cs="Calibri"/>
                      <w:sz w:val="20"/>
                      <w:szCs w:val="20"/>
                    </w:rPr>
                  </w:pPr>
                  <w:r>
                    <w:rPr>
                      <w:rFonts w:ascii="Calibri" w:hAnsi="Calibri" w:cs="Calibri"/>
                      <w:sz w:val="20"/>
                      <w:szCs w:val="20"/>
                    </w:rPr>
                    <w:t>Based in Malaysia with</w:t>
                  </w:r>
                  <w:r w:rsidR="00BD0B73">
                    <w:rPr>
                      <w:rFonts w:ascii="Calibri" w:hAnsi="Calibri" w:cs="Calibri"/>
                      <w:sz w:val="20"/>
                      <w:szCs w:val="20"/>
                    </w:rPr>
                    <w:t xml:space="preserve"> direct sales</w:t>
                  </w:r>
                  <w:r>
                    <w:rPr>
                      <w:rFonts w:ascii="Calibri" w:hAnsi="Calibri" w:cs="Calibri"/>
                      <w:sz w:val="20"/>
                      <w:szCs w:val="20"/>
                    </w:rPr>
                    <w:t xml:space="preserve"> operations in Singapore, Indonesia, Japan, Korea and Cambodia </w:t>
                  </w:r>
                  <w:r w:rsidR="00BD0B73">
                    <w:rPr>
                      <w:rFonts w:ascii="Calibri" w:hAnsi="Calibri" w:cs="Calibri"/>
                      <w:sz w:val="20"/>
                      <w:szCs w:val="20"/>
                    </w:rPr>
                    <w:t>to manufacture and distribute</w:t>
                  </w:r>
                  <w:r>
                    <w:rPr>
                      <w:rFonts w:ascii="Calibri" w:hAnsi="Calibri" w:cs="Calibri"/>
                      <w:sz w:val="20"/>
                      <w:szCs w:val="20"/>
                    </w:rPr>
                    <w:t xml:space="preserve"> Beer and Spirits</w:t>
                  </w:r>
                  <w:r w:rsidR="00BD0B73">
                    <w:rPr>
                      <w:rFonts w:ascii="Calibri" w:hAnsi="Calibri" w:cs="Calibri"/>
                      <w:sz w:val="20"/>
                      <w:szCs w:val="20"/>
                    </w:rPr>
                    <w:t xml:space="preserve"> from microbreweries in each region. A strong EBITDA of US$200mm up 20% </w:t>
                  </w:r>
                  <w:proofErr w:type="spellStart"/>
                  <w:r w:rsidR="00BD0B73">
                    <w:rPr>
                      <w:rFonts w:ascii="Calibri" w:hAnsi="Calibri" w:cs="Calibri"/>
                      <w:sz w:val="20"/>
                      <w:szCs w:val="20"/>
                    </w:rPr>
                    <w:t>pcp</w:t>
                  </w:r>
                  <w:proofErr w:type="spellEnd"/>
                  <w:r w:rsidR="00BD0B73">
                    <w:rPr>
                      <w:rFonts w:ascii="Calibri" w:hAnsi="Calibri" w:cs="Calibri"/>
                      <w:sz w:val="20"/>
                      <w:szCs w:val="20"/>
                    </w:rPr>
                    <w:t xml:space="preserve">. </w:t>
                  </w:r>
                </w:p>
                <w:p w14:paraId="5D2F20CE" w14:textId="6A950143" w:rsidR="00BD0B73" w:rsidRPr="00757AEB" w:rsidRDefault="00BD0B73" w:rsidP="009B6A6C">
                  <w:pPr>
                    <w:rPr>
                      <w:rFonts w:ascii="Calibri" w:hAnsi="Calibri" w:cs="Calibri"/>
                      <w:sz w:val="20"/>
                      <w:szCs w:val="20"/>
                    </w:rPr>
                  </w:pPr>
                </w:p>
              </w:tc>
              <w:tc>
                <w:tcPr>
                  <w:tcW w:w="2893" w:type="dxa"/>
                </w:tcPr>
                <w:p w14:paraId="740A5886" w14:textId="1A678F10" w:rsidR="009B6A6C" w:rsidRDefault="00BF3191" w:rsidP="009B6A6C">
                  <w:pPr>
                    <w:rPr>
                      <w:rFonts w:ascii="Calibri" w:hAnsi="Calibri" w:cs="Calibri"/>
                      <w:sz w:val="20"/>
                      <w:szCs w:val="20"/>
                    </w:rPr>
                  </w:pPr>
                  <w:r>
                    <w:rPr>
                      <w:rFonts w:ascii="Calibri" w:hAnsi="Calibri" w:cs="Calibri"/>
                      <w:sz w:val="20"/>
                      <w:szCs w:val="20"/>
                    </w:rPr>
                    <w:t>Despite only operating with beer and spirits,</w:t>
                  </w:r>
                  <w:r w:rsidR="001469EB">
                    <w:rPr>
                      <w:rFonts w:ascii="Calibri" w:hAnsi="Calibri" w:cs="Calibri"/>
                      <w:sz w:val="20"/>
                      <w:szCs w:val="20"/>
                    </w:rPr>
                    <w:t xml:space="preserve"> Hipsters’ Ale spans</w:t>
                  </w:r>
                  <w:r w:rsidR="001D2B38">
                    <w:rPr>
                      <w:rFonts w:ascii="Calibri" w:hAnsi="Calibri" w:cs="Calibri"/>
                      <w:sz w:val="20"/>
                      <w:szCs w:val="20"/>
                    </w:rPr>
                    <w:t xml:space="preserve"> </w:t>
                  </w:r>
                  <w:r w:rsidR="001469EB">
                    <w:rPr>
                      <w:rFonts w:ascii="Calibri" w:hAnsi="Calibri" w:cs="Calibri"/>
                      <w:sz w:val="20"/>
                      <w:szCs w:val="20"/>
                    </w:rPr>
                    <w:t xml:space="preserve">several countries that could have potential strategic synergies and benefits which is in line with </w:t>
                  </w:r>
                  <w:proofErr w:type="spellStart"/>
                  <w:r w:rsidR="001469EB">
                    <w:rPr>
                      <w:rFonts w:ascii="Calibri" w:hAnsi="Calibri" w:cs="Calibri"/>
                      <w:sz w:val="20"/>
                      <w:szCs w:val="20"/>
                    </w:rPr>
                    <w:t>WorldWide</w:t>
                  </w:r>
                  <w:proofErr w:type="spellEnd"/>
                  <w:r w:rsidR="001469EB">
                    <w:rPr>
                      <w:rFonts w:ascii="Calibri" w:hAnsi="Calibri" w:cs="Calibri"/>
                      <w:sz w:val="20"/>
                      <w:szCs w:val="20"/>
                    </w:rPr>
                    <w:t xml:space="preserve"> Brewing’s objectives. Ownership is complicated with 30 independent breweries, however</w:t>
                  </w:r>
                  <w:r w:rsidR="001D2B38">
                    <w:rPr>
                      <w:rFonts w:ascii="Calibri" w:hAnsi="Calibri" w:cs="Calibri"/>
                      <w:sz w:val="20"/>
                      <w:szCs w:val="20"/>
                    </w:rPr>
                    <w:t>,</w:t>
                  </w:r>
                  <w:r w:rsidR="001469EB">
                    <w:rPr>
                      <w:rFonts w:ascii="Calibri" w:hAnsi="Calibri" w:cs="Calibri"/>
                      <w:sz w:val="20"/>
                      <w:szCs w:val="20"/>
                    </w:rPr>
                    <w:t xml:space="preserve"> given the possible strategic opportunity, it would be appropriate to share.</w:t>
                  </w:r>
                </w:p>
              </w:tc>
              <w:tc>
                <w:tcPr>
                  <w:tcW w:w="2350" w:type="dxa"/>
                </w:tcPr>
                <w:p w14:paraId="4BF2F6C7" w14:textId="7FBFFF64" w:rsidR="009B6A6C" w:rsidRDefault="001469EB"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B75B0" w14:textId="77777777" w:rsidTr="009318F6">
              <w:tc>
                <w:tcPr>
                  <w:tcW w:w="1240" w:type="dxa"/>
                </w:tcPr>
                <w:p w14:paraId="3A4FDEF2" w14:textId="77777777" w:rsidR="009B6A6C" w:rsidRDefault="009B6A6C" w:rsidP="009B6A6C">
                  <w:pPr>
                    <w:rPr>
                      <w:rFonts w:ascii="Calibri" w:hAnsi="Calibri" w:cs="Calibri"/>
                      <w:b/>
                      <w:bCs/>
                      <w:sz w:val="20"/>
                      <w:szCs w:val="20"/>
                    </w:rPr>
                  </w:pPr>
                </w:p>
                <w:p w14:paraId="27271D95" w14:textId="4B758E65" w:rsidR="009B6A6C" w:rsidRDefault="00490E74" w:rsidP="009B6A6C">
                  <w:pPr>
                    <w:rPr>
                      <w:rFonts w:ascii="Calibri" w:hAnsi="Calibri" w:cs="Calibri"/>
                      <w:b/>
                      <w:bCs/>
                      <w:sz w:val="20"/>
                      <w:szCs w:val="20"/>
                    </w:rPr>
                  </w:pPr>
                  <w:r>
                    <w:rPr>
                      <w:rFonts w:ascii="Calibri" w:hAnsi="Calibri" w:cs="Calibri"/>
                      <w:b/>
                      <w:bCs/>
                      <w:sz w:val="20"/>
                      <w:szCs w:val="20"/>
                    </w:rPr>
                    <w:t>Brew Co.</w:t>
                  </w: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29E0D45E" w:rsidR="009B6A6C" w:rsidRPr="00757AEB" w:rsidRDefault="001469EB" w:rsidP="009B6A6C">
                  <w:pPr>
                    <w:rPr>
                      <w:rFonts w:ascii="Calibri" w:hAnsi="Calibri" w:cs="Calibri"/>
                      <w:sz w:val="20"/>
                      <w:szCs w:val="20"/>
                    </w:rPr>
                  </w:pPr>
                  <w:r>
                    <w:rPr>
                      <w:rFonts w:ascii="Calibri" w:hAnsi="Calibri" w:cs="Calibri"/>
                      <w:sz w:val="20"/>
                      <w:szCs w:val="20"/>
                    </w:rPr>
                    <w:t xml:space="preserve">Headquarters in Malaysia </w:t>
                  </w:r>
                  <w:r w:rsidR="009B194E">
                    <w:rPr>
                      <w:rFonts w:ascii="Calibri" w:hAnsi="Calibri" w:cs="Calibri"/>
                      <w:sz w:val="20"/>
                      <w:szCs w:val="20"/>
                    </w:rPr>
                    <w:t>and</w:t>
                  </w:r>
                  <w:r>
                    <w:rPr>
                      <w:rFonts w:ascii="Calibri" w:hAnsi="Calibri" w:cs="Calibri"/>
                      <w:sz w:val="20"/>
                      <w:szCs w:val="20"/>
                    </w:rPr>
                    <w:t xml:space="preserve"> only manufactures beer and spirits. There is a large EBITDA of US$800mm down 5 </w:t>
                  </w:r>
                  <w:proofErr w:type="spellStart"/>
                  <w:r>
                    <w:rPr>
                      <w:rFonts w:ascii="Calibri" w:hAnsi="Calibri" w:cs="Calibri"/>
                      <w:sz w:val="20"/>
                      <w:szCs w:val="20"/>
                    </w:rPr>
                    <w:t>pcp</w:t>
                  </w:r>
                  <w:proofErr w:type="spellEnd"/>
                  <w:r>
                    <w:rPr>
                      <w:rFonts w:ascii="Calibri" w:hAnsi="Calibri" w:cs="Calibri"/>
                      <w:sz w:val="20"/>
                      <w:szCs w:val="20"/>
                    </w:rPr>
                    <w:t>.</w:t>
                  </w:r>
                </w:p>
              </w:tc>
              <w:tc>
                <w:tcPr>
                  <w:tcW w:w="2893" w:type="dxa"/>
                </w:tcPr>
                <w:p w14:paraId="1842CD1D" w14:textId="052DF839" w:rsidR="009B6A6C" w:rsidRDefault="001469EB" w:rsidP="009B6A6C">
                  <w:pPr>
                    <w:rPr>
                      <w:rFonts w:ascii="Calibri" w:hAnsi="Calibri" w:cs="Calibri"/>
                      <w:sz w:val="20"/>
                      <w:szCs w:val="20"/>
                    </w:rPr>
                  </w:pPr>
                  <w:r>
                    <w:rPr>
                      <w:rFonts w:ascii="Calibri" w:hAnsi="Calibri" w:cs="Calibri"/>
                      <w:sz w:val="20"/>
                      <w:szCs w:val="20"/>
                    </w:rPr>
                    <w:t xml:space="preserve">Operates only in Malaysia and only handles the manufacturing meaning that they are of limited reach geographically, despite being the biggest alcohol manufacturer in Malaysia. Largely owned by individual investors and listed on the </w:t>
                  </w:r>
                  <w:r>
                    <w:rPr>
                      <w:rFonts w:ascii="Calibri" w:hAnsi="Calibri" w:cs="Calibri"/>
                      <w:sz w:val="20"/>
                      <w:szCs w:val="20"/>
                    </w:rPr>
                    <w:lastRenderedPageBreak/>
                    <w:t>Malaysian stock exchange</w:t>
                  </w:r>
                  <w:r w:rsidR="009B194E">
                    <w:rPr>
                      <w:rFonts w:ascii="Calibri" w:hAnsi="Calibri" w:cs="Calibri"/>
                      <w:sz w:val="20"/>
                      <w:szCs w:val="20"/>
                    </w:rPr>
                    <w:t xml:space="preserve"> means that acquisition would be more complex. The limited strategic and operational benefit would mean that it is not appropriate to share.</w:t>
                  </w:r>
                </w:p>
              </w:tc>
              <w:tc>
                <w:tcPr>
                  <w:tcW w:w="2350" w:type="dxa"/>
                </w:tcPr>
                <w:p w14:paraId="55C39798" w14:textId="33AC80D9" w:rsidR="009B6A6C" w:rsidRDefault="001469EB" w:rsidP="009B6A6C">
                  <w:pPr>
                    <w:rPr>
                      <w:rFonts w:ascii="Calibri" w:hAnsi="Calibri" w:cs="Calibri"/>
                      <w:b/>
                      <w:bCs/>
                      <w:sz w:val="20"/>
                      <w:szCs w:val="20"/>
                    </w:rPr>
                  </w:pPr>
                  <w:r>
                    <w:rPr>
                      <w:rFonts w:ascii="Calibri" w:hAnsi="Calibri" w:cs="Calibri"/>
                      <w:b/>
                      <w:bCs/>
                      <w:sz w:val="20"/>
                      <w:szCs w:val="20"/>
                    </w:rPr>
                    <w:lastRenderedPageBreak/>
                    <w:t>Do not recommend</w:t>
                  </w:r>
                </w:p>
              </w:tc>
            </w:tr>
            <w:tr w:rsidR="009B6A6C" w:rsidRPr="007773A3" w14:paraId="14806F80" w14:textId="77777777" w:rsidTr="009318F6">
              <w:tc>
                <w:tcPr>
                  <w:tcW w:w="1240" w:type="dxa"/>
                </w:tcPr>
                <w:p w14:paraId="6EC317CC" w14:textId="77777777" w:rsidR="009B6A6C" w:rsidRDefault="009B6A6C" w:rsidP="009B6A6C">
                  <w:pPr>
                    <w:rPr>
                      <w:rFonts w:ascii="Calibri" w:hAnsi="Calibri" w:cs="Calibri"/>
                      <w:b/>
                      <w:bCs/>
                      <w:sz w:val="20"/>
                      <w:szCs w:val="20"/>
                    </w:rPr>
                  </w:pPr>
                </w:p>
                <w:p w14:paraId="189BB501" w14:textId="49EA7D05" w:rsidR="009B6A6C" w:rsidRDefault="00490E74" w:rsidP="009B6A6C">
                  <w:pPr>
                    <w:rPr>
                      <w:rFonts w:ascii="Calibri" w:hAnsi="Calibri" w:cs="Calibri"/>
                      <w:b/>
                      <w:bCs/>
                      <w:sz w:val="20"/>
                      <w:szCs w:val="20"/>
                    </w:rPr>
                  </w:pPr>
                  <w:r>
                    <w:rPr>
                      <w:rFonts w:ascii="Calibri" w:hAnsi="Calibri" w:cs="Calibri"/>
                      <w:b/>
                      <w:bCs/>
                      <w:sz w:val="20"/>
                      <w:szCs w:val="20"/>
                    </w:rPr>
                    <w:t>Bevy’s Direct</w:t>
                  </w:r>
                </w:p>
                <w:p w14:paraId="29AAD35F" w14:textId="77777777" w:rsidR="009B6A6C" w:rsidRDefault="009B6A6C" w:rsidP="009B6A6C">
                  <w:pPr>
                    <w:rPr>
                      <w:rFonts w:ascii="Calibri" w:hAnsi="Calibri" w:cs="Calibri"/>
                      <w:b/>
                      <w:bCs/>
                      <w:sz w:val="20"/>
                      <w:szCs w:val="20"/>
                    </w:rPr>
                  </w:pP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45359624" w14:textId="54DF85A8" w:rsidR="009B6A6C" w:rsidRPr="00757AEB" w:rsidRDefault="00AE175F" w:rsidP="009B6A6C">
                  <w:pPr>
                    <w:rPr>
                      <w:rFonts w:ascii="Calibri" w:hAnsi="Calibri" w:cs="Calibri"/>
                      <w:sz w:val="20"/>
                      <w:szCs w:val="20"/>
                    </w:rPr>
                  </w:pPr>
                  <w:r>
                    <w:rPr>
                      <w:rFonts w:ascii="Calibri" w:hAnsi="Calibri" w:cs="Calibri"/>
                      <w:sz w:val="20"/>
                      <w:szCs w:val="20"/>
                    </w:rPr>
                    <w:t xml:space="preserve">With headquarters in Singapore and only wholesale distribution operations in Malaysia, China, Indonesia, Japan, Korea, Cambodia, Australia and New Zealand in the Beer, Spirits and Non-alcoholic beverages segment, Bevy’s Dirt has a strong EBITDA </w:t>
                  </w:r>
                  <w:r w:rsidR="001D2B38">
                    <w:rPr>
                      <w:rFonts w:ascii="Calibri" w:hAnsi="Calibri" w:cs="Calibri"/>
                      <w:sz w:val="20"/>
                      <w:szCs w:val="20"/>
                    </w:rPr>
                    <w:t xml:space="preserve">of </w:t>
                  </w:r>
                  <w:r>
                    <w:rPr>
                      <w:rFonts w:ascii="Calibri" w:hAnsi="Calibri" w:cs="Calibri"/>
                      <w:sz w:val="20"/>
                      <w:szCs w:val="20"/>
                    </w:rPr>
                    <w:t xml:space="preserve">US$250mm up 20% </w:t>
                  </w:r>
                  <w:proofErr w:type="spellStart"/>
                  <w:r>
                    <w:rPr>
                      <w:rFonts w:ascii="Calibri" w:hAnsi="Calibri" w:cs="Calibri"/>
                      <w:sz w:val="20"/>
                      <w:szCs w:val="20"/>
                    </w:rPr>
                    <w:t>pcp</w:t>
                  </w:r>
                  <w:proofErr w:type="spellEnd"/>
                  <w:r>
                    <w:rPr>
                      <w:rFonts w:ascii="Calibri" w:hAnsi="Calibri" w:cs="Calibri"/>
                      <w:sz w:val="20"/>
                      <w:szCs w:val="20"/>
                    </w:rPr>
                    <w:t>.</w:t>
                  </w:r>
                </w:p>
              </w:tc>
              <w:tc>
                <w:tcPr>
                  <w:tcW w:w="2893" w:type="dxa"/>
                </w:tcPr>
                <w:p w14:paraId="33CDC1A4" w14:textId="760BC9E6" w:rsidR="009C2166" w:rsidRDefault="009C2166" w:rsidP="009B6A6C">
                  <w:pPr>
                    <w:rPr>
                      <w:rFonts w:ascii="Calibri" w:hAnsi="Calibri" w:cs="Calibri"/>
                      <w:sz w:val="20"/>
                      <w:szCs w:val="20"/>
                    </w:rPr>
                  </w:pPr>
                  <w:r>
                    <w:rPr>
                      <w:rFonts w:ascii="Calibri" w:hAnsi="Calibri" w:cs="Calibri"/>
                      <w:sz w:val="20"/>
                      <w:szCs w:val="20"/>
                    </w:rPr>
                    <w:t>Operates in similar segments as the client but only in wholesale distribution. Despite this, operating in several APAC countries means a strong geographical reach and possible strategic benefits and synergies. It has strong financials, and a single family owns the company, making acquisition simple. Bevy’s Direct would be appropriate to share.</w:t>
                  </w:r>
                </w:p>
              </w:tc>
              <w:tc>
                <w:tcPr>
                  <w:tcW w:w="2350" w:type="dxa"/>
                </w:tcPr>
                <w:p w14:paraId="778A6CE4" w14:textId="69272487" w:rsidR="009B6A6C" w:rsidRDefault="001469EB" w:rsidP="009B6A6C">
                  <w:pPr>
                    <w:rPr>
                      <w:rFonts w:ascii="Calibri" w:hAnsi="Calibri" w:cs="Calibri"/>
                      <w:b/>
                      <w:bCs/>
                      <w:sz w:val="20"/>
                      <w:szCs w:val="20"/>
                    </w:rPr>
                  </w:pPr>
                  <w:r>
                    <w:rPr>
                      <w:rFonts w:ascii="Calibri" w:hAnsi="Calibri" w:cs="Calibri"/>
                      <w:b/>
                      <w:bCs/>
                      <w:sz w:val="20"/>
                      <w:szCs w:val="20"/>
                    </w:rPr>
                    <w:t>Recommend</w:t>
                  </w:r>
                </w:p>
              </w:tc>
            </w:tr>
          </w:tbl>
          <w:p w14:paraId="0A5AED62" w14:textId="77777777" w:rsidR="00DC3063" w:rsidRPr="00DC3063" w:rsidRDefault="00DC3063" w:rsidP="00DC3063">
            <w:pPr>
              <w:rPr>
                <w:sz w:val="20"/>
                <w:szCs w:val="20"/>
              </w:rPr>
            </w:pPr>
          </w:p>
          <w:p w14:paraId="1BEF0779" w14:textId="72D4EA3E" w:rsidR="00DC3063" w:rsidRDefault="00AE175F" w:rsidP="00DC3063">
            <w:pPr>
              <w:rPr>
                <w:sz w:val="20"/>
                <w:szCs w:val="20"/>
              </w:rPr>
            </w:pPr>
            <w:r>
              <w:rPr>
                <w:sz w:val="20"/>
                <w:szCs w:val="20"/>
              </w:rPr>
              <w:t>Please do not hesitate to contact me if you have any further questions.</w:t>
            </w:r>
          </w:p>
          <w:p w14:paraId="6D2B3199" w14:textId="2D1ABC22" w:rsidR="00AE175F" w:rsidRDefault="00AE175F" w:rsidP="00DC3063">
            <w:pPr>
              <w:rPr>
                <w:sz w:val="20"/>
                <w:szCs w:val="20"/>
              </w:rPr>
            </w:pPr>
          </w:p>
          <w:p w14:paraId="75B0406F" w14:textId="7879E527" w:rsidR="00AE175F" w:rsidRDefault="00AE175F" w:rsidP="00DC3063">
            <w:pPr>
              <w:rPr>
                <w:sz w:val="20"/>
                <w:szCs w:val="20"/>
              </w:rPr>
            </w:pPr>
            <w:r>
              <w:rPr>
                <w:sz w:val="20"/>
                <w:szCs w:val="20"/>
              </w:rPr>
              <w:t>Kind regards,</w:t>
            </w:r>
          </w:p>
          <w:p w14:paraId="29AC49A7" w14:textId="20EA590A" w:rsidR="00DC3063" w:rsidRPr="00DC3063" w:rsidRDefault="00AE175F" w:rsidP="00DC3063">
            <w:pPr>
              <w:rPr>
                <w:sz w:val="20"/>
                <w:szCs w:val="20"/>
              </w:rPr>
            </w:pPr>
            <w:r>
              <w:rPr>
                <w:sz w:val="20"/>
                <w:szCs w:val="20"/>
              </w:rPr>
              <w:t>Michael Ishak</w:t>
            </w:r>
          </w:p>
          <w:p w14:paraId="5CF1D96A" w14:textId="3BFE666D" w:rsidR="00DC3063" w:rsidRPr="00990745" w:rsidRDefault="00DC3063" w:rsidP="00DC3063">
            <w:pPr>
              <w:rPr>
                <w:b/>
                <w:i/>
                <w:sz w:val="20"/>
                <w:szCs w:val="20"/>
              </w:rPr>
            </w:pPr>
          </w:p>
        </w:tc>
      </w:tr>
    </w:tbl>
    <w:p w14:paraId="28D81A7E" w14:textId="77777777" w:rsidR="00A90157" w:rsidRPr="00990745" w:rsidRDefault="001D2B38">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0E6230"/>
    <w:rsid w:val="001469EB"/>
    <w:rsid w:val="001931C6"/>
    <w:rsid w:val="001D2B38"/>
    <w:rsid w:val="0039065E"/>
    <w:rsid w:val="00490E74"/>
    <w:rsid w:val="004F2ECF"/>
    <w:rsid w:val="005F6D4B"/>
    <w:rsid w:val="006624F4"/>
    <w:rsid w:val="006776F6"/>
    <w:rsid w:val="00861BD9"/>
    <w:rsid w:val="008E07B5"/>
    <w:rsid w:val="00990745"/>
    <w:rsid w:val="009B194E"/>
    <w:rsid w:val="009B6A6C"/>
    <w:rsid w:val="009C2166"/>
    <w:rsid w:val="00AE175F"/>
    <w:rsid w:val="00AF0A56"/>
    <w:rsid w:val="00AF616A"/>
    <w:rsid w:val="00BD0B73"/>
    <w:rsid w:val="00BF3191"/>
    <w:rsid w:val="00DC3063"/>
    <w:rsid w:val="00DC50E8"/>
    <w:rsid w:val="00DD42CB"/>
    <w:rsid w:val="00E2685D"/>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Michael Ishak</cp:lastModifiedBy>
  <cp:revision>11</cp:revision>
  <cp:lastPrinted>2022-08-01T15:26:00Z</cp:lastPrinted>
  <dcterms:created xsi:type="dcterms:W3CDTF">2020-04-30T07:35:00Z</dcterms:created>
  <dcterms:modified xsi:type="dcterms:W3CDTF">2022-08-01T15:30:00Z</dcterms:modified>
</cp:coreProperties>
</file>