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FA90" w14:textId="77777777" w:rsidR="008D5176" w:rsidRPr="008D5176" w:rsidRDefault="008D5176" w:rsidP="008D5176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r w:rsidRPr="008D5176">
        <w:rPr>
          <w:rFonts w:hint="eastAsia"/>
          <w:b/>
          <w:bCs/>
        </w:rPr>
        <w:t>月报（更新到</w:t>
      </w:r>
      <w:r w:rsidRPr="008D5176">
        <w:rPr>
          <w:rFonts w:ascii="Times New Roman" w:eastAsia="Times New Roman" w:hAnsi="Times New Roman" w:cs="Times New Roman"/>
          <w:b/>
          <w:bCs/>
        </w:rPr>
        <w:t>7</w:t>
      </w:r>
      <w:r w:rsidRPr="008D5176">
        <w:rPr>
          <w:rFonts w:hint="eastAsia"/>
          <w:b/>
          <w:bCs/>
        </w:rPr>
        <w:t>月</w:t>
      </w:r>
      <w:r w:rsidRPr="008D5176">
        <w:rPr>
          <w:b/>
          <w:bCs/>
        </w:rPr>
        <w:t>）</w:t>
      </w:r>
    </w:p>
    <w:p w14:paraId="6DBB142B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市场月报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]7</w:t>
      </w: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月速递：均价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210</w:t>
      </w: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万，比上月下降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2.9%</w:t>
      </w: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，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销售量上升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7.7%</w:t>
      </w:r>
    </w:p>
    <w:p w14:paraId="3D0195C1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AE8C1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摘取自最新出炉的</w:t>
      </w:r>
      <w:r w:rsidRPr="008D51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</w:t>
      </w: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月</w:t>
      </w:r>
      <w:r w:rsidRPr="008D51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Santa Clara County</w:t>
      </w: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独立屋成交的市场数据</w:t>
      </w:r>
      <w:r w:rsidRPr="008D51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中位数价格及与上月对比的中位数价格变化。各个</w:t>
      </w:r>
      <w:r w:rsidRPr="008D51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County (</w:t>
      </w: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南湾，半岛，东湾，旧金山</w:t>
      </w:r>
      <w:r w:rsidRPr="008D51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8D5176">
        <w:rPr>
          <w:rFonts w:ascii="SimSun" w:eastAsia="SimSun" w:hAnsi="SimSun" w:cs="SimSun" w:hint="eastAsia"/>
          <w:i/>
          <w:iCs/>
          <w:kern w:val="0"/>
          <w14:ligatures w14:val="none"/>
        </w:rPr>
        <w:t>及各个重点城市的详细数据、成交价、市场天数，及库存分析请见本文后半部分</w:t>
      </w:r>
      <w:r w:rsidRPr="008D5176">
        <w:rPr>
          <w:rFonts w:ascii="SimSun" w:eastAsia="SimSun" w:hAnsi="SimSun" w:cs="SimSun"/>
          <w:i/>
          <w:iCs/>
          <w:kern w:val="0"/>
          <w14:ligatures w14:val="none"/>
        </w:rPr>
        <w:t>。</w:t>
      </w:r>
    </w:p>
    <w:p w14:paraId="691FED35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BF3D5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5EEB1" w14:textId="77777777" w:rsidR="008D5176" w:rsidRPr="008D5176" w:rsidRDefault="008D5176" w:rsidP="008D51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圣克拉拉县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Santa Clara County</w:t>
      </w:r>
    </w:p>
    <w:p w14:paraId="3F4304F8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kern w:val="0"/>
          <w14:ligatures w14:val="none"/>
        </w:rPr>
        <w:t>在圣克拉拉县，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8D5176">
        <w:rPr>
          <w:rFonts w:ascii="SimSun" w:eastAsia="SimSun" w:hAnsi="SimSun" w:cs="SimSun" w:hint="eastAsia"/>
          <w:kern w:val="0"/>
          <w14:ligatures w14:val="none"/>
        </w:rPr>
        <w:t>月独栋别墅数据简析：中位成交价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$2,107,500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2.9%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7.8%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；成交量比上月上升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7.7%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2.1%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；房屋库存大致还有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1.8</w:t>
      </w:r>
      <w:r w:rsidRPr="008D5176">
        <w:rPr>
          <w:rFonts w:ascii="SimSun" w:eastAsia="SimSun" w:hAnsi="SimSun" w:cs="SimSun" w:hint="eastAsia"/>
          <w:kern w:val="0"/>
          <w14:ligatures w14:val="none"/>
        </w:rPr>
        <w:t>个月存量，比上月下降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14.3%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20%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；房屋上市至售出的市场停留时间中位数是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11</w:t>
      </w:r>
      <w:r w:rsidRPr="008D5176">
        <w:rPr>
          <w:rFonts w:ascii="SimSun" w:eastAsia="SimSun" w:hAnsi="SimSun" w:cs="SimSun" w:hint="eastAsia"/>
          <w:kern w:val="0"/>
          <w14:ligatures w14:val="none"/>
        </w:rPr>
        <w:t>天，比上月上升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16.7%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31.3%</w:t>
      </w:r>
      <w:r w:rsidRPr="008D5176">
        <w:rPr>
          <w:rFonts w:ascii="SimSun" w:eastAsia="SimSun" w:hAnsi="SimSun" w:cs="SimSun"/>
          <w:kern w:val="0"/>
          <w14:ligatures w14:val="none"/>
        </w:rPr>
        <w:t>。</w:t>
      </w:r>
    </w:p>
    <w:p w14:paraId="092283ED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2BC8CF" w14:textId="77777777" w:rsidR="008D5176" w:rsidRPr="008D5176" w:rsidRDefault="008D5176" w:rsidP="008D51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圣马特奥县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 Mateo County</w:t>
      </w:r>
    </w:p>
    <w:p w14:paraId="06C35909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kern w:val="0"/>
          <w14:ligatures w14:val="none"/>
        </w:rPr>
        <w:t>在圣马特奥县，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8D5176">
        <w:rPr>
          <w:rFonts w:ascii="SimSun" w:eastAsia="SimSun" w:hAnsi="SimSun" w:cs="SimSun" w:hint="eastAsia"/>
          <w:kern w:val="0"/>
          <w14:ligatures w14:val="none"/>
        </w:rPr>
        <w:t>月独栋别墅数据简析：中位成交价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$2,150,000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1.9%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；成交量比上月下降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3.7%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；房屋库存大致还有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8D5176">
        <w:rPr>
          <w:rFonts w:ascii="SimSun" w:eastAsia="SimSun" w:hAnsi="SimSun" w:cs="SimSun" w:hint="eastAsia"/>
          <w:kern w:val="0"/>
          <w14:ligatures w14:val="none"/>
        </w:rPr>
        <w:t>个月存量，比上月下降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4.8%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17.6%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；房屋上市至售出的市场停留时间中位数是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Pr="008D5176">
        <w:rPr>
          <w:rFonts w:ascii="SimSun" w:eastAsia="SimSun" w:hAnsi="SimSun" w:cs="SimSun" w:hint="eastAsia"/>
          <w:kern w:val="0"/>
          <w14:ligatures w14:val="none"/>
        </w:rPr>
        <w:t>天，比上月上升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9.1%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9.1%</w:t>
      </w:r>
      <w:r w:rsidRPr="008D5176">
        <w:rPr>
          <w:rFonts w:ascii="SimSun" w:eastAsia="SimSun" w:hAnsi="SimSun" w:cs="SimSun"/>
          <w:kern w:val="0"/>
          <w14:ligatures w14:val="none"/>
        </w:rPr>
        <w:t>。</w:t>
      </w:r>
    </w:p>
    <w:p w14:paraId="0F3B6BB7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9FFCDB" w14:textId="77777777" w:rsidR="008D5176" w:rsidRPr="008D5176" w:rsidRDefault="008D5176" w:rsidP="008D51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阿拉米达县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Alameda County</w:t>
      </w:r>
    </w:p>
    <w:p w14:paraId="15B4524D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kern w:val="0"/>
          <w14:ligatures w14:val="none"/>
        </w:rPr>
        <w:t>在阿拉米达县，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8D5176">
        <w:rPr>
          <w:rFonts w:ascii="SimSun" w:eastAsia="SimSun" w:hAnsi="SimSun" w:cs="SimSun" w:hint="eastAsia"/>
          <w:kern w:val="0"/>
          <w14:ligatures w14:val="none"/>
        </w:rPr>
        <w:t>月独栋别墅数据简析：中位成交价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$1,321,000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3.2%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3.5%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；成交量比上月上升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4.9%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3.6%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；房屋库存大致还有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2.4</w:t>
      </w:r>
      <w:r w:rsidRPr="008D5176">
        <w:rPr>
          <w:rFonts w:ascii="SimSun" w:eastAsia="SimSun" w:hAnsi="SimSun" w:cs="SimSun" w:hint="eastAsia"/>
          <w:kern w:val="0"/>
          <w14:ligatures w14:val="none"/>
        </w:rPr>
        <w:t>个月存量，比上月下降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11.1%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，比去年同期增加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33.3%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；房屋上市至售出的市场停留时间中位数是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15</w:t>
      </w:r>
      <w:r w:rsidRPr="008D5176">
        <w:rPr>
          <w:rFonts w:ascii="SimSun" w:eastAsia="SimSun" w:hAnsi="SimSun" w:cs="SimSun" w:hint="eastAsia"/>
          <w:kern w:val="0"/>
          <w14:ligatures w14:val="none"/>
        </w:rPr>
        <w:t>天，比上月上升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15.4%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25%</w:t>
      </w:r>
      <w:r w:rsidRPr="008D5176">
        <w:rPr>
          <w:rFonts w:ascii="SimSun" w:eastAsia="SimSun" w:hAnsi="SimSun" w:cs="SimSun"/>
          <w:kern w:val="0"/>
          <w14:ligatures w14:val="none"/>
        </w:rPr>
        <w:t>。</w:t>
      </w:r>
    </w:p>
    <w:p w14:paraId="41C6074C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2D8B5" w14:textId="77777777" w:rsidR="008D5176" w:rsidRPr="008D5176" w:rsidRDefault="008D5176" w:rsidP="008D51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b/>
          <w:bCs/>
          <w:kern w:val="0"/>
          <w14:ligatures w14:val="none"/>
        </w:rPr>
        <w:t>旧金山县</w:t>
      </w:r>
      <w:r w:rsidRPr="008D51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 Francisco County</w:t>
      </w:r>
    </w:p>
    <w:p w14:paraId="1F107963" w14:textId="77777777" w:rsidR="008D5176" w:rsidRPr="008D5176" w:rsidRDefault="008D5176" w:rsidP="008D51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176">
        <w:rPr>
          <w:rFonts w:ascii="SimSun" w:eastAsia="SimSun" w:hAnsi="SimSun" w:cs="SimSun" w:hint="eastAsia"/>
          <w:kern w:val="0"/>
          <w14:ligatures w14:val="none"/>
        </w:rPr>
        <w:t>在旧金山县，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8D5176">
        <w:rPr>
          <w:rFonts w:ascii="SimSun" w:eastAsia="SimSun" w:hAnsi="SimSun" w:cs="SimSun" w:hint="eastAsia"/>
          <w:kern w:val="0"/>
          <w14:ligatures w14:val="none"/>
        </w:rPr>
        <w:t>月独栋别墅数据简析：中位成交价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$1,705,000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，比上月减少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5.3%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3.3%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；成交量比上月上升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1.4%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，比去年同期增加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12.2%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；房屋库存大致还有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1.6</w:t>
      </w:r>
      <w:r w:rsidRPr="008D5176">
        <w:rPr>
          <w:rFonts w:ascii="SimSun" w:eastAsia="SimSun" w:hAnsi="SimSun" w:cs="SimSun" w:hint="eastAsia"/>
          <w:kern w:val="0"/>
          <w14:ligatures w14:val="none"/>
        </w:rPr>
        <w:t>个月存量，比上月下降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20%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，比去年同期下降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11.1%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；房屋上市至售出的市场停留时间中位数是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33</w:t>
      </w:r>
      <w:r w:rsidRPr="008D5176">
        <w:rPr>
          <w:rFonts w:ascii="SimSun" w:eastAsia="SimSun" w:hAnsi="SimSun" w:cs="SimSun" w:hint="eastAsia"/>
          <w:kern w:val="0"/>
          <w14:ligatures w14:val="none"/>
        </w:rPr>
        <w:t>天，比上月上升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11.9%</w:t>
      </w:r>
      <w:r w:rsidRPr="008D5176">
        <w:rPr>
          <w:rFonts w:ascii="SimSun" w:eastAsia="SimSun" w:hAnsi="SimSun" w:cs="SimSun" w:hint="eastAsia"/>
          <w:kern w:val="0"/>
          <w14:ligatures w14:val="none"/>
        </w:rPr>
        <w:t>，比去年下降</w:t>
      </w:r>
      <w:r w:rsidRPr="008D5176">
        <w:rPr>
          <w:rFonts w:ascii="Times New Roman" w:eastAsia="Times New Roman" w:hAnsi="Times New Roman" w:cs="Times New Roman"/>
          <w:kern w:val="0"/>
          <w14:ligatures w14:val="none"/>
        </w:rPr>
        <w:t>2.9%</w:t>
      </w:r>
      <w:r w:rsidRPr="008D5176">
        <w:rPr>
          <w:rFonts w:ascii="SimSun" w:eastAsia="SimSun" w:hAnsi="SimSun" w:cs="SimSun"/>
          <w:kern w:val="0"/>
          <w14:ligatures w14:val="none"/>
        </w:rPr>
        <w:t>。</w:t>
      </w:r>
    </w:p>
    <w:p w14:paraId="7EF2AF8A" w14:textId="77777777" w:rsidR="008D5176" w:rsidRDefault="008D5176"/>
    <w:sectPr w:rsidR="008D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6"/>
    <w:rsid w:val="00545D00"/>
    <w:rsid w:val="008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97D9E"/>
  <w15:chartTrackingRefBased/>
  <w15:docId w15:val="{8921ECA6-7D36-484B-9179-66558627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5176"/>
    <w:rPr>
      <w:b/>
      <w:bCs/>
    </w:rPr>
  </w:style>
  <w:style w:type="character" w:styleId="Emphasis">
    <w:name w:val="Emphasis"/>
    <w:basedOn w:val="DefaultParagraphFont"/>
    <w:uiPriority w:val="20"/>
    <w:qFormat/>
    <w:rsid w:val="008D51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 Li</dc:creator>
  <cp:keywords/>
  <dc:description/>
  <cp:lastModifiedBy>Sunnie Li</cp:lastModifiedBy>
  <cp:revision>1</cp:revision>
  <dcterms:created xsi:type="dcterms:W3CDTF">2025-08-27T21:41:00Z</dcterms:created>
  <dcterms:modified xsi:type="dcterms:W3CDTF">2025-08-27T21:43:00Z</dcterms:modified>
</cp:coreProperties>
</file>