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rPr>
      </w:pPr>
      <w:bookmarkStart w:colFirst="0" w:colLast="0" w:name="_sikxllhjfb2n" w:id="0"/>
      <w:bookmarkEnd w:id="0"/>
      <w:r w:rsidDel="00000000" w:rsidR="00000000" w:rsidRPr="00000000">
        <w:rPr>
          <w:rtl w:val="0"/>
        </w:rPr>
        <w:t xml:space="preserve">Test Plan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9iz31t3kbwd" w:id="1"/>
      <w:bookmarkEnd w:id="1"/>
      <w:r w:rsidDel="00000000" w:rsidR="00000000" w:rsidRPr="00000000">
        <w:rPr>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2"/>
        <w:pBdr/>
        <w:contextualSpacing w:val="0"/>
        <w:rPr/>
      </w:pPr>
      <w:bookmarkStart w:colFirst="0" w:colLast="0" w:name="_44bsn5uuuf19" w:id="2"/>
      <w:bookmarkEnd w:id="2"/>
      <w:r w:rsidDel="00000000" w:rsidR="00000000" w:rsidRPr="00000000">
        <w:rPr>
          <w:rtl w:val="0"/>
        </w:rPr>
        <w:t xml:space="preserve">Integration Testing</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The purpose of integration tests within this project is to verify and validate the communications between the different components of the project (i.e. web app, NodeJS server, Java server).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sq3s4wwvliq" w:id="3"/>
      <w:bookmarkEnd w:id="3"/>
      <w:r w:rsidDel="00000000" w:rsidR="00000000" w:rsidRPr="00000000">
        <w:rPr>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5">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3"/>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Expected Results (Then)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c4xsikoia4" w:id="4"/>
      <w:bookmarkEnd w:id="4"/>
      <w:r w:rsidDel="00000000" w:rsidR="00000000" w:rsidRPr="00000000">
        <w:rPr>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was used to measure effectiveness, and can be completed concurrently.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6">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ucumber/cucumber/wiki/Gherkin" TargetMode="External"/><Relationship Id="rId6" Type="http://schemas.openxmlformats.org/officeDocument/2006/relationships/hyperlink" Target="https://measuringu.com/sus/" TargetMode="External"/></Relationships>
</file>