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Light" w:hAnsi="Calibri Light"/>
          <w:b/>
          <w:color w:val="1B365D"/>
          <w:sz w:val="48"/>
        </w:rPr>
        <w:t>ERP System for Ethiopian Real Estate Agency</w:t>
      </w:r>
    </w:p>
    <w:p>
      <w:pPr>
        <w:spacing w:after="360"/>
      </w:pPr>
      <w:r>
        <w:rPr>
          <w:rFonts w:ascii="Calibri" w:hAnsi="Calibri"/>
          <w:color w:val="4A5568"/>
          <w:sz w:val="28"/>
        </w:rPr>
        <w:t>Project Documentation Set</w:t>
      </w:r>
    </w:p>
    <w:tbl>
      <w:tblPr>
        <w:tblW w:type="auto" w:w="0"/>
        <w:jc w:val="center"/>
        <w:tblLook w:firstColumn="1" w:firstRow="1" w:lastColumn="0" w:lastRow="0" w:noHBand="0" w:noVBand="1" w:val="04A0"/>
      </w:tblPr>
      <w:tblGrid>
        <w:gridCol w:w="4680"/>
        <w:gridCol w:w="4680"/>
      </w:tblGrid>
      <w:tr>
        <w:tc>
          <w:tcPr>
            <w:tcW w:type="dxa" w:w="2160"/>
            <w:shd w:fill="F7FAFC"/>
            <w:tcMar>
              <w:top w:w="60" w:type="dxa"/>
              <w:bottom w:w="60" w:type="dxa"/>
              <w:left w:w="100" w:type="dxa"/>
              <w:right w:w="100" w:type="dxa"/>
            </w:tcMar>
          </w:tcPr>
          <w:p>
            <w:pPr>
              <w:spacing w:after="40"/>
            </w:pPr>
            <w:r>
              <w:rPr>
                <w:b/>
                <w:color w:val="1B365D"/>
              </w:rPr>
              <w:t>Prepared for:</w:t>
            </w:r>
          </w:p>
        </w:tc>
        <w:tc>
          <w:tcPr>
            <w:tcW w:type="dxa" w:w="7200"/>
            <w:shd w:fill="F7FAFC"/>
            <w:tcMar>
              <w:top w:w="60" w:type="dxa"/>
              <w:bottom w:w="60" w:type="dxa"/>
              <w:left w:w="100" w:type="dxa"/>
              <w:right w:w="100" w:type="dxa"/>
            </w:tcMar>
          </w:tcPr>
          <w:p>
            <w:pPr>
              <w:spacing w:after="40"/>
            </w:pPr>
            <w:r>
              <w:t>[Agency Name]</w:t>
            </w:r>
          </w:p>
        </w:tc>
      </w:tr>
      <w:tr>
        <w:tc>
          <w:tcPr>
            <w:tcW w:type="dxa" w:w="2160"/>
            <w:shd w:fill="F7FAFC"/>
            <w:tcMar>
              <w:top w:w="60" w:type="dxa"/>
              <w:bottom w:w="60" w:type="dxa"/>
              <w:left w:w="100" w:type="dxa"/>
              <w:right w:w="100" w:type="dxa"/>
            </w:tcMar>
          </w:tcPr>
          <w:p>
            <w:pPr>
              <w:spacing w:after="40"/>
            </w:pPr>
            <w:r>
              <w:rPr>
                <w:b/>
                <w:color w:val="1B365D"/>
              </w:rPr>
              <w:t>Date:</w:t>
            </w:r>
          </w:p>
        </w:tc>
        <w:tc>
          <w:tcPr>
            <w:tcW w:type="dxa" w:w="7200"/>
            <w:shd w:fill="F7FAFC"/>
            <w:tcMar>
              <w:top w:w="60" w:type="dxa"/>
              <w:bottom w:w="60" w:type="dxa"/>
              <w:left w:w="100" w:type="dxa"/>
              <w:right w:w="100" w:type="dxa"/>
            </w:tcMar>
          </w:tcPr>
          <w:p>
            <w:pPr>
              <w:spacing w:after="40"/>
            </w:pPr>
            <w:r>
              <w:t>September 3, 2026</w:t>
            </w:r>
          </w:p>
        </w:tc>
      </w:tr>
      <w:tr>
        <w:tc>
          <w:tcPr>
            <w:tcW w:type="dxa" w:w="2160"/>
            <w:shd w:fill="F7FAFC"/>
            <w:tcMar>
              <w:top w:w="60" w:type="dxa"/>
              <w:bottom w:w="60" w:type="dxa"/>
              <w:left w:w="100" w:type="dxa"/>
              <w:right w:w="100" w:type="dxa"/>
            </w:tcMar>
          </w:tcPr>
          <w:p>
            <w:pPr>
              <w:spacing w:after="40"/>
            </w:pPr>
            <w:r>
              <w:rPr>
                <w:b/>
                <w:color w:val="1B365D"/>
              </w:rPr>
              <w:t>Version:</w:t>
            </w:r>
          </w:p>
        </w:tc>
        <w:tc>
          <w:tcPr>
            <w:tcW w:type="dxa" w:w="7200"/>
            <w:shd w:fill="F7FAFC"/>
            <w:tcMar>
              <w:top w:w="60" w:type="dxa"/>
              <w:bottom w:w="60" w:type="dxa"/>
              <w:left w:w="100" w:type="dxa"/>
              <w:right w:w="100" w:type="dxa"/>
            </w:tcMar>
          </w:tcPr>
          <w:p>
            <w:pPr>
              <w:spacing w:after="40"/>
            </w:pPr>
            <w:r>
              <w:t>1.0</w:t>
            </w:r>
          </w:p>
        </w:tc>
      </w:tr>
    </w:tbl>
    <w:p>
      <w:pPr>
        <w:spacing w:after="240"/>
      </w:pPr>
    </w:p>
    <w:p>
      <w:pPr>
        <w:keepNext/>
        <w:spacing w:before="360" w:after="120"/>
      </w:pPr>
      <w:r>
        <w:rPr>
          <w:rFonts w:ascii="Calibri Light" w:hAnsi="Calibri Light"/>
          <w:b/>
          <w:color w:val="1B365D"/>
          <w:sz w:val="32"/>
        </w:rPr>
        <w:t>1. Business Use Case (BUC)</w:t>
      </w:r>
    </w:p>
    <w:p>
      <w:pPr>
        <w:keepNext/>
        <w:spacing w:before="280" w:after="80"/>
      </w:pPr>
      <w:r>
        <w:rPr>
          <w:rFonts w:ascii="Calibri" w:hAnsi="Calibri"/>
          <w:b/>
          <w:color w:val="4A5568"/>
          <w:sz w:val="26"/>
        </w:rPr>
        <w:t>Use Case: Property Sales and Title Transfer Process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2592"/>
            <w:tcMar>
              <w:top w:w="80" w:type="dxa"/>
              <w:bottom w:w="80" w:type="dxa"/>
              <w:left w:w="100" w:type="dxa"/>
              <w:right w:w="100" w:type="dxa"/>
            </w:tcMar>
          </w:tcPr>
          <w:p>
            <w:pPr>
              <w:spacing w:after="40"/>
            </w:pPr>
            <w:r>
              <w:rPr>
                <w:b/>
                <w:color w:val="1B365D"/>
              </w:rPr>
              <w:t>Use Case ID</w:t>
            </w:r>
          </w:p>
        </w:tc>
        <w:tc>
          <w:tcPr>
            <w:tcW w:type="dxa" w:w="6768"/>
            <w:tcMar>
              <w:top w:w="80" w:type="dxa"/>
              <w:bottom w:w="80" w:type="dxa"/>
              <w:left w:w="100" w:type="dxa"/>
              <w:right w:w="100" w:type="dxa"/>
            </w:tcMar>
          </w:tcPr>
          <w:p>
            <w:pPr>
              <w:spacing w:after="40"/>
            </w:pPr>
            <w:r>
              <w:t>UC-RE-001</w:t>
            </w:r>
          </w:p>
        </w:tc>
      </w:tr>
      <w:tr>
        <w:tc>
          <w:tcPr>
            <w:tcW w:type="dxa" w:w="2592"/>
            <w:shd w:fill="F7FAFC"/>
            <w:tcMar>
              <w:top w:w="80" w:type="dxa"/>
              <w:bottom w:w="80" w:type="dxa"/>
              <w:left w:w="100" w:type="dxa"/>
              <w:right w:w="100" w:type="dxa"/>
            </w:tcMar>
          </w:tcPr>
          <w:p>
            <w:pPr>
              <w:spacing w:after="40"/>
            </w:pPr>
            <w:r>
              <w:rPr>
                <w:b/>
                <w:color w:val="1B365D"/>
              </w:rPr>
              <w:t>Use Case Name</w:t>
            </w:r>
          </w:p>
        </w:tc>
        <w:tc>
          <w:tcPr>
            <w:tcW w:type="dxa" w:w="6768"/>
            <w:shd w:fill="F7FAFC"/>
            <w:tcMar>
              <w:top w:w="80" w:type="dxa"/>
              <w:bottom w:w="80" w:type="dxa"/>
              <w:left w:w="100" w:type="dxa"/>
              <w:right w:w="100" w:type="dxa"/>
            </w:tcMar>
          </w:tcPr>
          <w:p>
            <w:pPr>
              <w:spacing w:after="40"/>
            </w:pPr>
            <w:r>
              <w:t>Process Property Sale and Transfer of Ownership</w:t>
            </w:r>
          </w:p>
        </w:tc>
      </w:tr>
      <w:tr>
        <w:tc>
          <w:tcPr>
            <w:tcW w:type="dxa" w:w="2592"/>
            <w:tcMar>
              <w:top w:w="80" w:type="dxa"/>
              <w:bottom w:w="80" w:type="dxa"/>
              <w:left w:w="100" w:type="dxa"/>
              <w:right w:w="100" w:type="dxa"/>
            </w:tcMar>
          </w:tcPr>
          <w:p>
            <w:pPr>
              <w:spacing w:after="40"/>
            </w:pPr>
            <w:r>
              <w:rPr>
                <w:b/>
                <w:color w:val="1B365D"/>
              </w:rPr>
              <w:t>Primary Actor</w:t>
            </w:r>
          </w:p>
        </w:tc>
        <w:tc>
          <w:tcPr>
            <w:tcW w:type="dxa" w:w="6768"/>
            <w:tcMar>
              <w:top w:w="80" w:type="dxa"/>
              <w:bottom w:w="80" w:type="dxa"/>
              <w:left w:w="100" w:type="dxa"/>
              <w:right w:w="100" w:type="dxa"/>
            </w:tcMar>
          </w:tcPr>
          <w:p>
            <w:pPr>
              <w:spacing w:after="40"/>
            </w:pPr>
            <w:r>
              <w:t>Sales Agent (Real Estate Agency)</w:t>
            </w:r>
          </w:p>
        </w:tc>
      </w:tr>
      <w:tr>
        <w:tc>
          <w:tcPr>
            <w:tcW w:type="dxa" w:w="2592"/>
            <w:shd w:fill="F7FAFC"/>
            <w:tcMar>
              <w:top w:w="80" w:type="dxa"/>
              <w:bottom w:w="80" w:type="dxa"/>
              <w:left w:w="100" w:type="dxa"/>
              <w:right w:w="100" w:type="dxa"/>
            </w:tcMar>
          </w:tcPr>
          <w:p>
            <w:pPr>
              <w:spacing w:after="40"/>
            </w:pPr>
            <w:r>
              <w:rPr>
                <w:b/>
                <w:color w:val="1B365D"/>
              </w:rPr>
              <w:t>Secondary Actors</w:t>
            </w:r>
          </w:p>
        </w:tc>
        <w:tc>
          <w:tcPr>
            <w:tcW w:type="dxa" w:w="6768"/>
            <w:shd w:fill="F7FAFC"/>
            <w:tcMar>
              <w:top w:w="80" w:type="dxa"/>
              <w:bottom w:w="80" w:type="dxa"/>
              <w:left w:w="100" w:type="dxa"/>
              <w:right w:w="100" w:type="dxa"/>
            </w:tcMar>
          </w:tcPr>
          <w:p>
            <w:pPr>
              <w:spacing w:after="40"/>
            </w:pPr>
            <w:r>
              <w:t>Buyer, Seller, Delala (Broker), Finance Officer, Legal/Compliance Officer, Government Agencies (Land Administration, Municipality, Notary, ERCA)</w:t>
            </w:r>
          </w:p>
        </w:tc>
      </w:tr>
      <w:tr>
        <w:tc>
          <w:tcPr>
            <w:tcW w:type="dxa" w:w="2592"/>
            <w:tcMar>
              <w:top w:w="80" w:type="dxa"/>
              <w:bottom w:w="80" w:type="dxa"/>
              <w:left w:w="100" w:type="dxa"/>
              <w:right w:w="100" w:type="dxa"/>
            </w:tcMar>
          </w:tcPr>
          <w:p>
            <w:pPr>
              <w:spacing w:after="40"/>
            </w:pPr>
            <w:r>
              <w:rPr>
                <w:b/>
                <w:color w:val="1B365D"/>
              </w:rPr>
              <w:t>Preconditions</w:t>
            </w:r>
          </w:p>
        </w:tc>
        <w:tc>
          <w:tcPr>
            <w:tcW w:type="dxa" w:w="6768"/>
            <w:tcMar>
              <w:top w:w="80" w:type="dxa"/>
              <w:bottom w:w="80" w:type="dxa"/>
              <w:left w:w="100" w:type="dxa"/>
              <w:right w:w="100" w:type="dxa"/>
            </w:tcMar>
          </w:tcPr>
          <w:p>
            <w:pPr>
              <w:spacing w:after="40"/>
            </w:pPr>
            <w:r>
              <w:t>• Property is listed in the system with valid ownership documents.</w:t>
              <w:br/>
              <w:t>• Buyer and Seller have been registered in the system.</w:t>
              <w:br/>
              <w:t>• Sales agreement draft has been prepared.</w:t>
            </w:r>
          </w:p>
        </w:tc>
      </w:tr>
      <w:tr>
        <w:tc>
          <w:tcPr>
            <w:tcW w:type="dxa" w:w="2592"/>
            <w:shd w:fill="F7FAFC"/>
            <w:tcMar>
              <w:top w:w="80" w:type="dxa"/>
              <w:bottom w:w="80" w:type="dxa"/>
              <w:left w:w="100" w:type="dxa"/>
              <w:right w:w="100" w:type="dxa"/>
            </w:tcMar>
          </w:tcPr>
          <w:p>
            <w:pPr>
              <w:spacing w:after="40"/>
            </w:pPr>
            <w:r>
              <w:rPr>
                <w:b/>
                <w:color w:val="1B365D"/>
              </w:rPr>
              <w:t>Triggers</w:t>
            </w:r>
          </w:p>
        </w:tc>
        <w:tc>
          <w:tcPr>
            <w:tcW w:type="dxa" w:w="6768"/>
            <w:shd w:fill="F7FAFC"/>
            <w:tcMar>
              <w:top w:w="80" w:type="dxa"/>
              <w:bottom w:w="80" w:type="dxa"/>
              <w:left w:w="100" w:type="dxa"/>
              <w:right w:w="100" w:type="dxa"/>
            </w:tcMar>
          </w:tcPr>
          <w:p>
            <w:pPr>
              <w:spacing w:after="40"/>
            </w:pPr>
            <w:r>
              <w:t>Buyer and Seller agree on price and terms; Sales Agent initiates the sale process in the ERP.</w:t>
            </w:r>
          </w:p>
        </w:tc>
      </w:tr>
      <w:tr>
        <w:tc>
          <w:tcPr>
            <w:tcW w:type="dxa" w:w="2592"/>
            <w:tcMar>
              <w:top w:w="80" w:type="dxa"/>
              <w:bottom w:w="80" w:type="dxa"/>
              <w:left w:w="100" w:type="dxa"/>
              <w:right w:w="100" w:type="dxa"/>
            </w:tcMar>
          </w:tcPr>
          <w:p>
            <w:pPr>
              <w:spacing w:after="40"/>
            </w:pPr>
            <w:r>
              <w:rPr>
                <w:b/>
                <w:color w:val="1B365D"/>
              </w:rPr>
              <w:t>Postconditions</w:t>
            </w:r>
          </w:p>
        </w:tc>
        <w:tc>
          <w:tcPr>
            <w:tcW w:type="dxa" w:w="6768"/>
            <w:tcMar>
              <w:top w:w="80" w:type="dxa"/>
              <w:bottom w:w="80" w:type="dxa"/>
              <w:left w:w="100" w:type="dxa"/>
              <w:right w:w="100" w:type="dxa"/>
            </w:tcMar>
          </w:tcPr>
          <w:p>
            <w:pPr>
              <w:spacing w:after="40"/>
            </w:pPr>
            <w:r>
              <w:t>• Ownership transferred to Buyer; Title Deed updated in system.</w:t>
              <w:br/>
              <w:t>• All payments (down payment, installments, taxes, commissions) recorded and reconciled.</w:t>
              <w:br/>
              <w:t>• Property status changed to “Sold”.</w:t>
              <w:br/>
              <w:t>• Commission for agency and Delala calculated and paid.</w:t>
            </w:r>
          </w:p>
        </w:tc>
      </w:tr>
      <w:tr>
        <w:tc>
          <w:tcPr>
            <w:tcW w:type="dxa" w:w="2592"/>
            <w:shd w:fill="F7FAFC"/>
            <w:tcMar>
              <w:top w:w="80" w:type="dxa"/>
              <w:bottom w:w="80" w:type="dxa"/>
              <w:left w:w="100" w:type="dxa"/>
              <w:right w:w="100" w:type="dxa"/>
            </w:tcMar>
          </w:tcPr>
          <w:p>
            <w:pPr>
              <w:spacing w:after="40"/>
            </w:pPr>
            <w:r>
              <w:rPr>
                <w:b/>
                <w:color w:val="1B365D"/>
              </w:rPr>
              <w:t>Business Rules</w:t>
            </w:r>
          </w:p>
        </w:tc>
        <w:tc>
          <w:tcPr>
            <w:tcW w:type="dxa" w:w="6768"/>
            <w:shd w:fill="F7FAFC"/>
            <w:tcMar>
              <w:top w:w="80" w:type="dxa"/>
              <w:bottom w:w="80" w:type="dxa"/>
              <w:left w:w="100" w:type="dxa"/>
              <w:right w:w="100" w:type="dxa"/>
            </w:tcMar>
          </w:tcPr>
          <w:p>
            <w:pPr>
              <w:spacing w:after="40"/>
            </w:pPr>
            <w:r>
              <w:t>• All monetary values recorded in ETB; if quoted in USD, system converts using daily exchange rate from National Bank of Ethiopia.</w:t>
              <w:br/>
              <w:t>• Down payment must be at least 10% of sale price (negotiable but recorded).</w:t>
              <w:br/>
              <w:t>• Capital gains tax (15% on profit) payable by Seller; Stamp duty (2%) and transfer tax (2%) payable by Buyer – calculated on government-assessed value or agreed price, whichever is higher.</w:t>
              <w:br/>
              <w:t>• Agency commission = 2% of sale price; Delala commission = 1% (if involved).</w:t>
              <w:br/>
              <w:t>• Before transfer, Legal Officer must verify Title Deed authenticity and absence of encumbrances.</w:t>
            </w:r>
          </w:p>
        </w:tc>
      </w:tr>
    </w:tbl>
    <w:p>
      <w:pPr>
        <w:spacing w:after="160"/>
      </w:pPr>
    </w:p>
    <w:p>
      <w:pPr>
        <w:keepNext/>
        <w:spacing w:before="200" w:after="40"/>
      </w:pPr>
      <w:r>
        <w:rPr>
          <w:rFonts w:ascii="Calibri" w:hAnsi="Calibri"/>
          <w:b/>
          <w:color w:val="2D3748"/>
          <w:sz w:val="22"/>
        </w:rPr>
        <w:t>Main Success Scenario (Happy Path)</w:t>
      </w:r>
    </w:p>
    <w:p>
      <w:pPr>
        <w:spacing w:after="60"/>
        <w:ind w:left="432"/>
      </w:pPr>
      <w:r>
        <w:rPr>
          <w:b/>
        </w:rPr>
        <w:t xml:space="preserve">1. </w:t>
      </w:r>
      <w:r>
        <w:t>Sales Agent selects the property from the system and records the agreed sale price and terms (down payment, installment schedule).</w:t>
      </w:r>
    </w:p>
    <w:p>
      <w:pPr>
        <w:spacing w:after="60"/>
        <w:ind w:left="432"/>
      </w:pPr>
      <w:r>
        <w:rPr>
          <w:b/>
        </w:rPr>
        <w:t xml:space="preserve">2. </w:t>
      </w:r>
      <w:r>
        <w:t>System automatically calculates taxes (capital gains, stamp duty, transfer tax) and commissions based on business rules.</w:t>
      </w:r>
    </w:p>
    <w:p>
      <w:pPr>
        <w:spacing w:after="60"/>
        <w:ind w:left="432"/>
      </w:pPr>
      <w:r>
        <w:rPr>
          <w:b/>
        </w:rPr>
        <w:t xml:space="preserve">3. </w:t>
      </w:r>
      <w:r>
        <w:t>Sales Agent generates a Sales Agreement (in Amharic or English) using a template; system pre-fills buyer, seller, property details, and payment terms.</w:t>
      </w:r>
    </w:p>
    <w:p>
      <w:pPr>
        <w:spacing w:after="60"/>
        <w:ind w:left="432"/>
      </w:pPr>
      <w:r>
        <w:rPr>
          <w:b/>
        </w:rPr>
        <w:t xml:space="preserve">4. </w:t>
      </w:r>
      <w:r>
        <w:t>Buyer and Seller sign the agreement (digitally if possible); Legal Officer uploads scanned signed copy.</w:t>
      </w:r>
    </w:p>
    <w:p>
      <w:pPr>
        <w:spacing w:after="60"/>
        <w:ind w:left="432"/>
      </w:pPr>
      <w:r>
        <w:rPr>
          <w:b/>
        </w:rPr>
        <w:t xml:space="preserve">5. </w:t>
      </w:r>
      <w:r>
        <w:t>Finance Officer records the down payment received from Buyer (cash, bank transfer, or cheque). System updates payment schedule.</w:t>
      </w:r>
    </w:p>
    <w:p>
      <w:pPr>
        <w:spacing w:after="60"/>
        <w:ind w:left="432"/>
      </w:pPr>
      <w:r>
        <w:rPr>
          <w:b/>
        </w:rPr>
        <w:t xml:space="preserve">6. </w:t>
      </w:r>
      <w:r>
        <w:t>Legal Officer initiates title verification by checking system’s document repository for Title Deed and cross-referencing with Land Administration records (manual or via integration). If clear, proceeds.</w:t>
      </w:r>
    </w:p>
    <w:p>
      <w:pPr>
        <w:spacing w:after="60"/>
        <w:ind w:left="432"/>
      </w:pPr>
      <w:r>
        <w:rPr>
          <w:b/>
        </w:rPr>
        <w:t xml:space="preserve">7. </w:t>
      </w:r>
      <w:r>
        <w:t>Legal Officer prepares documents for transfer at the Addis Ababa City Land Administration and Notary. System generates a checklist of required documents.</w:t>
      </w:r>
    </w:p>
    <w:p>
      <w:pPr>
        <w:spacing w:after="60"/>
        <w:ind w:left="432"/>
      </w:pPr>
      <w:r>
        <w:rPr>
          <w:b/>
        </w:rPr>
        <w:t xml:space="preserve">8. </w:t>
      </w:r>
      <w:r>
        <w:t>Buyer pays stamp duty and transfer tax through bank or e-payment; Finance Officer records receipt numbers.</w:t>
      </w:r>
    </w:p>
    <w:p>
      <w:pPr>
        <w:spacing w:after="60"/>
        <w:ind w:left="432"/>
      </w:pPr>
      <w:r>
        <w:rPr>
          <w:b/>
        </w:rPr>
        <w:t xml:space="preserve">9. </w:t>
      </w:r>
      <w:r>
        <w:t>Government processes title transfer; Legal Officer uploads new Title Deed (የባለቤትነት ማረጋገጫ) into system.</w:t>
      </w:r>
    </w:p>
    <w:p>
      <w:pPr>
        <w:spacing w:after="60"/>
        <w:ind w:left="432"/>
      </w:pPr>
      <w:r>
        <w:rPr>
          <w:b/>
        </w:rPr>
        <w:t xml:space="preserve">10. </w:t>
      </w:r>
      <w:r>
        <w:t>Finance Officer records final payment (if any) and calculates capital gains tax for Seller; generates tax payment voucher for ERCA.</w:t>
      </w:r>
    </w:p>
    <w:p>
      <w:pPr>
        <w:spacing w:after="60"/>
        <w:ind w:left="432"/>
      </w:pPr>
      <w:r>
        <w:rPr>
          <w:b/>
        </w:rPr>
        <w:t xml:space="preserve">11. </w:t>
      </w:r>
      <w:r>
        <w:t>System marks property as Sold, updates inventory, and releases commission payments to Agency and Delala.</w:t>
      </w:r>
    </w:p>
    <w:p>
      <w:pPr>
        <w:spacing w:after="60"/>
        <w:ind w:left="432"/>
      </w:pPr>
      <w:r>
        <w:rPr>
          <w:b/>
        </w:rPr>
        <w:t xml:space="preserve">12. </w:t>
      </w:r>
      <w:r>
        <w:t>System generates post-sale documents: transfer confirmation, payment receipt, commission statements, and tax reports.</w:t>
      </w:r>
    </w:p>
    <w:p>
      <w:pPr>
        <w:keepNext/>
        <w:spacing w:before="200" w:after="40"/>
      </w:pPr>
      <w:r>
        <w:rPr>
          <w:rFonts w:ascii="Calibri" w:hAnsi="Calibri"/>
          <w:b/>
          <w:color w:val="2D3748"/>
          <w:sz w:val="22"/>
        </w:rPr>
        <w:t>Alternative Flows (Extensions)</w:t>
      </w:r>
    </w:p>
    <w:p>
      <w:pPr>
        <w:pStyle w:val="ListBullet"/>
        <w:spacing w:before="0" w:after="60"/>
        <w:ind w:left="360"/>
      </w:pPr>
      <w:r>
        <w:rPr>
          <w:b/>
        </w:rPr>
        <w:t xml:space="preserve">3a. Negotiation fails: </w:t>
      </w:r>
      <w:r>
        <w:t>If buyer/seller do not agree, Sales Agent records negotiation notes and updates property status to “Available”; process ends.</w:t>
      </w:r>
    </w:p>
    <w:p>
      <w:pPr>
        <w:pStyle w:val="ListBullet"/>
        <w:spacing w:before="0" w:after="60"/>
        <w:ind w:left="360"/>
      </w:pPr>
      <w:r>
        <w:rPr>
          <w:b/>
        </w:rPr>
        <w:t xml:space="preserve">4a. Seller refuses to sign: </w:t>
      </w:r>
      <w:r>
        <w:t>Legal Officer logs dispute; system flags property as “On Hold”; management intervention required.</w:t>
      </w:r>
    </w:p>
    <w:p>
      <w:pPr>
        <w:pStyle w:val="ListBullet"/>
        <w:spacing w:before="0" w:after="60"/>
        <w:ind w:left="360"/>
      </w:pPr>
      <w:r>
        <w:rPr>
          <w:b/>
        </w:rPr>
        <w:t xml:space="preserve">6a. Title encumbrance found: </w:t>
      </w:r>
      <w:r>
        <w:t>Legal Officer halts process; property status set to “Legal Issue”; external resolution needed (e.g., court clearance).</w:t>
      </w:r>
    </w:p>
    <w:p>
      <w:pPr>
        <w:pStyle w:val="ListBullet"/>
        <w:spacing w:before="0" w:after="60"/>
        <w:ind w:left="360"/>
      </w:pPr>
      <w:r>
        <w:rPr>
          <w:b/>
        </w:rPr>
        <w:t xml:space="preserve">7a. Missing documents: </w:t>
      </w:r>
      <w:r>
        <w:t>System generates a deficiency notice; Sales Agent coordinates with Seller to obtain missing documents; process resumes after upload.</w:t>
      </w:r>
    </w:p>
    <w:p>
      <w:pPr>
        <w:pStyle w:val="ListBullet"/>
        <w:spacing w:before="0" w:after="60"/>
        <w:ind w:left="360"/>
      </w:pPr>
      <w:r>
        <w:rPr>
          <w:b/>
        </w:rPr>
        <w:t xml:space="preserve">8a. Payment failure: </w:t>
      </w:r>
      <w:r>
        <w:t>Finance Officer records bounced cheque; system sends alert to Sales Agent; agreement may be renegotiated or cancelled.</w:t>
      </w:r>
    </w:p>
    <w:p>
      <w:pPr>
        <w:pStyle w:val="ListBullet"/>
        <w:spacing w:before="0" w:after="60"/>
        <w:ind w:left="360"/>
      </w:pPr>
      <w:r>
        <w:rPr>
          <w:b/>
        </w:rPr>
        <w:t xml:space="preserve">10a. Delala commission dispute: </w:t>
      </w:r>
      <w:r>
        <w:t>System logs commission details; management resolves based on recorded agreement.</w:t>
      </w:r>
    </w:p>
    <w:p>
      <w:pPr>
        <w:keepNext/>
        <w:spacing w:before="200" w:after="40"/>
      </w:pPr>
      <w:r>
        <w:rPr>
          <w:rFonts w:ascii="Calibri" w:hAnsi="Calibri"/>
          <w:b/>
          <w:color w:val="2D3748"/>
          <w:sz w:val="22"/>
        </w:rPr>
        <w:t>Non-Functional Requirements (Specific to this Use Case)</w:t>
      </w:r>
    </w:p>
    <w:p>
      <w:pPr>
        <w:pStyle w:val="ListBullet"/>
        <w:spacing w:before="0" w:after="60"/>
        <w:ind w:left="360"/>
      </w:pPr>
      <w:r>
        <w:rPr>
          <w:b/>
        </w:rPr>
        <w:t>Performance:</w:t>
      </w:r>
      <w:r>
        <w:t xml:space="preserve"> All calculations (taxes, commissions) must complete in &lt; 2 seconds.</w:t>
      </w:r>
    </w:p>
    <w:p>
      <w:pPr>
        <w:pStyle w:val="ListBullet"/>
        <w:spacing w:before="0" w:after="60"/>
        <w:ind w:left="360"/>
      </w:pPr>
      <w:r>
        <w:rPr>
          <w:b/>
        </w:rPr>
        <w:t>Security:</w:t>
      </w:r>
      <w:r>
        <w:t xml:space="preserve"> Only Legal Officer can change status to “Title Transferred”.</w:t>
      </w:r>
    </w:p>
    <w:p>
      <w:pPr>
        <w:pStyle w:val="ListBullet"/>
        <w:spacing w:before="0" w:after="60"/>
        <w:ind w:left="360"/>
      </w:pPr>
      <w:r>
        <w:rPr>
          <w:b/>
        </w:rPr>
        <w:t>Auditability:</w:t>
      </w:r>
      <w:r>
        <w:t xml:space="preserve"> Full log of all changes and document uploads with timestamps and user IDs.</w:t>
      </w:r>
    </w:p>
    <w:p>
      <w:pPr>
        <w:pStyle w:val="ListBullet"/>
        <w:spacing w:before="0" w:after="60"/>
        <w:ind w:left="360"/>
      </w:pPr>
      <w:r>
        <w:rPr>
          <w:b/>
        </w:rPr>
        <w:t>Localization:</w:t>
      </w:r>
      <w:r>
        <w:t xml:space="preserve"> System must support Amharic script for reports and agreements.</w:t>
      </w:r>
    </w:p>
    <w:p>
      <w:pPr>
        <w:pStyle w:val="ListBullet"/>
        <w:spacing w:before="0" w:after="60"/>
        <w:ind w:left="360"/>
      </w:pPr>
      <w:r>
        <w:rPr>
          <w:b/>
        </w:rPr>
        <w:t>Integration:</w:t>
      </w:r>
      <w:r>
        <w:t xml:space="preserve"> Should allow future API integration with Land Administration cadastral database and ERCA e-filing system.</w:t>
      </w:r>
    </w:p>
    <w:p>
      <w:pPr>
        <w:keepNext/>
        <w:spacing w:before="360" w:after="120"/>
      </w:pPr>
      <w:r>
        <w:rPr>
          <w:rFonts w:ascii="Calibri Light" w:hAnsi="Calibri Light"/>
          <w:b/>
          <w:color w:val="1B365D"/>
          <w:sz w:val="32"/>
        </w:rPr>
        <w:t>2. Business Requirements Document (BRD) – Summary</w:t>
      </w:r>
    </w:p>
    <w:p>
      <w:pPr>
        <w:keepNext/>
        <w:spacing w:before="280" w:after="80"/>
      </w:pPr>
      <w:r>
        <w:rPr>
          <w:rFonts w:ascii="Calibri" w:hAnsi="Calibri"/>
          <w:b/>
          <w:color w:val="4A5568"/>
          <w:sz w:val="26"/>
        </w:rPr>
        <w:t>Executive Summary</w:t>
      </w:r>
    </w:p>
    <w:p>
      <w:pPr>
        <w:spacing w:after="120"/>
      </w:pPr>
      <w:r>
        <w:t>The Ethiopian real estate agency requires a comprehensive ERP system to manage its property sales, rentals, finance, client relationships, and regulatory compliance. The system must be tailored to the Ethiopian context, including leasehold tenure, local tax regulations, multi-currency handling, and the role of informal brokers (Delalas). The goal is to streamline operations, reduce manual paperwork, mitigate title disputes, and provide accurate reporting for management and government authorities.</w:t>
      </w:r>
    </w:p>
    <w:p>
      <w:pPr>
        <w:keepNext/>
        <w:spacing w:before="280" w:after="80"/>
      </w:pPr>
      <w:r>
        <w:rPr>
          <w:rFonts w:ascii="Calibri" w:hAnsi="Calibri"/>
          <w:b/>
          <w:color w:val="4A5568"/>
          <w:sz w:val="26"/>
        </w:rPr>
        <w:t>Project Scope</w:t>
      </w:r>
    </w:p>
    <w:p>
      <w:pPr>
        <w:keepNext/>
        <w:spacing w:before="200" w:after="40"/>
      </w:pPr>
      <w:r>
        <w:rPr>
          <w:rFonts w:ascii="Calibri" w:hAnsi="Calibri"/>
          <w:b/>
          <w:color w:val="2D3748"/>
          <w:sz w:val="22"/>
        </w:rPr>
        <w:t>In Scope:</w:t>
      </w:r>
    </w:p>
    <w:p>
      <w:pPr>
        <w:pStyle w:val="ListBullet"/>
        <w:spacing w:before="0" w:after="60"/>
        <w:ind w:left="360"/>
      </w:pPr>
      <w:r>
        <w:rPr>
          <w:b/>
        </w:rPr>
        <w:t xml:space="preserve">Property Management </w:t>
      </w:r>
      <w:r>
        <w:t>(listings, lease details, status tracking)</w:t>
      </w:r>
    </w:p>
    <w:p>
      <w:pPr>
        <w:pStyle w:val="ListBullet"/>
        <w:spacing w:before="0" w:after="60"/>
        <w:ind w:left="360"/>
      </w:pPr>
      <w:r>
        <w:rPr>
          <w:b/>
        </w:rPr>
        <w:t xml:space="preserve">Client Management </w:t>
      </w:r>
      <w:r>
        <w:t>(buyers, sellers, tenants, brokers)</w:t>
      </w:r>
    </w:p>
    <w:p>
      <w:pPr>
        <w:pStyle w:val="ListBullet"/>
        <w:spacing w:before="0" w:after="60"/>
        <w:ind w:left="360"/>
      </w:pPr>
      <w:r>
        <w:rPr>
          <w:b/>
        </w:rPr>
        <w:t xml:space="preserve">Sales Management </w:t>
      </w:r>
      <w:r>
        <w:t>(agreements, payment schedules, title transfer workflow)</w:t>
      </w:r>
    </w:p>
    <w:p>
      <w:pPr>
        <w:pStyle w:val="ListBullet"/>
        <w:spacing w:before="0" w:after="60"/>
        <w:ind w:left="360"/>
      </w:pPr>
      <w:r>
        <w:rPr>
          <w:b/>
        </w:rPr>
        <w:t xml:space="preserve">Rental Management </w:t>
      </w:r>
      <w:r>
        <w:t>(lease agreements, rent collection, maintenance requests)</w:t>
      </w:r>
    </w:p>
    <w:p>
      <w:pPr>
        <w:pStyle w:val="ListBullet"/>
        <w:spacing w:before="0" w:after="60"/>
        <w:ind w:left="360"/>
      </w:pPr>
      <w:r>
        <w:rPr>
          <w:b/>
        </w:rPr>
        <w:t xml:space="preserve">Finance &amp; Accounting </w:t>
      </w:r>
      <w:r>
        <w:t>(general ledger, tax calculations, commission management, bank reconciliation)</w:t>
      </w:r>
    </w:p>
    <w:p>
      <w:pPr>
        <w:pStyle w:val="ListBullet"/>
        <w:spacing w:before="0" w:after="60"/>
        <w:ind w:left="360"/>
      </w:pPr>
      <w:r>
        <w:rPr>
          <w:b/>
        </w:rPr>
        <w:t xml:space="preserve">Reporting &amp; Analytics </w:t>
      </w:r>
      <w:r>
        <w:t>(sales reports, tax summaries, occupancy rates, profit &amp; loss)</w:t>
      </w:r>
    </w:p>
    <w:p>
      <w:pPr>
        <w:pStyle w:val="ListBullet"/>
        <w:spacing w:before="0" w:after="60"/>
        <w:ind w:left="360"/>
      </w:pPr>
      <w:r>
        <w:rPr>
          <w:b/>
        </w:rPr>
        <w:t xml:space="preserve">User Management </w:t>
      </w:r>
      <w:r>
        <w:t>(roles: Admin, Sales, Finance, Legal, Property Manager)</w:t>
      </w:r>
    </w:p>
    <w:p>
      <w:pPr>
        <w:pStyle w:val="ListBullet"/>
        <w:spacing w:before="0" w:after="60"/>
        <w:ind w:left="360"/>
      </w:pPr>
      <w:r>
        <w:rPr>
          <w:b/>
        </w:rPr>
        <w:t xml:space="preserve">Document Management </w:t>
      </w:r>
      <w:r>
        <w:t>(scan/upload of title deeds, agreements, receipts)</w:t>
      </w:r>
    </w:p>
    <w:p>
      <w:pPr>
        <w:keepNext/>
        <w:spacing w:before="200" w:after="40"/>
      </w:pPr>
      <w:r>
        <w:rPr>
          <w:rFonts w:ascii="Calibri" w:hAnsi="Calibri"/>
          <w:b/>
          <w:color w:val="2D3748"/>
          <w:sz w:val="22"/>
        </w:rPr>
        <w:t>Out of Scope (Phase 1):</w:t>
      </w:r>
    </w:p>
    <w:p>
      <w:pPr>
        <w:pStyle w:val="ListBullet"/>
        <w:spacing w:before="0" w:after="60"/>
        <w:ind w:left="360"/>
      </w:pPr>
      <w:r>
        <w:t>Mobile app for clients (future)</w:t>
      </w:r>
    </w:p>
    <w:p>
      <w:pPr>
        <w:pStyle w:val="ListBullet"/>
        <w:spacing w:before="0" w:after="60"/>
        <w:ind w:left="360"/>
      </w:pPr>
      <w:r>
        <w:t>Integration with external banking APIs for automatic payment confirmation (manual entry for now)</w:t>
      </w:r>
    </w:p>
    <w:p>
      <w:pPr>
        <w:pStyle w:val="ListBullet"/>
        <w:spacing w:before="0" w:after="60"/>
        <w:ind w:left="360"/>
      </w:pPr>
      <w:r>
        <w:t>GIS mapping of properties (future)</w:t>
      </w:r>
    </w:p>
    <w:p>
      <w:pPr>
        <w:keepNext/>
        <w:spacing w:before="280" w:after="80"/>
      </w:pPr>
      <w:r>
        <w:rPr>
          <w:rFonts w:ascii="Calibri" w:hAnsi="Calibri"/>
          <w:b/>
          <w:color w:val="4A5568"/>
          <w:sz w:val="26"/>
        </w:rPr>
        <w:t>Stakeholders</w:t>
      </w:r>
    </w:p>
    <w:p>
      <w:pPr>
        <w:pStyle w:val="ListBullet"/>
        <w:spacing w:before="0" w:after="60"/>
        <w:ind w:left="360"/>
      </w:pPr>
      <w:r>
        <w:rPr>
          <w:b/>
        </w:rPr>
        <w:t>Internal:</w:t>
      </w:r>
      <w:r>
        <w:t xml:space="preserve"> Agency Owner/CEO, Sales Manager, Sales Agents, Finance Officer, Legal Officer, Property Manager, IT Administrator.</w:t>
      </w:r>
    </w:p>
    <w:p>
      <w:pPr>
        <w:pStyle w:val="ListBullet"/>
        <w:spacing w:before="0" w:after="60"/>
        <w:ind w:left="360"/>
      </w:pPr>
      <w:r>
        <w:rPr>
          <w:b/>
        </w:rPr>
        <w:t>External:</w:t>
      </w:r>
      <w:r>
        <w:t xml:space="preserve"> Buyers, Sellers, Tenants, Delalas (brokers), Banks (CBE, Awash, etc.), Addis Ababa City Land Administration, ERCA, Notaries.</w:t>
      </w:r>
    </w:p>
    <w:p>
      <w:pPr>
        <w:keepNext/>
        <w:spacing w:before="280" w:after="80"/>
      </w:pPr>
      <w:r>
        <w:rPr>
          <w:rFonts w:ascii="Calibri" w:hAnsi="Calibri"/>
          <w:b/>
          <w:color w:val="4A5568"/>
          <w:sz w:val="26"/>
        </w:rPr>
        <w:t>Functional Requirements (by Module)</w:t>
      </w:r>
    </w:p>
    <w:p>
      <w:pPr>
        <w:keepNext/>
        <w:spacing w:before="200" w:after="40"/>
      </w:pPr>
      <w:r>
        <w:rPr>
          <w:rFonts w:ascii="Calibri" w:hAnsi="Calibri"/>
          <w:b/>
          <w:color w:val="2D3748"/>
          <w:sz w:val="22"/>
        </w:rPr>
        <w:t>1. Property Management</w:t>
      </w:r>
    </w:p>
    <w:p>
      <w:pPr>
        <w:pStyle w:val="ListBullet"/>
        <w:spacing w:before="0" w:after="60"/>
        <w:ind w:left="360"/>
      </w:pPr>
      <w:r>
        <w:t xml:space="preserve"> Capture property details: type (villa, apartment, condo, commercial, land), location (sub-city, woreda, kebele), size (m²), number of rooms, amenities.</w:t>
      </w:r>
    </w:p>
    <w:p>
      <w:pPr>
        <w:pStyle w:val="ListBullet"/>
        <w:spacing w:before="0" w:after="60"/>
        <w:ind w:left="360"/>
      </w:pPr>
      <w:r>
        <w:t xml:space="preserve"> Record tenure: leasehold (with lease start/expiry, annual ground rent) or freehold (rare).</w:t>
      </w:r>
    </w:p>
    <w:p>
      <w:pPr>
        <w:pStyle w:val="ListBullet"/>
        <w:spacing w:before="0" w:after="60"/>
        <w:ind w:left="360"/>
      </w:pPr>
      <w:r>
        <w:t xml:space="preserve"> Attach Title Deed (የባለቤትነት ማረጋገጫ) and cadastral map.</w:t>
      </w:r>
    </w:p>
    <w:p>
      <w:pPr>
        <w:pStyle w:val="ListBullet"/>
        <w:spacing w:before="0" w:after="60"/>
        <w:ind w:left="360"/>
      </w:pPr>
      <w:r>
        <w:t xml:space="preserve"> Track property status: Available, Under Negotiation, Reserved, Sold, Rented, Legal Issue, Off-Market.</w:t>
      </w:r>
    </w:p>
    <w:p>
      <w:pPr>
        <w:pStyle w:val="ListBullet"/>
        <w:spacing w:before="0" w:after="60"/>
        <w:ind w:left="360"/>
      </w:pPr>
      <w:r>
        <w:t xml:space="preserve"> Generate property listing flyers in English and Amharic.</w:t>
      </w:r>
    </w:p>
    <w:p>
      <w:pPr>
        <w:keepNext/>
        <w:spacing w:before="200" w:after="40"/>
      </w:pPr>
      <w:r>
        <w:rPr>
          <w:rFonts w:ascii="Calibri" w:hAnsi="Calibri"/>
          <w:b/>
          <w:color w:val="2D3748"/>
          <w:sz w:val="22"/>
        </w:rPr>
        <w:t>2. Client Management</w:t>
      </w:r>
    </w:p>
    <w:p>
      <w:pPr>
        <w:pStyle w:val="ListBullet"/>
        <w:spacing w:before="0" w:after="60"/>
        <w:ind w:left="360"/>
      </w:pPr>
      <w:r>
        <w:t xml:space="preserve"> Register clients with full details: name, phone, email, ID type (passport, Kebele ID), TIN number.</w:t>
      </w:r>
    </w:p>
    <w:p>
      <w:pPr>
        <w:pStyle w:val="ListBullet"/>
        <w:spacing w:before="0" w:after="60"/>
        <w:ind w:left="360"/>
      </w:pPr>
      <w:r>
        <w:t xml:space="preserve"> Classify as Buyer, Seller, Tenant, Landlord, or Delala.</w:t>
      </w:r>
    </w:p>
    <w:p>
      <w:pPr>
        <w:pStyle w:val="ListBullet"/>
        <w:spacing w:before="0" w:after="60"/>
        <w:ind w:left="360"/>
      </w:pPr>
      <w:r>
        <w:t xml:space="preserve"> Track client interactions (calls, meetings, site visits).</w:t>
      </w:r>
    </w:p>
    <w:p>
      <w:pPr>
        <w:pStyle w:val="ListBullet"/>
        <w:spacing w:before="0" w:after="60"/>
        <w:ind w:left="360"/>
      </w:pPr>
      <w:r>
        <w:t xml:space="preserve"> Store preferences (budget, location, property type).</w:t>
      </w:r>
    </w:p>
    <w:p>
      <w:pPr>
        <w:pStyle w:val="ListBullet"/>
        <w:spacing w:before="0" w:after="60"/>
        <w:ind w:left="360"/>
      </w:pPr>
      <w:r>
        <w:t xml:space="preserve"> Maintain history of all transactions per client.</w:t>
      </w:r>
    </w:p>
    <w:p>
      <w:pPr>
        <w:keepNext/>
        <w:spacing w:before="200" w:after="40"/>
      </w:pPr>
      <w:r>
        <w:rPr>
          <w:rFonts w:ascii="Calibri" w:hAnsi="Calibri"/>
          <w:b/>
          <w:color w:val="2D3748"/>
          <w:sz w:val="22"/>
        </w:rPr>
        <w:t>3. Sales Management</w:t>
      </w:r>
    </w:p>
    <w:p>
      <w:pPr>
        <w:pStyle w:val="ListBullet"/>
        <w:spacing w:before="0" w:after="60"/>
        <w:ind w:left="360"/>
      </w:pPr>
      <w:r>
        <w:t xml:space="preserve"> Create sales agreement with customizable templates.</w:t>
      </w:r>
    </w:p>
    <w:p>
      <w:pPr>
        <w:pStyle w:val="ListBullet"/>
        <w:spacing w:before="0" w:after="60"/>
        <w:ind w:left="360"/>
      </w:pPr>
      <w:r>
        <w:t xml:space="preserve"> Auto-calculate taxes: Capital gains tax (15% on seller’s profit), Stamp duty (2% of sale price), Transfer tax (2% of sale price).</w:t>
      </w:r>
    </w:p>
    <w:p>
      <w:pPr>
        <w:pStyle w:val="ListBullet"/>
        <w:spacing w:before="0" w:after="60"/>
        <w:ind w:left="360"/>
      </w:pPr>
      <w:r>
        <w:t xml:space="preserve"> Handle installment payments with due dates and reminders.</w:t>
      </w:r>
    </w:p>
    <w:p>
      <w:pPr>
        <w:pStyle w:val="ListBullet"/>
        <w:spacing w:before="0" w:after="60"/>
        <w:ind w:left="360"/>
      </w:pPr>
      <w:r>
        <w:t xml:space="preserve"> Manage title transfer workflow as per BUC UC-RE-001.</w:t>
      </w:r>
    </w:p>
    <w:p>
      <w:pPr>
        <w:pStyle w:val="ListBullet"/>
        <w:spacing w:before="0" w:after="60"/>
        <w:ind w:left="360"/>
      </w:pPr>
      <w:r>
        <w:t xml:space="preserve"> Record commission for agency and Delala (fixed % or custom).</w:t>
      </w:r>
    </w:p>
    <w:p>
      <w:pPr>
        <w:keepNext/>
        <w:spacing w:before="200" w:after="40"/>
      </w:pPr>
      <w:r>
        <w:rPr>
          <w:rFonts w:ascii="Calibri" w:hAnsi="Calibri"/>
          <w:b/>
          <w:color w:val="2D3748"/>
          <w:sz w:val="22"/>
        </w:rPr>
        <w:t>4. Rental Management</w:t>
      </w:r>
    </w:p>
    <w:p>
      <w:pPr>
        <w:pStyle w:val="ListBullet"/>
        <w:spacing w:before="0" w:after="60"/>
        <w:ind w:left="360"/>
      </w:pPr>
      <w:r>
        <w:t xml:space="preserve"> Create lease agreements (typically 1 year, renewable).</w:t>
      </w:r>
    </w:p>
    <w:p>
      <w:pPr>
        <w:pStyle w:val="ListBullet"/>
        <w:spacing w:before="0" w:after="60"/>
        <w:ind w:left="360"/>
      </w:pPr>
      <w:r>
        <w:t xml:space="preserve"> Track rent due dates, late fees (if applicable).</w:t>
      </w:r>
    </w:p>
    <w:p>
      <w:pPr>
        <w:pStyle w:val="ListBullet"/>
        <w:spacing w:before="0" w:after="60"/>
        <w:ind w:left="360"/>
      </w:pPr>
      <w:r>
        <w:t xml:space="preserve"> Accept partial payments and generate receipts.</w:t>
      </w:r>
    </w:p>
    <w:p>
      <w:pPr>
        <w:pStyle w:val="ListBullet"/>
        <w:spacing w:before="0" w:after="60"/>
        <w:ind w:left="360"/>
      </w:pPr>
      <w:r>
        <w:t xml:space="preserve"> Handle maintenance requests from tenants; assign to staff; track resolution.</w:t>
      </w:r>
    </w:p>
    <w:p>
      <w:pPr>
        <w:pStyle w:val="ListBullet"/>
        <w:spacing w:before="0" w:after="60"/>
        <w:ind w:left="360"/>
      </w:pPr>
      <w:r>
        <w:t xml:space="preserve"> Manage eviction process (legal notice generation, status).</w:t>
      </w:r>
    </w:p>
    <w:p>
      <w:pPr>
        <w:keepNext/>
        <w:spacing w:before="200" w:after="40"/>
      </w:pPr>
      <w:r>
        <w:rPr>
          <w:rFonts w:ascii="Calibri" w:hAnsi="Calibri"/>
          <w:b/>
          <w:color w:val="2D3748"/>
          <w:sz w:val="22"/>
        </w:rPr>
        <w:t>5. Finance &amp; Accounting</w:t>
      </w:r>
    </w:p>
    <w:p>
      <w:pPr>
        <w:pStyle w:val="ListBullet"/>
        <w:spacing w:before="0" w:after="60"/>
        <w:ind w:left="360"/>
      </w:pPr>
      <w:r>
        <w:t xml:space="preserve"> Multi-currency support (ETB, USD) with daily exchange rates (manual entry or auto-fetch from National Bank).</w:t>
      </w:r>
    </w:p>
    <w:p>
      <w:pPr>
        <w:pStyle w:val="ListBullet"/>
        <w:spacing w:before="0" w:after="60"/>
        <w:ind w:left="360"/>
      </w:pPr>
      <w:r>
        <w:t xml:space="preserve"> General ledger with accounts: Sales Revenue, Rental Income, Commission Income, Tax Payable, Bank Accounts, Cash.</w:t>
      </w:r>
    </w:p>
    <w:p>
      <w:pPr>
        <w:pStyle w:val="ListBullet"/>
        <w:spacing w:before="0" w:after="60"/>
        <w:ind w:left="360"/>
      </w:pPr>
      <w:r>
        <w:t xml:space="preserve"> Automatic posting of transactions from sales/rental modules.</w:t>
      </w:r>
    </w:p>
    <w:p>
      <w:pPr>
        <w:pStyle w:val="ListBullet"/>
        <w:spacing w:before="0" w:after="60"/>
        <w:ind w:left="360"/>
      </w:pPr>
      <w:r>
        <w:t xml:space="preserve"> Generate tax reports for ERCA (VAT, capital gains, withholding).</w:t>
      </w:r>
    </w:p>
    <w:p>
      <w:pPr>
        <w:pStyle w:val="ListBullet"/>
        <w:spacing w:before="0" w:after="60"/>
        <w:ind w:left="360"/>
      </w:pPr>
      <w:r>
        <w:t xml:space="preserve"> Bank reconciliation tool.</w:t>
      </w:r>
    </w:p>
    <w:p>
      <w:pPr>
        <w:keepNext/>
        <w:spacing w:before="200" w:after="40"/>
      </w:pPr>
      <w:r>
        <w:rPr>
          <w:rFonts w:ascii="Calibri" w:hAnsi="Calibri"/>
          <w:b/>
          <w:color w:val="2D3748"/>
          <w:sz w:val="22"/>
        </w:rPr>
        <w:t>6. Reporting &amp; Analytics</w:t>
      </w:r>
    </w:p>
    <w:p>
      <w:pPr>
        <w:pStyle w:val="ListBullet"/>
        <w:spacing w:before="0" w:after="60"/>
        <w:ind w:left="360"/>
      </w:pPr>
      <w:r>
        <w:t xml:space="preserve"> Monthly sales report (number of properties sold, total value, commission earned).</w:t>
      </w:r>
    </w:p>
    <w:p>
      <w:pPr>
        <w:pStyle w:val="ListBullet"/>
        <w:spacing w:before="0" w:after="60"/>
        <w:ind w:left="360"/>
      </w:pPr>
      <w:r>
        <w:t xml:space="preserve"> Rental occupancy and collection report.</w:t>
      </w:r>
    </w:p>
    <w:p>
      <w:pPr>
        <w:pStyle w:val="ListBullet"/>
        <w:spacing w:before="0" w:after="60"/>
        <w:ind w:left="360"/>
      </w:pPr>
      <w:r>
        <w:t xml:space="preserve"> Tax liability summary.</w:t>
      </w:r>
    </w:p>
    <w:p>
      <w:pPr>
        <w:pStyle w:val="ListBullet"/>
        <w:spacing w:before="0" w:after="60"/>
        <w:ind w:left="360"/>
      </w:pPr>
      <w:r>
        <w:t xml:space="preserve"> Profit &amp; Loss statement.</w:t>
      </w:r>
    </w:p>
    <w:p>
      <w:pPr>
        <w:pStyle w:val="ListBullet"/>
        <w:spacing w:before="0" w:after="60"/>
        <w:ind w:left="360"/>
      </w:pPr>
      <w:r>
        <w:t xml:space="preserve"> Delala performance report (deals brought, commission paid).</w:t>
      </w:r>
    </w:p>
    <w:p>
      <w:pPr>
        <w:pStyle w:val="ListBullet"/>
        <w:spacing w:before="0" w:after="60"/>
        <w:ind w:left="360"/>
      </w:pPr>
      <w:r>
        <w:t xml:space="preserve"> Reports exportable to PDF/Excel; bilingual (Amharic/English).</w:t>
      </w:r>
    </w:p>
    <w:p>
      <w:pPr>
        <w:keepNext/>
        <w:spacing w:before="280" w:after="80"/>
      </w:pPr>
      <w:r>
        <w:rPr>
          <w:rFonts w:ascii="Calibri" w:hAnsi="Calibri"/>
          <w:b/>
          <w:color w:val="4A5568"/>
          <w:sz w:val="26"/>
        </w:rPr>
        <w:t>Non-Functional Requirements</w:t>
      </w:r>
    </w:p>
    <w:p>
      <w:pPr>
        <w:pStyle w:val="ListBullet"/>
        <w:spacing w:before="0" w:after="60"/>
        <w:ind w:left="360"/>
      </w:pPr>
      <w:r>
        <w:rPr>
          <w:b/>
        </w:rPr>
        <w:t>Localization:</w:t>
      </w:r>
      <w:r>
        <w:t xml:space="preserve"> Full Amharic language support for UI and reports; Ethiopian calendar (የኢትዮጵያ ዘመን አቆጣጠር) optional display.</w:t>
      </w:r>
    </w:p>
    <w:p>
      <w:pPr>
        <w:pStyle w:val="ListBullet"/>
        <w:spacing w:before="0" w:after="60"/>
        <w:ind w:left="360"/>
      </w:pPr>
      <w:r>
        <w:rPr>
          <w:b/>
        </w:rPr>
        <w:t>Performance:</w:t>
      </w:r>
      <w:r>
        <w:t xml:space="preserve"> System must handle 10,000+ properties and 50 concurrent users without degradation.</w:t>
      </w:r>
    </w:p>
    <w:p>
      <w:pPr>
        <w:pStyle w:val="ListBullet"/>
        <w:spacing w:before="0" w:after="60"/>
        <w:ind w:left="360"/>
      </w:pPr>
      <w:r>
        <w:rPr>
          <w:b/>
        </w:rPr>
        <w:t>Security:</w:t>
      </w:r>
      <w:r>
        <w:t xml:space="preserve"> Role-based access control; data encryption at rest and in transit; audit logs.</w:t>
      </w:r>
    </w:p>
    <w:p>
      <w:pPr>
        <w:pStyle w:val="ListBullet"/>
        <w:spacing w:before="0" w:after="60"/>
        <w:ind w:left="360"/>
      </w:pPr>
      <w:r>
        <w:rPr>
          <w:b/>
        </w:rPr>
        <w:t>Usability:</w:t>
      </w:r>
      <w:r>
        <w:t xml:space="preserve"> Simple interface for non-technical staff; minimal training required.</w:t>
      </w:r>
    </w:p>
    <w:p>
      <w:pPr>
        <w:pStyle w:val="ListBullet"/>
        <w:spacing w:before="0" w:after="60"/>
        <w:ind w:left="360"/>
      </w:pPr>
      <w:r>
        <w:rPr>
          <w:b/>
        </w:rPr>
        <w:t>Availability:</w:t>
      </w:r>
      <w:r>
        <w:t xml:space="preserve"> 99.5% uptime; offline mode for site visits (data sync when online).</w:t>
      </w:r>
    </w:p>
    <w:p>
      <w:pPr>
        <w:pStyle w:val="ListBullet"/>
        <w:spacing w:before="0" w:after="60"/>
        <w:ind w:left="360"/>
      </w:pPr>
      <w:r>
        <w:rPr>
          <w:b/>
        </w:rPr>
        <w:t>Compliance:</w:t>
      </w:r>
      <w:r>
        <w:t xml:space="preserve"> Must adhere to Ethiopian data protection laws (if any) and ERCA requirements.</w:t>
      </w:r>
    </w:p>
    <w:p>
      <w:pPr>
        <w:pStyle w:val="ListBullet"/>
        <w:spacing w:before="0" w:after="60"/>
        <w:ind w:left="360"/>
      </w:pPr>
      <w:r>
        <w:rPr>
          <w:b/>
        </w:rPr>
        <w:t>Integration:</w:t>
      </w:r>
      <w:r>
        <w:t xml:space="preserve"> Ability to export data in formats accepted by government systems (e.g., Excel for ERCA).</w:t>
      </w:r>
    </w:p>
    <w:p>
      <w:pPr>
        <w:keepNext/>
        <w:spacing w:before="280" w:after="80"/>
      </w:pPr>
      <w:r>
        <w:rPr>
          <w:rFonts w:ascii="Calibri" w:hAnsi="Calibri"/>
          <w:b/>
          <w:color w:val="4A5568"/>
          <w:sz w:val="26"/>
        </w:rPr>
        <w:t>Assumptions and Constraints</w:t>
      </w:r>
    </w:p>
    <w:p>
      <w:pPr>
        <w:keepNext/>
        <w:spacing w:before="200" w:after="40"/>
      </w:pPr>
      <w:r>
        <w:rPr>
          <w:rFonts w:ascii="Calibri" w:hAnsi="Calibri"/>
          <w:b/>
          <w:color w:val="2D3748"/>
          <w:sz w:val="22"/>
        </w:rPr>
        <w:t>Assumptions:</w:t>
      </w:r>
    </w:p>
    <w:p>
      <w:pPr>
        <w:pStyle w:val="ListBullet"/>
        <w:spacing w:before="0" w:after="60"/>
        <w:ind w:left="360"/>
      </w:pPr>
      <w:r>
        <w:t xml:space="preserve"> Users have basic computer literacy.</w:t>
      </w:r>
    </w:p>
    <w:p>
      <w:pPr>
        <w:pStyle w:val="ListBullet"/>
        <w:spacing w:before="0" w:after="60"/>
        <w:ind w:left="360"/>
      </w:pPr>
      <w:r>
        <w:t xml:space="preserve"> Internet connectivity may be intermittent; system should allow offline data entry.</w:t>
      </w:r>
    </w:p>
    <w:p>
      <w:pPr>
        <w:pStyle w:val="ListBullet"/>
        <w:spacing w:before="0" w:after="60"/>
        <w:ind w:left="360"/>
      </w:pPr>
      <w:r>
        <w:t xml:space="preserve"> Government title verification remains manual; ERP will track document status.</w:t>
      </w:r>
    </w:p>
    <w:p>
      <w:pPr>
        <w:keepNext/>
        <w:spacing w:before="200" w:after="40"/>
      </w:pPr>
      <w:r>
        <w:rPr>
          <w:rFonts w:ascii="Calibri" w:hAnsi="Calibri"/>
          <w:b/>
          <w:color w:val="2D3748"/>
          <w:sz w:val="22"/>
        </w:rPr>
        <w:t>Constraints:</w:t>
      </w:r>
    </w:p>
    <w:p>
      <w:pPr>
        <w:pStyle w:val="ListBullet"/>
        <w:spacing w:before="0" w:after="60"/>
        <w:ind w:left="360"/>
      </w:pPr>
      <w:r>
        <w:t xml:space="preserve"> Budget limited; open-source ERP platforms (e.g., ERPNext, Odoo) may be customized.</w:t>
      </w:r>
    </w:p>
    <w:p>
      <w:pPr>
        <w:pStyle w:val="ListBullet"/>
        <w:spacing w:before="0" w:after="60"/>
        <w:ind w:left="360"/>
      </w:pPr>
      <w:r>
        <w:t xml:space="preserve"> No automatic integration with Land Administration database initially; manual upload of scanned documents.</w:t>
      </w:r>
    </w:p>
    <w:p>
      <w:pPr>
        <w:pStyle w:val="ListBullet"/>
        <w:spacing w:before="0" w:after="60"/>
        <w:ind w:left="360"/>
      </w:pPr>
      <w:r>
        <w:t xml:space="preserve"> Exchange rate updates require manual input or daily batch import.</w:t>
      </w:r>
    </w:p>
    <w:p>
      <w:pPr>
        <w:keepNext/>
        <w:spacing w:before="360" w:after="120"/>
      </w:pPr>
      <w:r>
        <w:rPr>
          <w:rFonts w:ascii="Calibri Light" w:hAnsi="Calibri Light"/>
          <w:b/>
          <w:color w:val="1B365D"/>
          <w:sz w:val="32"/>
        </w:rPr>
        <w:t>3. Stakeholder Analysis Matrix</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2340"/>
        <w:gridCol w:w="2340"/>
        <w:gridCol w:w="2340"/>
        <w:gridCol w:w="2340"/>
      </w:tblGrid>
      <w:tr>
        <w:tc>
          <w:tcPr>
            <w:tcW w:type="dxa" w:w="2340"/>
            <w:shd w:fill="1B365D"/>
            <w:tcMar>
              <w:top w:w="100" w:type="dxa"/>
              <w:bottom w:w="100" w:type="dxa"/>
              <w:left w:w="100" w:type="dxa"/>
              <w:right w:w="100" w:type="dxa"/>
            </w:tcMar>
          </w:tcPr>
          <w:p>
            <w:pPr>
              <w:spacing w:after="40"/>
              <w:jc w:val="left"/>
            </w:pPr>
            <w:r>
              <w:rPr>
                <w:b/>
                <w:color w:val="FFFFFF"/>
              </w:rPr>
              <w:t>Stakeholder</w:t>
            </w:r>
          </w:p>
        </w:tc>
        <w:tc>
          <w:tcPr>
            <w:tcW w:type="dxa" w:w="2340"/>
            <w:shd w:fill="1B365D"/>
            <w:tcMar>
              <w:top w:w="100" w:type="dxa"/>
              <w:bottom w:w="100" w:type="dxa"/>
              <w:left w:w="100" w:type="dxa"/>
              <w:right w:w="100" w:type="dxa"/>
            </w:tcMar>
          </w:tcPr>
          <w:p>
            <w:pPr>
              <w:spacing w:after="40"/>
              <w:jc w:val="left"/>
            </w:pPr>
            <w:r>
              <w:rPr>
                <w:b/>
                <w:color w:val="FFFFFF"/>
              </w:rPr>
              <w:t>Role</w:t>
            </w:r>
          </w:p>
        </w:tc>
        <w:tc>
          <w:tcPr>
            <w:tcW w:type="dxa" w:w="2340"/>
            <w:shd w:fill="1B365D"/>
            <w:tcMar>
              <w:top w:w="100" w:type="dxa"/>
              <w:bottom w:w="100" w:type="dxa"/>
              <w:left w:w="100" w:type="dxa"/>
              <w:right w:w="100" w:type="dxa"/>
            </w:tcMar>
          </w:tcPr>
          <w:p>
            <w:pPr>
              <w:spacing w:after="40"/>
              <w:jc w:val="left"/>
            </w:pPr>
            <w:r>
              <w:rPr>
                <w:b/>
                <w:color w:val="FFFFFF"/>
              </w:rPr>
              <w:t>Interest in ERP</w:t>
            </w:r>
          </w:p>
        </w:tc>
        <w:tc>
          <w:tcPr>
            <w:tcW w:type="dxa" w:w="2340"/>
            <w:shd w:fill="1B365D"/>
            <w:tcMar>
              <w:top w:w="100" w:type="dxa"/>
              <w:bottom w:w="100" w:type="dxa"/>
              <w:left w:w="100" w:type="dxa"/>
              <w:right w:w="100" w:type="dxa"/>
            </w:tcMar>
          </w:tcPr>
          <w:p>
            <w:pPr>
              <w:spacing w:after="40"/>
              <w:jc w:val="left"/>
            </w:pPr>
            <w:r>
              <w:rPr>
                <w:b/>
                <w:color w:val="FFFFFF"/>
              </w:rPr>
              <w:t>Influence / Key Requirements</w:t>
            </w:r>
          </w:p>
        </w:tc>
      </w:tr>
      <w:tr>
        <w:tc>
          <w:tcPr>
            <w:tcW w:type="dxa" w:w="2160"/>
            <w:tcMar>
              <w:top w:w="60" w:type="dxa"/>
              <w:bottom w:w="60" w:type="dxa"/>
              <w:left w:w="80" w:type="dxa"/>
              <w:right w:w="80" w:type="dxa"/>
            </w:tcMar>
          </w:tcPr>
          <w:p>
            <w:pPr>
              <w:spacing w:after="40"/>
            </w:pPr>
            <w:r>
              <w:t>Agency Owner/CEO</w:t>
            </w:r>
          </w:p>
        </w:tc>
        <w:tc>
          <w:tcPr>
            <w:tcW w:type="dxa" w:w="1872"/>
            <w:tcMar>
              <w:top w:w="60" w:type="dxa"/>
              <w:bottom w:w="60" w:type="dxa"/>
              <w:left w:w="80" w:type="dxa"/>
              <w:right w:w="80" w:type="dxa"/>
            </w:tcMar>
          </w:tcPr>
          <w:p>
            <w:pPr>
              <w:spacing w:after="40"/>
            </w:pPr>
            <w:r>
              <w:t>Final decision maker</w:t>
            </w:r>
          </w:p>
        </w:tc>
        <w:tc>
          <w:tcPr>
            <w:tcW w:type="dxa" w:w="2448"/>
            <w:tcMar>
              <w:top w:w="60" w:type="dxa"/>
              <w:bottom w:w="60" w:type="dxa"/>
              <w:left w:w="80" w:type="dxa"/>
              <w:right w:w="80" w:type="dxa"/>
            </w:tcMar>
          </w:tcPr>
          <w:p>
            <w:pPr>
              <w:spacing w:after="40"/>
            </w:pPr>
            <w:r>
              <w:t>Overall profitability, compliance</w:t>
            </w:r>
          </w:p>
        </w:tc>
        <w:tc>
          <w:tcPr>
            <w:tcW w:type="dxa" w:w="2880"/>
            <w:tcMar>
              <w:top w:w="60" w:type="dxa"/>
              <w:bottom w:w="60" w:type="dxa"/>
              <w:left w:w="80" w:type="dxa"/>
              <w:right w:w="80" w:type="dxa"/>
            </w:tcMar>
          </w:tcPr>
          <w:p>
            <w:pPr>
              <w:spacing w:after="40"/>
            </w:pPr>
            <w:r>
              <w:t>High — Dashboard with KPIs; profit reports; tax compliance.</w:t>
            </w:r>
          </w:p>
        </w:tc>
      </w:tr>
      <w:tr>
        <w:tc>
          <w:tcPr>
            <w:tcW w:type="dxa" w:w="2160"/>
            <w:shd w:fill="F7FAFC"/>
            <w:tcMar>
              <w:top w:w="60" w:type="dxa"/>
              <w:bottom w:w="60" w:type="dxa"/>
              <w:left w:w="80" w:type="dxa"/>
              <w:right w:w="80" w:type="dxa"/>
            </w:tcMar>
          </w:tcPr>
          <w:p>
            <w:pPr>
              <w:spacing w:after="40"/>
            </w:pPr>
            <w:r>
              <w:t>Sales Manager</w:t>
            </w:r>
          </w:p>
        </w:tc>
        <w:tc>
          <w:tcPr>
            <w:tcW w:type="dxa" w:w="1872"/>
            <w:shd w:fill="F7FAFC"/>
            <w:tcMar>
              <w:top w:w="60" w:type="dxa"/>
              <w:bottom w:w="60" w:type="dxa"/>
              <w:left w:w="80" w:type="dxa"/>
              <w:right w:w="80" w:type="dxa"/>
            </w:tcMar>
          </w:tcPr>
          <w:p>
            <w:pPr>
              <w:spacing w:after="40"/>
            </w:pPr>
            <w:r>
              <w:t>Oversees sales team</w:t>
            </w:r>
          </w:p>
        </w:tc>
        <w:tc>
          <w:tcPr>
            <w:tcW w:type="dxa" w:w="2448"/>
            <w:shd w:fill="F7FAFC"/>
            <w:tcMar>
              <w:top w:w="60" w:type="dxa"/>
              <w:bottom w:w="60" w:type="dxa"/>
              <w:left w:w="80" w:type="dxa"/>
              <w:right w:w="80" w:type="dxa"/>
            </w:tcMar>
          </w:tcPr>
          <w:p>
            <w:pPr>
              <w:spacing w:after="40"/>
            </w:pPr>
            <w:r>
              <w:t>Track performance, streamline sales process</w:t>
            </w:r>
          </w:p>
        </w:tc>
        <w:tc>
          <w:tcPr>
            <w:tcW w:type="dxa" w:w="2880"/>
            <w:shd w:fill="F7FAFC"/>
            <w:tcMar>
              <w:top w:w="60" w:type="dxa"/>
              <w:bottom w:w="60" w:type="dxa"/>
              <w:left w:w="80" w:type="dxa"/>
              <w:right w:w="80" w:type="dxa"/>
            </w:tcMar>
          </w:tcPr>
          <w:p>
            <w:pPr>
              <w:spacing w:after="40"/>
            </w:pPr>
            <w:r>
              <w:t>High — Sales pipeline, commission reports, client follow-ups.</w:t>
            </w:r>
          </w:p>
        </w:tc>
      </w:tr>
      <w:tr>
        <w:tc>
          <w:tcPr>
            <w:tcW w:type="dxa" w:w="2160"/>
            <w:tcMar>
              <w:top w:w="60" w:type="dxa"/>
              <w:bottom w:w="60" w:type="dxa"/>
              <w:left w:w="80" w:type="dxa"/>
              <w:right w:w="80" w:type="dxa"/>
            </w:tcMar>
          </w:tcPr>
          <w:p>
            <w:pPr>
              <w:spacing w:after="40"/>
            </w:pPr>
            <w:r>
              <w:t>Sales Agents</w:t>
            </w:r>
          </w:p>
        </w:tc>
        <w:tc>
          <w:tcPr>
            <w:tcW w:type="dxa" w:w="1872"/>
            <w:tcMar>
              <w:top w:w="60" w:type="dxa"/>
              <w:bottom w:w="60" w:type="dxa"/>
              <w:left w:w="80" w:type="dxa"/>
              <w:right w:w="80" w:type="dxa"/>
            </w:tcMar>
          </w:tcPr>
          <w:p>
            <w:pPr>
              <w:spacing w:after="40"/>
            </w:pPr>
            <w:r>
              <w:t>Day-to-day sales</w:t>
            </w:r>
          </w:p>
        </w:tc>
        <w:tc>
          <w:tcPr>
            <w:tcW w:type="dxa" w:w="2448"/>
            <w:tcMar>
              <w:top w:w="60" w:type="dxa"/>
              <w:bottom w:w="60" w:type="dxa"/>
              <w:left w:w="80" w:type="dxa"/>
              <w:right w:w="80" w:type="dxa"/>
            </w:tcMar>
          </w:tcPr>
          <w:p>
            <w:pPr>
              <w:spacing w:after="40"/>
            </w:pPr>
            <w:r>
              <w:t>Quick property search, client management, agreement generation</w:t>
            </w:r>
          </w:p>
        </w:tc>
        <w:tc>
          <w:tcPr>
            <w:tcW w:type="dxa" w:w="2880"/>
            <w:tcMar>
              <w:top w:w="60" w:type="dxa"/>
              <w:bottom w:w="60" w:type="dxa"/>
              <w:left w:w="80" w:type="dxa"/>
              <w:right w:w="80" w:type="dxa"/>
            </w:tcMar>
          </w:tcPr>
          <w:p>
            <w:pPr>
              <w:spacing w:after="40"/>
            </w:pPr>
            <w:r>
              <w:t>Medium — Easy data entry; mobile access; automated calculations.</w:t>
            </w:r>
          </w:p>
        </w:tc>
      </w:tr>
      <w:tr>
        <w:tc>
          <w:tcPr>
            <w:tcW w:type="dxa" w:w="2160"/>
            <w:shd w:fill="F7FAFC"/>
            <w:tcMar>
              <w:top w:w="60" w:type="dxa"/>
              <w:bottom w:w="60" w:type="dxa"/>
              <w:left w:w="80" w:type="dxa"/>
              <w:right w:w="80" w:type="dxa"/>
            </w:tcMar>
          </w:tcPr>
          <w:p>
            <w:pPr>
              <w:spacing w:after="40"/>
            </w:pPr>
            <w:r>
              <w:t>Finance Officer</w:t>
            </w:r>
          </w:p>
        </w:tc>
        <w:tc>
          <w:tcPr>
            <w:tcW w:type="dxa" w:w="1872"/>
            <w:shd w:fill="F7FAFC"/>
            <w:tcMar>
              <w:top w:w="60" w:type="dxa"/>
              <w:bottom w:w="60" w:type="dxa"/>
              <w:left w:w="80" w:type="dxa"/>
              <w:right w:w="80" w:type="dxa"/>
            </w:tcMar>
          </w:tcPr>
          <w:p>
            <w:pPr>
              <w:spacing w:after="40"/>
            </w:pPr>
            <w:r>
              <w:t>Manages payments, taxes</w:t>
            </w:r>
          </w:p>
        </w:tc>
        <w:tc>
          <w:tcPr>
            <w:tcW w:type="dxa" w:w="2448"/>
            <w:shd w:fill="F7FAFC"/>
            <w:tcMar>
              <w:top w:w="60" w:type="dxa"/>
              <w:bottom w:w="60" w:type="dxa"/>
              <w:left w:w="80" w:type="dxa"/>
              <w:right w:w="80" w:type="dxa"/>
            </w:tcMar>
          </w:tcPr>
          <w:p>
            <w:pPr>
              <w:spacing w:after="40"/>
            </w:pPr>
            <w:r>
              <w:t>Accurate financial records, tax calculations</w:t>
            </w:r>
          </w:p>
        </w:tc>
        <w:tc>
          <w:tcPr>
            <w:tcW w:type="dxa" w:w="2880"/>
            <w:shd w:fill="F7FAFC"/>
            <w:tcMar>
              <w:top w:w="60" w:type="dxa"/>
              <w:bottom w:w="60" w:type="dxa"/>
              <w:left w:w="80" w:type="dxa"/>
              <w:right w:w="80" w:type="dxa"/>
            </w:tcMar>
          </w:tcPr>
          <w:p>
            <w:pPr>
              <w:spacing w:after="40"/>
            </w:pPr>
            <w:r>
              <w:t>High — Multi-currency, bank reconciliation, ERCA reports.</w:t>
            </w:r>
          </w:p>
        </w:tc>
      </w:tr>
      <w:tr>
        <w:tc>
          <w:tcPr>
            <w:tcW w:type="dxa" w:w="2160"/>
            <w:tcMar>
              <w:top w:w="60" w:type="dxa"/>
              <w:bottom w:w="60" w:type="dxa"/>
              <w:left w:w="80" w:type="dxa"/>
              <w:right w:w="80" w:type="dxa"/>
            </w:tcMar>
          </w:tcPr>
          <w:p>
            <w:pPr>
              <w:spacing w:after="40"/>
            </w:pPr>
            <w:r>
              <w:t>Legal/Compliance Officer</w:t>
            </w:r>
          </w:p>
        </w:tc>
        <w:tc>
          <w:tcPr>
            <w:tcW w:type="dxa" w:w="1872"/>
            <w:tcMar>
              <w:top w:w="60" w:type="dxa"/>
              <w:bottom w:w="60" w:type="dxa"/>
              <w:left w:w="80" w:type="dxa"/>
              <w:right w:w="80" w:type="dxa"/>
            </w:tcMar>
          </w:tcPr>
          <w:p>
            <w:pPr>
              <w:spacing w:after="40"/>
            </w:pPr>
            <w:r>
              <w:t>Ensures title validity</w:t>
            </w:r>
          </w:p>
        </w:tc>
        <w:tc>
          <w:tcPr>
            <w:tcW w:type="dxa" w:w="2448"/>
            <w:tcMar>
              <w:top w:w="60" w:type="dxa"/>
              <w:bottom w:w="60" w:type="dxa"/>
              <w:left w:w="80" w:type="dxa"/>
              <w:right w:w="80" w:type="dxa"/>
            </w:tcMar>
          </w:tcPr>
          <w:p>
            <w:pPr>
              <w:spacing w:after="40"/>
            </w:pPr>
            <w:r>
              <w:t>Document management, workflow tracking</w:t>
            </w:r>
          </w:p>
        </w:tc>
        <w:tc>
          <w:tcPr>
            <w:tcW w:type="dxa" w:w="2880"/>
            <w:tcMar>
              <w:top w:w="60" w:type="dxa"/>
              <w:bottom w:w="60" w:type="dxa"/>
              <w:left w:w="80" w:type="dxa"/>
              <w:right w:w="80" w:type="dxa"/>
            </w:tcMar>
          </w:tcPr>
          <w:p>
            <w:pPr>
              <w:spacing w:after="40"/>
            </w:pPr>
            <w:r>
              <w:t>High — Secure document storage, audit trail, status flags.</w:t>
            </w:r>
          </w:p>
        </w:tc>
      </w:tr>
      <w:tr>
        <w:tc>
          <w:tcPr>
            <w:tcW w:type="dxa" w:w="2160"/>
            <w:shd w:fill="F7FAFC"/>
            <w:tcMar>
              <w:top w:w="60" w:type="dxa"/>
              <w:bottom w:w="60" w:type="dxa"/>
              <w:left w:w="80" w:type="dxa"/>
              <w:right w:w="80" w:type="dxa"/>
            </w:tcMar>
          </w:tcPr>
          <w:p>
            <w:pPr>
              <w:spacing w:after="40"/>
            </w:pPr>
            <w:r>
              <w:t>Property Manager</w:t>
            </w:r>
          </w:p>
        </w:tc>
        <w:tc>
          <w:tcPr>
            <w:tcW w:type="dxa" w:w="1872"/>
            <w:shd w:fill="F7FAFC"/>
            <w:tcMar>
              <w:top w:w="60" w:type="dxa"/>
              <w:bottom w:w="60" w:type="dxa"/>
              <w:left w:w="80" w:type="dxa"/>
              <w:right w:w="80" w:type="dxa"/>
            </w:tcMar>
          </w:tcPr>
          <w:p>
            <w:pPr>
              <w:spacing w:after="40"/>
            </w:pPr>
            <w:r>
              <w:t>Handles rentals/maintenance</w:t>
            </w:r>
          </w:p>
        </w:tc>
        <w:tc>
          <w:tcPr>
            <w:tcW w:type="dxa" w:w="2448"/>
            <w:shd w:fill="F7FAFC"/>
            <w:tcMar>
              <w:top w:w="60" w:type="dxa"/>
              <w:bottom w:w="60" w:type="dxa"/>
              <w:left w:w="80" w:type="dxa"/>
              <w:right w:w="80" w:type="dxa"/>
            </w:tcMar>
          </w:tcPr>
          <w:p>
            <w:pPr>
              <w:spacing w:after="40"/>
            </w:pPr>
            <w:r>
              <w:t>Rent tracking, maintenance requests</w:t>
            </w:r>
          </w:p>
        </w:tc>
        <w:tc>
          <w:tcPr>
            <w:tcW w:type="dxa" w:w="2880"/>
            <w:shd w:fill="F7FAFC"/>
            <w:tcMar>
              <w:top w:w="60" w:type="dxa"/>
              <w:bottom w:w="60" w:type="dxa"/>
              <w:left w:w="80" w:type="dxa"/>
              <w:right w:w="80" w:type="dxa"/>
            </w:tcMar>
          </w:tcPr>
          <w:p>
            <w:pPr>
              <w:spacing w:after="40"/>
            </w:pPr>
            <w:r>
              <w:t>Medium — Lease management, tenant communication, work orders.</w:t>
            </w:r>
          </w:p>
        </w:tc>
      </w:tr>
      <w:tr>
        <w:tc>
          <w:tcPr>
            <w:tcW w:type="dxa" w:w="2160"/>
            <w:tcMar>
              <w:top w:w="60" w:type="dxa"/>
              <w:bottom w:w="60" w:type="dxa"/>
              <w:left w:w="80" w:type="dxa"/>
              <w:right w:w="80" w:type="dxa"/>
            </w:tcMar>
          </w:tcPr>
          <w:p>
            <w:pPr>
              <w:spacing w:after="40"/>
            </w:pPr>
            <w:r>
              <w:t>IT Administrator</w:t>
            </w:r>
          </w:p>
        </w:tc>
        <w:tc>
          <w:tcPr>
            <w:tcW w:type="dxa" w:w="1872"/>
            <w:tcMar>
              <w:top w:w="60" w:type="dxa"/>
              <w:bottom w:w="60" w:type="dxa"/>
              <w:left w:w="80" w:type="dxa"/>
              <w:right w:w="80" w:type="dxa"/>
            </w:tcMar>
          </w:tcPr>
          <w:p>
            <w:pPr>
              <w:spacing w:after="40"/>
            </w:pPr>
            <w:r>
              <w:t>System maintenance</w:t>
            </w:r>
          </w:p>
        </w:tc>
        <w:tc>
          <w:tcPr>
            <w:tcW w:type="dxa" w:w="2448"/>
            <w:tcMar>
              <w:top w:w="60" w:type="dxa"/>
              <w:bottom w:w="60" w:type="dxa"/>
              <w:left w:w="80" w:type="dxa"/>
              <w:right w:w="80" w:type="dxa"/>
            </w:tcMar>
          </w:tcPr>
          <w:p>
            <w:pPr>
              <w:spacing w:after="40"/>
            </w:pPr>
            <w:r>
              <w:t>System stability, user management</w:t>
            </w:r>
          </w:p>
        </w:tc>
        <w:tc>
          <w:tcPr>
            <w:tcW w:type="dxa" w:w="2880"/>
            <w:tcMar>
              <w:top w:w="60" w:type="dxa"/>
              <w:bottom w:w="60" w:type="dxa"/>
              <w:left w:w="80" w:type="dxa"/>
              <w:right w:w="80" w:type="dxa"/>
            </w:tcMar>
          </w:tcPr>
          <w:p>
            <w:pPr>
              <w:spacing w:after="40"/>
            </w:pPr>
            <w:r>
              <w:t>Low — Backup/recovery, user roles, system logs.</w:t>
            </w:r>
          </w:p>
        </w:tc>
      </w:tr>
      <w:tr>
        <w:tc>
          <w:tcPr>
            <w:tcW w:type="dxa" w:w="2160"/>
            <w:shd w:fill="F7FAFC"/>
            <w:tcMar>
              <w:top w:w="60" w:type="dxa"/>
              <w:bottom w:w="60" w:type="dxa"/>
              <w:left w:w="80" w:type="dxa"/>
              <w:right w:w="80" w:type="dxa"/>
            </w:tcMar>
          </w:tcPr>
          <w:p>
            <w:pPr>
              <w:spacing w:after="40"/>
            </w:pPr>
            <w:r>
              <w:t>Buyers</w:t>
            </w:r>
          </w:p>
        </w:tc>
        <w:tc>
          <w:tcPr>
            <w:tcW w:type="dxa" w:w="1872"/>
            <w:shd w:fill="F7FAFC"/>
            <w:tcMar>
              <w:top w:w="60" w:type="dxa"/>
              <w:bottom w:w="60" w:type="dxa"/>
              <w:left w:w="80" w:type="dxa"/>
              <w:right w:w="80" w:type="dxa"/>
            </w:tcMar>
          </w:tcPr>
          <w:p>
            <w:pPr>
              <w:spacing w:after="40"/>
            </w:pPr>
            <w:r>
              <w:t>External</w:t>
            </w:r>
          </w:p>
        </w:tc>
        <w:tc>
          <w:tcPr>
            <w:tcW w:type="dxa" w:w="2448"/>
            <w:shd w:fill="F7FAFC"/>
            <w:tcMar>
              <w:top w:w="60" w:type="dxa"/>
              <w:bottom w:w="60" w:type="dxa"/>
              <w:left w:w="80" w:type="dxa"/>
              <w:right w:w="80" w:type="dxa"/>
            </w:tcMar>
          </w:tcPr>
          <w:p>
            <w:pPr>
              <w:spacing w:after="40"/>
            </w:pPr>
            <w:r>
              <w:t>Transparent process, payment tracking</w:t>
            </w:r>
          </w:p>
        </w:tc>
        <w:tc>
          <w:tcPr>
            <w:tcW w:type="dxa" w:w="2880"/>
            <w:shd w:fill="F7FAFC"/>
            <w:tcMar>
              <w:top w:w="60" w:type="dxa"/>
              <w:bottom w:w="60" w:type="dxa"/>
              <w:left w:w="80" w:type="dxa"/>
              <w:right w:w="80" w:type="dxa"/>
            </w:tcMar>
          </w:tcPr>
          <w:p>
            <w:pPr>
              <w:spacing w:after="40"/>
            </w:pPr>
            <w:r>
              <w:t>Low — Payment receipts, status updates.</w:t>
            </w:r>
          </w:p>
        </w:tc>
      </w:tr>
      <w:tr>
        <w:tc>
          <w:tcPr>
            <w:tcW w:type="dxa" w:w="2160"/>
            <w:tcMar>
              <w:top w:w="60" w:type="dxa"/>
              <w:bottom w:w="60" w:type="dxa"/>
              <w:left w:w="80" w:type="dxa"/>
              <w:right w:w="80" w:type="dxa"/>
            </w:tcMar>
          </w:tcPr>
          <w:p>
            <w:pPr>
              <w:spacing w:after="40"/>
            </w:pPr>
            <w:r>
              <w:t>Sellers</w:t>
            </w:r>
          </w:p>
        </w:tc>
        <w:tc>
          <w:tcPr>
            <w:tcW w:type="dxa" w:w="1872"/>
            <w:tcMar>
              <w:top w:w="60" w:type="dxa"/>
              <w:bottom w:w="60" w:type="dxa"/>
              <w:left w:w="80" w:type="dxa"/>
              <w:right w:w="80" w:type="dxa"/>
            </w:tcMar>
          </w:tcPr>
          <w:p>
            <w:pPr>
              <w:spacing w:after="40"/>
            </w:pPr>
            <w:r>
              <w:t>External</w:t>
            </w:r>
          </w:p>
        </w:tc>
        <w:tc>
          <w:tcPr>
            <w:tcW w:type="dxa" w:w="2448"/>
            <w:tcMar>
              <w:top w:w="60" w:type="dxa"/>
              <w:bottom w:w="60" w:type="dxa"/>
              <w:left w:w="80" w:type="dxa"/>
              <w:right w:w="80" w:type="dxa"/>
            </w:tcMar>
          </w:tcPr>
          <w:p>
            <w:pPr>
              <w:spacing w:after="40"/>
            </w:pPr>
            <w:r>
              <w:t>Ensure timely payment, tax compliance</w:t>
            </w:r>
          </w:p>
        </w:tc>
        <w:tc>
          <w:tcPr>
            <w:tcW w:type="dxa" w:w="2880"/>
            <w:tcMar>
              <w:top w:w="60" w:type="dxa"/>
              <w:bottom w:w="60" w:type="dxa"/>
              <w:left w:w="80" w:type="dxa"/>
              <w:right w:w="80" w:type="dxa"/>
            </w:tcMar>
          </w:tcPr>
          <w:p>
            <w:pPr>
              <w:spacing w:after="40"/>
            </w:pPr>
            <w:r>
              <w:t>Low — Clear tax calculations, transfer status.</w:t>
            </w:r>
          </w:p>
        </w:tc>
      </w:tr>
      <w:tr>
        <w:tc>
          <w:tcPr>
            <w:tcW w:type="dxa" w:w="2160"/>
            <w:shd w:fill="F7FAFC"/>
            <w:tcMar>
              <w:top w:w="60" w:type="dxa"/>
              <w:bottom w:w="60" w:type="dxa"/>
              <w:left w:w="80" w:type="dxa"/>
              <w:right w:w="80" w:type="dxa"/>
            </w:tcMar>
          </w:tcPr>
          <w:p>
            <w:pPr>
              <w:spacing w:after="40"/>
            </w:pPr>
            <w:r>
              <w:t>Delalas</w:t>
            </w:r>
          </w:p>
        </w:tc>
        <w:tc>
          <w:tcPr>
            <w:tcW w:type="dxa" w:w="1872"/>
            <w:shd w:fill="F7FAFC"/>
            <w:tcMar>
              <w:top w:w="60" w:type="dxa"/>
              <w:bottom w:w="60" w:type="dxa"/>
              <w:left w:w="80" w:type="dxa"/>
              <w:right w:w="80" w:type="dxa"/>
            </w:tcMar>
          </w:tcPr>
          <w:p>
            <w:pPr>
              <w:spacing w:after="40"/>
            </w:pPr>
            <w:r>
              <w:t>External brokers</w:t>
            </w:r>
          </w:p>
        </w:tc>
        <w:tc>
          <w:tcPr>
            <w:tcW w:type="dxa" w:w="2448"/>
            <w:shd w:fill="F7FAFC"/>
            <w:tcMar>
              <w:top w:w="60" w:type="dxa"/>
              <w:bottom w:w="60" w:type="dxa"/>
              <w:left w:w="80" w:type="dxa"/>
              <w:right w:w="80" w:type="dxa"/>
            </w:tcMar>
          </w:tcPr>
          <w:p>
            <w:pPr>
              <w:spacing w:after="40"/>
            </w:pPr>
            <w:r>
              <w:t>Commission tracking, deal registration</w:t>
            </w:r>
          </w:p>
        </w:tc>
        <w:tc>
          <w:tcPr>
            <w:tcW w:type="dxa" w:w="2880"/>
            <w:shd w:fill="F7FAFC"/>
            <w:tcMar>
              <w:top w:w="60" w:type="dxa"/>
              <w:bottom w:w="60" w:type="dxa"/>
              <w:left w:w="80" w:type="dxa"/>
              <w:right w:w="80" w:type="dxa"/>
            </w:tcMar>
          </w:tcPr>
          <w:p>
            <w:pPr>
              <w:spacing w:after="40"/>
            </w:pPr>
            <w:r>
              <w:t>Medium — Commission statements, deal visibility.</w:t>
            </w:r>
          </w:p>
        </w:tc>
      </w:tr>
      <w:tr>
        <w:tc>
          <w:tcPr>
            <w:tcW w:type="dxa" w:w="2160"/>
            <w:tcMar>
              <w:top w:w="60" w:type="dxa"/>
              <w:bottom w:w="60" w:type="dxa"/>
              <w:left w:w="80" w:type="dxa"/>
              <w:right w:w="80" w:type="dxa"/>
            </w:tcMar>
          </w:tcPr>
          <w:p>
            <w:pPr>
              <w:spacing w:after="40"/>
            </w:pPr>
            <w:r>
              <w:t>Banks / ERCA / Land Admin</w:t>
            </w:r>
          </w:p>
        </w:tc>
        <w:tc>
          <w:tcPr>
            <w:tcW w:type="dxa" w:w="1872"/>
            <w:tcMar>
              <w:top w:w="60" w:type="dxa"/>
              <w:bottom w:w="60" w:type="dxa"/>
              <w:left w:w="80" w:type="dxa"/>
              <w:right w:w="80" w:type="dxa"/>
            </w:tcMar>
          </w:tcPr>
          <w:p>
            <w:pPr>
              <w:spacing w:after="40"/>
            </w:pPr>
            <w:r>
              <w:t>Payment / Tax / Title Authority</w:t>
            </w:r>
          </w:p>
        </w:tc>
        <w:tc>
          <w:tcPr>
            <w:tcW w:type="dxa" w:w="2448"/>
            <w:tcMar>
              <w:top w:w="60" w:type="dxa"/>
              <w:bottom w:w="60" w:type="dxa"/>
              <w:left w:w="80" w:type="dxa"/>
              <w:right w:w="80" w:type="dxa"/>
            </w:tcMar>
          </w:tcPr>
          <w:p>
            <w:pPr>
              <w:spacing w:after="40"/>
            </w:pPr>
            <w:r>
              <w:t>Transaction records, regulatory reporting, title compliance</w:t>
            </w:r>
          </w:p>
        </w:tc>
        <w:tc>
          <w:tcPr>
            <w:tcW w:type="dxa" w:w="2880"/>
            <w:tcMar>
              <w:top w:w="60" w:type="dxa"/>
              <w:bottom w:w="60" w:type="dxa"/>
              <w:left w:w="80" w:type="dxa"/>
              <w:right w:w="80" w:type="dxa"/>
            </w:tcMar>
          </w:tcPr>
          <w:p>
            <w:pPr>
              <w:spacing w:after="40"/>
            </w:pPr>
            <w:r>
              <w:t>High (regulatory) — Standardized export formats, document checklists, status updates.</w:t>
            </w:r>
          </w:p>
        </w:tc>
      </w:tr>
    </w:tbl>
    <w:p>
      <w:pPr>
        <w:keepNext/>
        <w:spacing w:before="360" w:after="120"/>
      </w:pPr>
      <w:r>
        <w:rPr>
          <w:rFonts w:ascii="Calibri Light" w:hAnsi="Calibri Light"/>
          <w:b/>
          <w:color w:val="1B365D"/>
          <w:sz w:val="32"/>
        </w:rPr>
        <w:t>4. Risk Register</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1872"/>
        <w:gridCol w:w="1872"/>
        <w:gridCol w:w="1872"/>
        <w:gridCol w:w="1872"/>
        <w:gridCol w:w="1872"/>
      </w:tblGrid>
      <w:tr>
        <w:tc>
          <w:tcPr>
            <w:tcW w:type="dxa" w:w="1872"/>
            <w:shd w:fill="1B365D"/>
            <w:tcMar>
              <w:top w:w="100" w:type="dxa"/>
              <w:bottom w:w="100" w:type="dxa"/>
              <w:left w:w="80" w:type="dxa"/>
              <w:right w:w="80" w:type="dxa"/>
            </w:tcMar>
          </w:tcPr>
          <w:p>
            <w:pPr>
              <w:spacing w:after="40"/>
            </w:pPr>
            <w:r>
              <w:rPr>
                <w:b/>
                <w:color w:val="FFFFFF"/>
              </w:rPr>
              <w:t>ID</w:t>
            </w:r>
          </w:p>
        </w:tc>
        <w:tc>
          <w:tcPr>
            <w:tcW w:type="dxa" w:w="1872"/>
            <w:shd w:fill="1B365D"/>
            <w:tcMar>
              <w:top w:w="100" w:type="dxa"/>
              <w:bottom w:w="100" w:type="dxa"/>
              <w:left w:w="80" w:type="dxa"/>
              <w:right w:w="80" w:type="dxa"/>
            </w:tcMar>
          </w:tcPr>
          <w:p>
            <w:pPr>
              <w:spacing w:after="40"/>
            </w:pPr>
            <w:r>
              <w:rPr>
                <w:b/>
                <w:color w:val="FFFFFF"/>
              </w:rPr>
              <w:t>Risk Description</w:t>
            </w:r>
          </w:p>
        </w:tc>
        <w:tc>
          <w:tcPr>
            <w:tcW w:type="dxa" w:w="1872"/>
            <w:shd w:fill="1B365D"/>
            <w:tcMar>
              <w:top w:w="100" w:type="dxa"/>
              <w:bottom w:w="100" w:type="dxa"/>
              <w:left w:w="80" w:type="dxa"/>
              <w:right w:w="80" w:type="dxa"/>
            </w:tcMar>
          </w:tcPr>
          <w:p>
            <w:pPr>
              <w:spacing w:after="40"/>
            </w:pPr>
            <w:r>
              <w:rPr>
                <w:b/>
                <w:color w:val="FFFFFF"/>
              </w:rPr>
              <w:t>Category</w:t>
            </w:r>
          </w:p>
        </w:tc>
        <w:tc>
          <w:tcPr>
            <w:tcW w:type="dxa" w:w="1872"/>
            <w:shd w:fill="1B365D"/>
            <w:tcMar>
              <w:top w:w="100" w:type="dxa"/>
              <w:bottom w:w="100" w:type="dxa"/>
              <w:left w:w="80" w:type="dxa"/>
              <w:right w:w="80" w:type="dxa"/>
            </w:tcMar>
          </w:tcPr>
          <w:p>
            <w:pPr>
              <w:spacing w:after="40"/>
            </w:pPr>
            <w:r>
              <w:rPr>
                <w:b/>
                <w:color w:val="FFFFFF"/>
              </w:rPr>
              <w:t>L/I</w:t>
            </w:r>
          </w:p>
        </w:tc>
        <w:tc>
          <w:tcPr>
            <w:tcW w:type="dxa" w:w="1872"/>
            <w:shd w:fill="1B365D"/>
            <w:tcMar>
              <w:top w:w="100" w:type="dxa"/>
              <w:bottom w:w="100" w:type="dxa"/>
              <w:left w:w="80" w:type="dxa"/>
              <w:right w:w="80" w:type="dxa"/>
            </w:tcMar>
          </w:tcPr>
          <w:p>
            <w:pPr>
              <w:spacing w:after="40"/>
            </w:pPr>
            <w:r>
              <w:rPr>
                <w:b/>
                <w:color w:val="FFFFFF"/>
              </w:rPr>
              <w:t>Mitigation Strategy</w:t>
            </w:r>
          </w:p>
        </w:tc>
      </w:tr>
      <w:tr>
        <w:tc>
          <w:tcPr>
            <w:tcW w:type="dxa" w:w="720"/>
            <w:tcMar>
              <w:top w:w="60" w:type="dxa"/>
              <w:bottom w:w="60" w:type="dxa"/>
              <w:left w:w="60" w:type="dxa"/>
              <w:right w:w="60" w:type="dxa"/>
            </w:tcMar>
          </w:tcPr>
          <w:p>
            <w:pPr>
              <w:spacing w:after="40"/>
            </w:pPr>
            <w:r>
              <w:t>R1</w:t>
            </w:r>
          </w:p>
        </w:tc>
        <w:tc>
          <w:tcPr>
            <w:tcW w:type="dxa" w:w="2592"/>
            <w:tcMar>
              <w:top w:w="60" w:type="dxa"/>
              <w:bottom w:w="60" w:type="dxa"/>
              <w:left w:w="60" w:type="dxa"/>
              <w:right w:w="60" w:type="dxa"/>
            </w:tcMar>
          </w:tcPr>
          <w:p>
            <w:pPr>
              <w:spacing w:after="40"/>
            </w:pPr>
            <w:r>
              <w:t>Title disputes after sale due to forged documents</w:t>
            </w:r>
          </w:p>
        </w:tc>
        <w:tc>
          <w:tcPr>
            <w:tcW w:type="dxa" w:w="1296"/>
            <w:tcMar>
              <w:top w:w="60" w:type="dxa"/>
              <w:bottom w:w="60" w:type="dxa"/>
              <w:left w:w="60" w:type="dxa"/>
              <w:right w:w="60" w:type="dxa"/>
            </w:tcMar>
          </w:tcPr>
          <w:p>
            <w:pPr>
              <w:spacing w:after="40"/>
            </w:pPr>
            <w:r>
              <w:t>Legal</w:t>
            </w:r>
          </w:p>
        </w:tc>
        <w:tc>
          <w:tcPr>
            <w:tcW w:type="dxa" w:w="1152"/>
            <w:tcMar>
              <w:top w:w="60" w:type="dxa"/>
              <w:bottom w:w="60" w:type="dxa"/>
              <w:left w:w="60" w:type="dxa"/>
              <w:right w:w="60" w:type="dxa"/>
            </w:tcMar>
          </w:tcPr>
          <w:p>
            <w:pPr>
              <w:spacing w:after="40"/>
            </w:pPr>
            <w:r>
              <w:t>Med / High</w:t>
            </w:r>
          </w:p>
        </w:tc>
        <w:tc>
          <w:tcPr>
            <w:tcW w:type="dxa" w:w="3600"/>
            <w:tcMar>
              <w:top w:w="60" w:type="dxa"/>
              <w:bottom w:w="60" w:type="dxa"/>
              <w:left w:w="60" w:type="dxa"/>
              <w:right w:w="60" w:type="dxa"/>
            </w:tcMar>
          </w:tcPr>
          <w:p>
            <w:pPr>
              <w:spacing w:after="40"/>
            </w:pPr>
            <w:r>
              <w:t>Implement rigorous document verification workflow; require original Title Deed and cross-check with Land Admin (manual); store high-res scans with timestamps.</w:t>
            </w:r>
          </w:p>
        </w:tc>
      </w:tr>
      <w:tr>
        <w:tc>
          <w:tcPr>
            <w:tcW w:type="dxa" w:w="720"/>
            <w:shd w:fill="F7FAFC"/>
            <w:tcMar>
              <w:top w:w="60" w:type="dxa"/>
              <w:bottom w:w="60" w:type="dxa"/>
              <w:left w:w="60" w:type="dxa"/>
              <w:right w:w="60" w:type="dxa"/>
            </w:tcMar>
          </w:tcPr>
          <w:p>
            <w:pPr>
              <w:spacing w:after="40"/>
            </w:pPr>
            <w:r>
              <w:t>R2</w:t>
            </w:r>
          </w:p>
        </w:tc>
        <w:tc>
          <w:tcPr>
            <w:tcW w:type="dxa" w:w="2592"/>
            <w:shd w:fill="F7FAFC"/>
            <w:tcMar>
              <w:top w:w="60" w:type="dxa"/>
              <w:bottom w:w="60" w:type="dxa"/>
              <w:left w:w="60" w:type="dxa"/>
              <w:right w:w="60" w:type="dxa"/>
            </w:tcMar>
          </w:tcPr>
          <w:p>
            <w:pPr>
              <w:spacing w:after="40"/>
            </w:pPr>
            <w:r>
              <w:t>Currency fluctuation (USD/ETB) affecting pricing</w:t>
            </w:r>
          </w:p>
        </w:tc>
        <w:tc>
          <w:tcPr>
            <w:tcW w:type="dxa" w:w="1296"/>
            <w:shd w:fill="F7FAFC"/>
            <w:tcMar>
              <w:top w:w="60" w:type="dxa"/>
              <w:bottom w:w="60" w:type="dxa"/>
              <w:left w:w="60" w:type="dxa"/>
              <w:right w:w="60" w:type="dxa"/>
            </w:tcMar>
          </w:tcPr>
          <w:p>
            <w:pPr>
              <w:spacing w:after="40"/>
            </w:pPr>
            <w:r>
              <w:t>Financial</w:t>
            </w:r>
          </w:p>
        </w:tc>
        <w:tc>
          <w:tcPr>
            <w:tcW w:type="dxa" w:w="1152"/>
            <w:shd w:fill="F7FAFC"/>
            <w:tcMar>
              <w:top w:w="60" w:type="dxa"/>
              <w:bottom w:w="60" w:type="dxa"/>
              <w:left w:w="60" w:type="dxa"/>
              <w:right w:w="60" w:type="dxa"/>
            </w:tcMar>
          </w:tcPr>
          <w:p>
            <w:pPr>
              <w:spacing w:after="40"/>
            </w:pPr>
            <w:r>
              <w:t>High / Med</w:t>
            </w:r>
          </w:p>
        </w:tc>
        <w:tc>
          <w:tcPr>
            <w:tcW w:type="dxa" w:w="3600"/>
            <w:shd w:fill="F7FAFC"/>
            <w:tcMar>
              <w:top w:w="60" w:type="dxa"/>
              <w:bottom w:w="60" w:type="dxa"/>
              <w:left w:w="60" w:type="dxa"/>
              <w:right w:w="60" w:type="dxa"/>
            </w:tcMar>
          </w:tcPr>
          <w:p>
            <w:pPr>
              <w:spacing w:after="40"/>
            </w:pPr>
            <w:r>
              <w:t>System maintains daily exchange rate; allow both currencies; generate reports in ETB with USD equivalent for management.</w:t>
            </w:r>
          </w:p>
        </w:tc>
      </w:tr>
      <w:tr>
        <w:tc>
          <w:tcPr>
            <w:tcW w:type="dxa" w:w="720"/>
            <w:tcMar>
              <w:top w:w="60" w:type="dxa"/>
              <w:bottom w:w="60" w:type="dxa"/>
              <w:left w:w="60" w:type="dxa"/>
              <w:right w:w="60" w:type="dxa"/>
            </w:tcMar>
          </w:tcPr>
          <w:p>
            <w:pPr>
              <w:spacing w:after="40"/>
            </w:pPr>
            <w:r>
              <w:t>R3</w:t>
            </w:r>
          </w:p>
        </w:tc>
        <w:tc>
          <w:tcPr>
            <w:tcW w:type="dxa" w:w="2592"/>
            <w:tcMar>
              <w:top w:w="60" w:type="dxa"/>
              <w:bottom w:w="60" w:type="dxa"/>
              <w:left w:w="60" w:type="dxa"/>
              <w:right w:w="60" w:type="dxa"/>
            </w:tcMar>
          </w:tcPr>
          <w:p>
            <w:pPr>
              <w:spacing w:after="40"/>
            </w:pPr>
            <w:r>
              <w:t>Late or default installment payments by buyers</w:t>
            </w:r>
          </w:p>
        </w:tc>
        <w:tc>
          <w:tcPr>
            <w:tcW w:type="dxa" w:w="1296"/>
            <w:tcMar>
              <w:top w:w="60" w:type="dxa"/>
              <w:bottom w:w="60" w:type="dxa"/>
              <w:left w:w="60" w:type="dxa"/>
              <w:right w:w="60" w:type="dxa"/>
            </w:tcMar>
          </w:tcPr>
          <w:p>
            <w:pPr>
              <w:spacing w:after="40"/>
            </w:pPr>
            <w:r>
              <w:t>Financial</w:t>
            </w:r>
          </w:p>
        </w:tc>
        <w:tc>
          <w:tcPr>
            <w:tcW w:type="dxa" w:w="1152"/>
            <w:tcMar>
              <w:top w:w="60" w:type="dxa"/>
              <w:bottom w:w="60" w:type="dxa"/>
              <w:left w:w="60" w:type="dxa"/>
              <w:right w:w="60" w:type="dxa"/>
            </w:tcMar>
          </w:tcPr>
          <w:p>
            <w:pPr>
              <w:spacing w:after="40"/>
            </w:pPr>
            <w:r>
              <w:t>High / High</w:t>
            </w:r>
          </w:p>
        </w:tc>
        <w:tc>
          <w:tcPr>
            <w:tcW w:type="dxa" w:w="3600"/>
            <w:tcMar>
              <w:top w:w="60" w:type="dxa"/>
              <w:bottom w:w="60" w:type="dxa"/>
              <w:left w:w="60" w:type="dxa"/>
              <w:right w:w="60" w:type="dxa"/>
            </w:tcMar>
          </w:tcPr>
          <w:p>
            <w:pPr>
              <w:spacing w:after="40"/>
            </w:pPr>
            <w:r>
              <w:t>Automated reminders; penalty clauses in agreement; system flags overdue accounts; management can initiate legal action.</w:t>
            </w:r>
          </w:p>
        </w:tc>
      </w:tr>
      <w:tr>
        <w:tc>
          <w:tcPr>
            <w:tcW w:type="dxa" w:w="720"/>
            <w:shd w:fill="F7FAFC"/>
            <w:tcMar>
              <w:top w:w="60" w:type="dxa"/>
              <w:bottom w:w="60" w:type="dxa"/>
              <w:left w:w="60" w:type="dxa"/>
              <w:right w:w="60" w:type="dxa"/>
            </w:tcMar>
          </w:tcPr>
          <w:p>
            <w:pPr>
              <w:spacing w:after="40"/>
            </w:pPr>
            <w:r>
              <w:t>R4</w:t>
            </w:r>
          </w:p>
        </w:tc>
        <w:tc>
          <w:tcPr>
            <w:tcW w:type="dxa" w:w="2592"/>
            <w:shd w:fill="F7FAFC"/>
            <w:tcMar>
              <w:top w:w="60" w:type="dxa"/>
              <w:bottom w:w="60" w:type="dxa"/>
              <w:left w:w="60" w:type="dxa"/>
              <w:right w:w="60" w:type="dxa"/>
            </w:tcMar>
          </w:tcPr>
          <w:p>
            <w:pPr>
              <w:spacing w:after="40"/>
            </w:pPr>
            <w:r>
              <w:t>Data loss due to hardware failure or cyberattack</w:t>
            </w:r>
          </w:p>
        </w:tc>
        <w:tc>
          <w:tcPr>
            <w:tcW w:type="dxa" w:w="1296"/>
            <w:shd w:fill="F7FAFC"/>
            <w:tcMar>
              <w:top w:w="60" w:type="dxa"/>
              <w:bottom w:w="60" w:type="dxa"/>
              <w:left w:w="60" w:type="dxa"/>
              <w:right w:w="60" w:type="dxa"/>
            </w:tcMar>
          </w:tcPr>
          <w:p>
            <w:pPr>
              <w:spacing w:after="40"/>
            </w:pPr>
            <w:r>
              <w:t>IT</w:t>
            </w:r>
          </w:p>
        </w:tc>
        <w:tc>
          <w:tcPr>
            <w:tcW w:type="dxa" w:w="1152"/>
            <w:shd w:fill="F7FAFC"/>
            <w:tcMar>
              <w:top w:w="60" w:type="dxa"/>
              <w:bottom w:w="60" w:type="dxa"/>
              <w:left w:w="60" w:type="dxa"/>
              <w:right w:w="60" w:type="dxa"/>
            </w:tcMar>
          </w:tcPr>
          <w:p>
            <w:pPr>
              <w:spacing w:after="40"/>
            </w:pPr>
            <w:r>
              <w:t>Med / High</w:t>
            </w:r>
          </w:p>
        </w:tc>
        <w:tc>
          <w:tcPr>
            <w:tcW w:type="dxa" w:w="3600"/>
            <w:shd w:fill="F7FAFC"/>
            <w:tcMar>
              <w:top w:w="60" w:type="dxa"/>
              <w:bottom w:w="60" w:type="dxa"/>
              <w:left w:w="60" w:type="dxa"/>
              <w:right w:w="60" w:type="dxa"/>
            </w:tcMar>
          </w:tcPr>
          <w:p>
            <w:pPr>
              <w:spacing w:after="40"/>
            </w:pPr>
            <w:r>
              <w:t>Regular off-site backups; role-based access; encryption; antivirus; firewall.</w:t>
            </w:r>
          </w:p>
        </w:tc>
      </w:tr>
      <w:tr>
        <w:tc>
          <w:tcPr>
            <w:tcW w:type="dxa" w:w="720"/>
            <w:tcMar>
              <w:top w:w="60" w:type="dxa"/>
              <w:bottom w:w="60" w:type="dxa"/>
              <w:left w:w="60" w:type="dxa"/>
              <w:right w:w="60" w:type="dxa"/>
            </w:tcMar>
          </w:tcPr>
          <w:p>
            <w:pPr>
              <w:spacing w:after="40"/>
            </w:pPr>
            <w:r>
              <w:t>R5</w:t>
            </w:r>
          </w:p>
        </w:tc>
        <w:tc>
          <w:tcPr>
            <w:tcW w:type="dxa" w:w="2592"/>
            <w:tcMar>
              <w:top w:w="60" w:type="dxa"/>
              <w:bottom w:w="60" w:type="dxa"/>
              <w:left w:w="60" w:type="dxa"/>
              <w:right w:w="60" w:type="dxa"/>
            </w:tcMar>
          </w:tcPr>
          <w:p>
            <w:pPr>
              <w:spacing w:after="40"/>
            </w:pPr>
            <w:r>
              <w:t>Incomplete or inconsistent client data</w:t>
            </w:r>
          </w:p>
        </w:tc>
        <w:tc>
          <w:tcPr>
            <w:tcW w:type="dxa" w:w="1296"/>
            <w:tcMar>
              <w:top w:w="60" w:type="dxa"/>
              <w:bottom w:w="60" w:type="dxa"/>
              <w:left w:w="60" w:type="dxa"/>
              <w:right w:w="60" w:type="dxa"/>
            </w:tcMar>
          </w:tcPr>
          <w:p>
            <w:pPr>
              <w:spacing w:after="40"/>
            </w:pPr>
            <w:r>
              <w:t>Operational</w:t>
            </w:r>
          </w:p>
        </w:tc>
        <w:tc>
          <w:tcPr>
            <w:tcW w:type="dxa" w:w="1152"/>
            <w:tcMar>
              <w:top w:w="60" w:type="dxa"/>
              <w:bottom w:w="60" w:type="dxa"/>
              <w:left w:w="60" w:type="dxa"/>
              <w:right w:w="60" w:type="dxa"/>
            </w:tcMar>
          </w:tcPr>
          <w:p>
            <w:pPr>
              <w:spacing w:after="40"/>
            </w:pPr>
            <w:r>
              <w:t>High / Med</w:t>
            </w:r>
          </w:p>
        </w:tc>
        <w:tc>
          <w:tcPr>
            <w:tcW w:type="dxa" w:w="3600"/>
            <w:tcMar>
              <w:top w:w="60" w:type="dxa"/>
              <w:bottom w:w="60" w:type="dxa"/>
              <w:left w:w="60" w:type="dxa"/>
              <w:right w:w="60" w:type="dxa"/>
            </w:tcMar>
          </w:tcPr>
          <w:p>
            <w:pPr>
              <w:spacing w:after="40"/>
            </w:pPr>
            <w:r>
              <w:t>Mandatory fields in forms; validation rules; periodic data audits.</w:t>
            </w:r>
          </w:p>
        </w:tc>
      </w:tr>
      <w:tr>
        <w:tc>
          <w:tcPr>
            <w:tcW w:type="dxa" w:w="720"/>
            <w:shd w:fill="F7FAFC"/>
            <w:tcMar>
              <w:top w:w="60" w:type="dxa"/>
              <w:bottom w:w="60" w:type="dxa"/>
              <w:left w:w="60" w:type="dxa"/>
              <w:right w:w="60" w:type="dxa"/>
            </w:tcMar>
          </w:tcPr>
          <w:p>
            <w:pPr>
              <w:spacing w:after="40"/>
            </w:pPr>
            <w:r>
              <w:t>R6</w:t>
            </w:r>
          </w:p>
        </w:tc>
        <w:tc>
          <w:tcPr>
            <w:tcW w:type="dxa" w:w="2592"/>
            <w:shd w:fill="F7FAFC"/>
            <w:tcMar>
              <w:top w:w="60" w:type="dxa"/>
              <w:bottom w:w="60" w:type="dxa"/>
              <w:left w:w="60" w:type="dxa"/>
              <w:right w:w="60" w:type="dxa"/>
            </w:tcMar>
          </w:tcPr>
          <w:p>
            <w:pPr>
              <w:spacing w:after="40"/>
            </w:pPr>
            <w:r>
              <w:t>Government changes tax rates or regulations</w:t>
            </w:r>
          </w:p>
        </w:tc>
        <w:tc>
          <w:tcPr>
            <w:tcW w:type="dxa" w:w="1296"/>
            <w:shd w:fill="F7FAFC"/>
            <w:tcMar>
              <w:top w:w="60" w:type="dxa"/>
              <w:bottom w:w="60" w:type="dxa"/>
              <w:left w:w="60" w:type="dxa"/>
              <w:right w:w="60" w:type="dxa"/>
            </w:tcMar>
          </w:tcPr>
          <w:p>
            <w:pPr>
              <w:spacing w:after="40"/>
            </w:pPr>
            <w:r>
              <w:t>Regulatory</w:t>
            </w:r>
          </w:p>
        </w:tc>
        <w:tc>
          <w:tcPr>
            <w:tcW w:type="dxa" w:w="1152"/>
            <w:shd w:fill="F7FAFC"/>
            <w:tcMar>
              <w:top w:w="60" w:type="dxa"/>
              <w:bottom w:w="60" w:type="dxa"/>
              <w:left w:w="60" w:type="dxa"/>
              <w:right w:w="60" w:type="dxa"/>
            </w:tcMar>
          </w:tcPr>
          <w:p>
            <w:pPr>
              <w:spacing w:after="40"/>
            </w:pPr>
            <w:r>
              <w:t>Med / Med</w:t>
            </w:r>
          </w:p>
        </w:tc>
        <w:tc>
          <w:tcPr>
            <w:tcW w:type="dxa" w:w="3600"/>
            <w:shd w:fill="F7FAFC"/>
            <w:tcMar>
              <w:top w:w="60" w:type="dxa"/>
              <w:bottom w:w="60" w:type="dxa"/>
              <w:left w:w="60" w:type="dxa"/>
              <w:right w:w="60" w:type="dxa"/>
            </w:tcMar>
          </w:tcPr>
          <w:p>
            <w:pPr>
              <w:spacing w:after="40"/>
            </w:pPr>
            <w:r>
              <w:t>System should allow flexible tax rate configuration; legal team updates rules; maintain changelog.</w:t>
            </w:r>
          </w:p>
        </w:tc>
      </w:tr>
      <w:tr>
        <w:tc>
          <w:tcPr>
            <w:tcW w:type="dxa" w:w="720"/>
            <w:tcMar>
              <w:top w:w="60" w:type="dxa"/>
              <w:bottom w:w="60" w:type="dxa"/>
              <w:left w:w="60" w:type="dxa"/>
              <w:right w:w="60" w:type="dxa"/>
            </w:tcMar>
          </w:tcPr>
          <w:p>
            <w:pPr>
              <w:spacing w:after="40"/>
            </w:pPr>
            <w:r>
              <w:t>R7</w:t>
            </w:r>
          </w:p>
        </w:tc>
        <w:tc>
          <w:tcPr>
            <w:tcW w:type="dxa" w:w="2592"/>
            <w:tcMar>
              <w:top w:w="60" w:type="dxa"/>
              <w:bottom w:w="60" w:type="dxa"/>
              <w:left w:w="60" w:type="dxa"/>
              <w:right w:w="60" w:type="dxa"/>
            </w:tcMar>
          </w:tcPr>
          <w:p>
            <w:pPr>
              <w:spacing w:after="40"/>
            </w:pPr>
            <w:r>
              <w:t>Staff resistance to new ERP</w:t>
            </w:r>
          </w:p>
        </w:tc>
        <w:tc>
          <w:tcPr>
            <w:tcW w:type="dxa" w:w="1296"/>
            <w:tcMar>
              <w:top w:w="60" w:type="dxa"/>
              <w:bottom w:w="60" w:type="dxa"/>
              <w:left w:w="60" w:type="dxa"/>
              <w:right w:w="60" w:type="dxa"/>
            </w:tcMar>
          </w:tcPr>
          <w:p>
            <w:pPr>
              <w:spacing w:after="40"/>
            </w:pPr>
            <w:r>
              <w:t>Change Mgmt</w:t>
            </w:r>
          </w:p>
        </w:tc>
        <w:tc>
          <w:tcPr>
            <w:tcW w:type="dxa" w:w="1152"/>
            <w:tcMar>
              <w:top w:w="60" w:type="dxa"/>
              <w:bottom w:w="60" w:type="dxa"/>
              <w:left w:w="60" w:type="dxa"/>
              <w:right w:w="60" w:type="dxa"/>
            </w:tcMar>
          </w:tcPr>
          <w:p>
            <w:pPr>
              <w:spacing w:after="40"/>
            </w:pPr>
            <w:r>
              <w:t>Med / Med</w:t>
            </w:r>
          </w:p>
        </w:tc>
        <w:tc>
          <w:tcPr>
            <w:tcW w:type="dxa" w:w="3600"/>
            <w:tcMar>
              <w:top w:w="60" w:type="dxa"/>
              <w:bottom w:w="60" w:type="dxa"/>
              <w:left w:w="60" w:type="dxa"/>
              <w:right w:w="60" w:type="dxa"/>
            </w:tcMar>
          </w:tcPr>
          <w:p>
            <w:pPr>
              <w:spacing w:after="40"/>
            </w:pPr>
            <w:r>
              <w:t>Training sessions; involve staff in UAT; phased rollout; provide user manuals in Amharic.</w:t>
            </w:r>
          </w:p>
        </w:tc>
      </w:tr>
      <w:tr>
        <w:tc>
          <w:tcPr>
            <w:tcW w:type="dxa" w:w="720"/>
            <w:shd w:fill="F7FAFC"/>
            <w:tcMar>
              <w:top w:w="60" w:type="dxa"/>
              <w:bottom w:w="60" w:type="dxa"/>
              <w:left w:w="60" w:type="dxa"/>
              <w:right w:w="60" w:type="dxa"/>
            </w:tcMar>
          </w:tcPr>
          <w:p>
            <w:pPr>
              <w:spacing w:after="40"/>
            </w:pPr>
            <w:r>
              <w:t>R8</w:t>
            </w:r>
          </w:p>
        </w:tc>
        <w:tc>
          <w:tcPr>
            <w:tcW w:type="dxa" w:w="2592"/>
            <w:shd w:fill="F7FAFC"/>
            <w:tcMar>
              <w:top w:w="60" w:type="dxa"/>
              <w:bottom w:w="60" w:type="dxa"/>
              <w:left w:w="60" w:type="dxa"/>
              <w:right w:w="60" w:type="dxa"/>
            </w:tcMar>
          </w:tcPr>
          <w:p>
            <w:pPr>
              <w:spacing w:after="40"/>
            </w:pPr>
            <w:r>
              <w:t>Internet outage during site visits</w:t>
            </w:r>
          </w:p>
        </w:tc>
        <w:tc>
          <w:tcPr>
            <w:tcW w:type="dxa" w:w="1296"/>
            <w:shd w:fill="F7FAFC"/>
            <w:tcMar>
              <w:top w:w="60" w:type="dxa"/>
              <w:bottom w:w="60" w:type="dxa"/>
              <w:left w:w="60" w:type="dxa"/>
              <w:right w:w="60" w:type="dxa"/>
            </w:tcMar>
          </w:tcPr>
          <w:p>
            <w:pPr>
              <w:spacing w:after="40"/>
            </w:pPr>
            <w:r>
              <w:t>IT</w:t>
            </w:r>
          </w:p>
        </w:tc>
        <w:tc>
          <w:tcPr>
            <w:tcW w:type="dxa" w:w="1152"/>
            <w:shd w:fill="F7FAFC"/>
            <w:tcMar>
              <w:top w:w="60" w:type="dxa"/>
              <w:bottom w:w="60" w:type="dxa"/>
              <w:left w:w="60" w:type="dxa"/>
              <w:right w:w="60" w:type="dxa"/>
            </w:tcMar>
          </w:tcPr>
          <w:p>
            <w:pPr>
              <w:spacing w:after="40"/>
            </w:pPr>
            <w:r>
              <w:t>High / Low</w:t>
            </w:r>
          </w:p>
        </w:tc>
        <w:tc>
          <w:tcPr>
            <w:tcW w:type="dxa" w:w="3600"/>
            <w:shd w:fill="F7FAFC"/>
            <w:tcMar>
              <w:top w:w="60" w:type="dxa"/>
              <w:bottom w:w="60" w:type="dxa"/>
              <w:left w:w="60" w:type="dxa"/>
              <w:right w:w="60" w:type="dxa"/>
            </w:tcMar>
          </w:tcPr>
          <w:p>
            <w:pPr>
              <w:spacing w:after="40"/>
            </w:pPr>
            <w:r>
              <w:t>Offline data entry capability; sync when connectivity returns.</w:t>
            </w:r>
          </w:p>
        </w:tc>
      </w:tr>
      <w:tr>
        <w:tc>
          <w:tcPr>
            <w:tcW w:type="dxa" w:w="720"/>
            <w:tcMar>
              <w:top w:w="60" w:type="dxa"/>
              <w:bottom w:w="60" w:type="dxa"/>
              <w:left w:w="60" w:type="dxa"/>
              <w:right w:w="60" w:type="dxa"/>
            </w:tcMar>
          </w:tcPr>
          <w:p>
            <w:pPr>
              <w:spacing w:after="40"/>
            </w:pPr>
            <w:r>
              <w:t>R9</w:t>
            </w:r>
          </w:p>
        </w:tc>
        <w:tc>
          <w:tcPr>
            <w:tcW w:type="dxa" w:w="2592"/>
            <w:tcMar>
              <w:top w:w="60" w:type="dxa"/>
              <w:bottom w:w="60" w:type="dxa"/>
              <w:left w:w="60" w:type="dxa"/>
              <w:right w:w="60" w:type="dxa"/>
            </w:tcMar>
          </w:tcPr>
          <w:p>
            <w:pPr>
              <w:spacing w:after="40"/>
            </w:pPr>
            <w:r>
              <w:t>Commission disputes with Delalas</w:t>
            </w:r>
          </w:p>
        </w:tc>
        <w:tc>
          <w:tcPr>
            <w:tcW w:type="dxa" w:w="1296"/>
            <w:tcMar>
              <w:top w:w="60" w:type="dxa"/>
              <w:bottom w:w="60" w:type="dxa"/>
              <w:left w:w="60" w:type="dxa"/>
              <w:right w:w="60" w:type="dxa"/>
            </w:tcMar>
          </w:tcPr>
          <w:p>
            <w:pPr>
              <w:spacing w:after="40"/>
            </w:pPr>
            <w:r>
              <w:t>Operational</w:t>
            </w:r>
          </w:p>
        </w:tc>
        <w:tc>
          <w:tcPr>
            <w:tcW w:type="dxa" w:w="1152"/>
            <w:tcMar>
              <w:top w:w="60" w:type="dxa"/>
              <w:bottom w:w="60" w:type="dxa"/>
              <w:left w:w="60" w:type="dxa"/>
              <w:right w:w="60" w:type="dxa"/>
            </w:tcMar>
          </w:tcPr>
          <w:p>
            <w:pPr>
              <w:spacing w:after="40"/>
            </w:pPr>
            <w:r>
              <w:t>Med / Med</w:t>
            </w:r>
          </w:p>
        </w:tc>
        <w:tc>
          <w:tcPr>
            <w:tcW w:type="dxa" w:w="3600"/>
            <w:tcMar>
              <w:top w:w="60" w:type="dxa"/>
              <w:bottom w:w="60" w:type="dxa"/>
              <w:left w:w="60" w:type="dxa"/>
              <w:right w:w="60" w:type="dxa"/>
            </w:tcMar>
          </w:tcPr>
          <w:p>
            <w:pPr>
              <w:spacing w:after="40"/>
            </w:pPr>
            <w:r>
              <w:t>Record commission agreement per deal; generate signed commission voucher; management approval before payment.</w:t>
            </w:r>
          </w:p>
        </w:tc>
      </w:tr>
    </w:tbl>
    <w:p>
      <w:pPr>
        <w:keepNext/>
        <w:spacing w:before="360" w:after="120"/>
      </w:pPr>
      <w:r>
        <w:rPr>
          <w:rFonts w:ascii="Calibri Light" w:hAnsi="Calibri Light"/>
          <w:b/>
          <w:color w:val="1B365D"/>
          <w:sz w:val="32"/>
        </w:rPr>
        <w:t>5. Data Entities Overview (High-Level)</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20"/>
        <w:gridCol w:w="3120"/>
        <w:gridCol w:w="3120"/>
      </w:tblGrid>
      <w:tr>
        <w:tc>
          <w:tcPr>
            <w:tcW w:type="dxa" w:w="3120"/>
            <w:shd w:fill="1B365D"/>
            <w:tcMar>
              <w:top w:w="100" w:type="dxa"/>
              <w:bottom w:w="100" w:type="dxa"/>
              <w:left w:w="80" w:type="dxa"/>
              <w:right w:w="80" w:type="dxa"/>
            </w:tcMar>
          </w:tcPr>
          <w:p>
            <w:pPr>
              <w:spacing w:after="40"/>
            </w:pPr>
            <w:r>
              <w:rPr>
                <w:b/>
                <w:color w:val="FFFFFF"/>
              </w:rPr>
              <w:t>Entity</w:t>
            </w:r>
          </w:p>
        </w:tc>
        <w:tc>
          <w:tcPr>
            <w:tcW w:type="dxa" w:w="3120"/>
            <w:shd w:fill="1B365D"/>
            <w:tcMar>
              <w:top w:w="100" w:type="dxa"/>
              <w:bottom w:w="100" w:type="dxa"/>
              <w:left w:w="80" w:type="dxa"/>
              <w:right w:w="80" w:type="dxa"/>
            </w:tcMar>
          </w:tcPr>
          <w:p>
            <w:pPr>
              <w:spacing w:after="40"/>
            </w:pPr>
            <w:r>
              <w:rPr>
                <w:b/>
                <w:color w:val="FFFFFF"/>
              </w:rPr>
              <w:t>Key Attributes</w:t>
            </w:r>
          </w:p>
        </w:tc>
        <w:tc>
          <w:tcPr>
            <w:tcW w:type="dxa" w:w="3120"/>
            <w:shd w:fill="1B365D"/>
            <w:tcMar>
              <w:top w:w="100" w:type="dxa"/>
              <w:bottom w:w="100" w:type="dxa"/>
              <w:left w:w="80" w:type="dxa"/>
              <w:right w:w="80" w:type="dxa"/>
            </w:tcMar>
          </w:tcPr>
          <w:p>
            <w:pPr>
              <w:spacing w:after="40"/>
            </w:pPr>
            <w:r>
              <w:rPr>
                <w:b/>
                <w:color w:val="FFFFFF"/>
              </w:rPr>
              <w:t>Relationships</w:t>
            </w:r>
          </w:p>
        </w:tc>
      </w:tr>
      <w:tr>
        <w:tc>
          <w:tcPr>
            <w:tcW w:type="dxa" w:w="2160"/>
            <w:tcMar>
              <w:top w:w="60" w:type="dxa"/>
              <w:bottom w:w="60" w:type="dxa"/>
              <w:left w:w="80" w:type="dxa"/>
              <w:right w:w="80" w:type="dxa"/>
            </w:tcMar>
          </w:tcPr>
          <w:p>
            <w:pPr>
              <w:spacing w:after="40"/>
            </w:pPr>
            <w:r>
              <w:t>Property</w:t>
            </w:r>
          </w:p>
        </w:tc>
        <w:tc>
          <w:tcPr>
            <w:tcW w:type="dxa" w:w="3600"/>
            <w:tcMar>
              <w:top w:w="60" w:type="dxa"/>
              <w:bottom w:w="60" w:type="dxa"/>
              <w:left w:w="80" w:type="dxa"/>
              <w:right w:w="80" w:type="dxa"/>
            </w:tcMar>
          </w:tcPr>
          <w:p>
            <w:pPr>
              <w:spacing w:after="40"/>
            </w:pPr>
            <w:r>
              <w:t>PropertyID, Type, Location (Sub-city, Woreda, Kebele), Size, Tenure, LeaseExpiry, Status, OwnerID</w:t>
            </w:r>
          </w:p>
        </w:tc>
        <w:tc>
          <w:tcPr>
            <w:tcW w:type="dxa" w:w="3600"/>
            <w:tcMar>
              <w:top w:w="60" w:type="dxa"/>
              <w:bottom w:w="60" w:type="dxa"/>
              <w:left w:w="80" w:type="dxa"/>
              <w:right w:w="80" w:type="dxa"/>
            </w:tcMar>
          </w:tcPr>
          <w:p>
            <w:pPr>
              <w:spacing w:after="40"/>
            </w:pPr>
            <w:r>
              <w:t>Owned by Client (Seller/Landlord); has many Agreements; has many Visits; has many MaintenanceRequests</w:t>
            </w:r>
          </w:p>
        </w:tc>
      </w:tr>
      <w:tr>
        <w:tc>
          <w:tcPr>
            <w:tcW w:type="dxa" w:w="2160"/>
            <w:shd w:fill="F7FAFC"/>
            <w:tcMar>
              <w:top w:w="60" w:type="dxa"/>
              <w:bottom w:w="60" w:type="dxa"/>
              <w:left w:w="80" w:type="dxa"/>
              <w:right w:w="80" w:type="dxa"/>
            </w:tcMar>
          </w:tcPr>
          <w:p>
            <w:pPr>
              <w:spacing w:after="40"/>
            </w:pPr>
            <w:r>
              <w:t>Client</w:t>
            </w:r>
          </w:p>
        </w:tc>
        <w:tc>
          <w:tcPr>
            <w:tcW w:type="dxa" w:w="3600"/>
            <w:shd w:fill="F7FAFC"/>
            <w:tcMar>
              <w:top w:w="60" w:type="dxa"/>
              <w:bottom w:w="60" w:type="dxa"/>
              <w:left w:w="80" w:type="dxa"/>
              <w:right w:w="80" w:type="dxa"/>
            </w:tcMar>
          </w:tcPr>
          <w:p>
            <w:pPr>
              <w:spacing w:after="40"/>
            </w:pPr>
            <w:r>
              <w:t>ClientID, Name, Phone, Email, IDType, IDNumber, TIN, Type (Buyer/Seller/Tenant/Landlord/Delala)</w:t>
            </w:r>
          </w:p>
        </w:tc>
        <w:tc>
          <w:tcPr>
            <w:tcW w:type="dxa" w:w="3600"/>
            <w:shd w:fill="F7FAFC"/>
            <w:tcMar>
              <w:top w:w="60" w:type="dxa"/>
              <w:bottom w:w="60" w:type="dxa"/>
              <w:left w:w="80" w:type="dxa"/>
              <w:right w:w="80" w:type="dxa"/>
            </w:tcMar>
          </w:tcPr>
          <w:p>
            <w:pPr>
              <w:spacing w:after="40"/>
            </w:pPr>
            <w:r>
              <w:t>Involved in Agreements; makes Payments; lists Properties</w:t>
            </w:r>
          </w:p>
        </w:tc>
      </w:tr>
      <w:tr>
        <w:tc>
          <w:tcPr>
            <w:tcW w:type="dxa" w:w="2160"/>
            <w:tcMar>
              <w:top w:w="60" w:type="dxa"/>
              <w:bottom w:w="60" w:type="dxa"/>
              <w:left w:w="80" w:type="dxa"/>
              <w:right w:w="80" w:type="dxa"/>
            </w:tcMar>
          </w:tcPr>
          <w:p>
            <w:pPr>
              <w:spacing w:after="40"/>
            </w:pPr>
            <w:r>
              <w:t>Agreement</w:t>
            </w:r>
          </w:p>
        </w:tc>
        <w:tc>
          <w:tcPr>
            <w:tcW w:type="dxa" w:w="3600"/>
            <w:tcMar>
              <w:top w:w="60" w:type="dxa"/>
              <w:bottom w:w="60" w:type="dxa"/>
              <w:left w:w="80" w:type="dxa"/>
              <w:right w:w="80" w:type="dxa"/>
            </w:tcMar>
          </w:tcPr>
          <w:p>
            <w:pPr>
              <w:spacing w:after="40"/>
            </w:pPr>
            <w:r>
              <w:t>AgreementID, Type (Sales/Lease), Date, Terms, PaymentSchedule, Status</w:t>
            </w:r>
          </w:p>
        </w:tc>
        <w:tc>
          <w:tcPr>
            <w:tcW w:type="dxa" w:w="3600"/>
            <w:tcMar>
              <w:top w:w="60" w:type="dxa"/>
              <w:bottom w:w="60" w:type="dxa"/>
              <w:left w:w="80" w:type="dxa"/>
              <w:right w:w="80" w:type="dxa"/>
            </w:tcMar>
          </w:tcPr>
          <w:p>
            <w:pPr>
              <w:spacing w:after="40"/>
            </w:pPr>
            <w:r>
              <w:t>Links Property and Client(s); generates Payments; has Commission records</w:t>
            </w:r>
          </w:p>
        </w:tc>
      </w:tr>
      <w:tr>
        <w:tc>
          <w:tcPr>
            <w:tcW w:type="dxa" w:w="2160"/>
            <w:shd w:fill="F7FAFC"/>
            <w:tcMar>
              <w:top w:w="60" w:type="dxa"/>
              <w:bottom w:w="60" w:type="dxa"/>
              <w:left w:w="80" w:type="dxa"/>
              <w:right w:w="80" w:type="dxa"/>
            </w:tcMar>
          </w:tcPr>
          <w:p>
            <w:pPr>
              <w:spacing w:after="40"/>
            </w:pPr>
            <w:r>
              <w:t>Payment</w:t>
            </w:r>
          </w:p>
        </w:tc>
        <w:tc>
          <w:tcPr>
            <w:tcW w:type="dxa" w:w="3600"/>
            <w:shd w:fill="F7FAFC"/>
            <w:tcMar>
              <w:top w:w="60" w:type="dxa"/>
              <w:bottom w:w="60" w:type="dxa"/>
              <w:left w:w="80" w:type="dxa"/>
              <w:right w:w="80" w:type="dxa"/>
            </w:tcMar>
          </w:tcPr>
          <w:p>
            <w:pPr>
              <w:spacing w:after="40"/>
            </w:pPr>
            <w:r>
              <w:t>PaymentID, AgreementID, Amount, Currency, Date, Method, ReferenceNumber</w:t>
            </w:r>
          </w:p>
        </w:tc>
        <w:tc>
          <w:tcPr>
            <w:tcW w:type="dxa" w:w="3600"/>
            <w:shd w:fill="F7FAFC"/>
            <w:tcMar>
              <w:top w:w="60" w:type="dxa"/>
              <w:bottom w:w="60" w:type="dxa"/>
              <w:left w:w="80" w:type="dxa"/>
              <w:right w:w="80" w:type="dxa"/>
            </w:tcMar>
          </w:tcPr>
          <w:p>
            <w:pPr>
              <w:spacing w:after="40"/>
            </w:pPr>
            <w:r>
              <w:t>Belongs to Agreement; recorded by Finance Officer</w:t>
            </w:r>
          </w:p>
        </w:tc>
      </w:tr>
      <w:tr>
        <w:tc>
          <w:tcPr>
            <w:tcW w:type="dxa" w:w="2160"/>
            <w:tcMar>
              <w:top w:w="60" w:type="dxa"/>
              <w:bottom w:w="60" w:type="dxa"/>
              <w:left w:w="80" w:type="dxa"/>
              <w:right w:w="80" w:type="dxa"/>
            </w:tcMar>
          </w:tcPr>
          <w:p>
            <w:pPr>
              <w:spacing w:after="40"/>
            </w:pPr>
            <w:r>
              <w:t>Commission</w:t>
            </w:r>
          </w:p>
        </w:tc>
        <w:tc>
          <w:tcPr>
            <w:tcW w:type="dxa" w:w="3600"/>
            <w:tcMar>
              <w:top w:w="60" w:type="dxa"/>
              <w:bottom w:w="60" w:type="dxa"/>
              <w:left w:w="80" w:type="dxa"/>
              <w:right w:w="80" w:type="dxa"/>
            </w:tcMar>
          </w:tcPr>
          <w:p>
            <w:pPr>
              <w:spacing w:after="40"/>
            </w:pPr>
            <w:r>
              <w:t>CommissionID, AgreementID, Recipient (Agency/Delala), Percentage, Amount, Status</w:t>
            </w:r>
          </w:p>
        </w:tc>
        <w:tc>
          <w:tcPr>
            <w:tcW w:type="dxa" w:w="3600"/>
            <w:tcMar>
              <w:top w:w="60" w:type="dxa"/>
              <w:bottom w:w="60" w:type="dxa"/>
              <w:left w:w="80" w:type="dxa"/>
              <w:right w:w="80" w:type="dxa"/>
            </w:tcMar>
          </w:tcPr>
          <w:p>
            <w:pPr>
              <w:spacing w:after="40"/>
            </w:pPr>
            <w:r>
              <w:t>Derived from Agreement; paid after completion</w:t>
            </w:r>
          </w:p>
        </w:tc>
      </w:tr>
      <w:tr>
        <w:tc>
          <w:tcPr>
            <w:tcW w:type="dxa" w:w="2160"/>
            <w:shd w:fill="F7FAFC"/>
            <w:tcMar>
              <w:top w:w="60" w:type="dxa"/>
              <w:bottom w:w="60" w:type="dxa"/>
              <w:left w:w="80" w:type="dxa"/>
              <w:right w:w="80" w:type="dxa"/>
            </w:tcMar>
          </w:tcPr>
          <w:p>
            <w:pPr>
              <w:spacing w:after="40"/>
            </w:pPr>
            <w:r>
              <w:t>Document</w:t>
            </w:r>
          </w:p>
        </w:tc>
        <w:tc>
          <w:tcPr>
            <w:tcW w:type="dxa" w:w="3600"/>
            <w:shd w:fill="F7FAFC"/>
            <w:tcMar>
              <w:top w:w="60" w:type="dxa"/>
              <w:bottom w:w="60" w:type="dxa"/>
              <w:left w:w="80" w:type="dxa"/>
              <w:right w:w="80" w:type="dxa"/>
            </w:tcMar>
          </w:tcPr>
          <w:p>
            <w:pPr>
              <w:spacing w:after="40"/>
            </w:pPr>
            <w:r>
              <w:t>DocumentID, Type (TitleDeed, Agreement, Receipt, TaxForm), FilePath, UploadedBy, Date</w:t>
            </w:r>
          </w:p>
        </w:tc>
        <w:tc>
          <w:tcPr>
            <w:tcW w:type="dxa" w:w="3600"/>
            <w:shd w:fill="F7FAFC"/>
            <w:tcMar>
              <w:top w:w="60" w:type="dxa"/>
              <w:bottom w:w="60" w:type="dxa"/>
              <w:left w:w="80" w:type="dxa"/>
              <w:right w:w="80" w:type="dxa"/>
            </w:tcMar>
          </w:tcPr>
          <w:p>
            <w:pPr>
              <w:spacing w:after="40"/>
            </w:pPr>
            <w:r>
              <w:t>Attached to Property, Agreement, or Client</w:t>
            </w:r>
          </w:p>
        </w:tc>
      </w:tr>
      <w:tr>
        <w:tc>
          <w:tcPr>
            <w:tcW w:type="dxa" w:w="2160"/>
            <w:tcMar>
              <w:top w:w="60" w:type="dxa"/>
              <w:bottom w:w="60" w:type="dxa"/>
              <w:left w:w="80" w:type="dxa"/>
              <w:right w:w="80" w:type="dxa"/>
            </w:tcMar>
          </w:tcPr>
          <w:p>
            <w:pPr>
              <w:spacing w:after="40"/>
            </w:pPr>
            <w:r>
              <w:t>MaintenanceRequest</w:t>
            </w:r>
          </w:p>
        </w:tc>
        <w:tc>
          <w:tcPr>
            <w:tcW w:type="dxa" w:w="3600"/>
            <w:tcMar>
              <w:top w:w="60" w:type="dxa"/>
              <w:bottom w:w="60" w:type="dxa"/>
              <w:left w:w="80" w:type="dxa"/>
              <w:right w:w="80" w:type="dxa"/>
            </w:tcMar>
          </w:tcPr>
          <w:p>
            <w:pPr>
              <w:spacing w:after="40"/>
            </w:pPr>
            <w:r>
              <w:t>RequestID, PropertyID, TenantID, Description, DateReported, Status</w:t>
            </w:r>
          </w:p>
        </w:tc>
        <w:tc>
          <w:tcPr>
            <w:tcW w:type="dxa" w:w="3600"/>
            <w:tcMar>
              <w:top w:w="60" w:type="dxa"/>
              <w:bottom w:w="60" w:type="dxa"/>
              <w:left w:w="80" w:type="dxa"/>
              <w:right w:w="80" w:type="dxa"/>
            </w:tcMar>
          </w:tcPr>
          <w:p>
            <w:pPr>
              <w:spacing w:after="40"/>
            </w:pPr>
            <w:r>
              <w:t>Linked to Property and Tenant</w:t>
            </w:r>
          </w:p>
        </w:tc>
      </w:tr>
      <w:tr>
        <w:tc>
          <w:tcPr>
            <w:tcW w:type="dxa" w:w="2160"/>
            <w:shd w:fill="F7FAFC"/>
            <w:tcMar>
              <w:top w:w="60" w:type="dxa"/>
              <w:bottom w:w="60" w:type="dxa"/>
              <w:left w:w="80" w:type="dxa"/>
              <w:right w:w="80" w:type="dxa"/>
            </w:tcMar>
          </w:tcPr>
          <w:p>
            <w:pPr>
              <w:spacing w:after="40"/>
            </w:pPr>
            <w:r>
              <w:t>User</w:t>
            </w:r>
          </w:p>
        </w:tc>
        <w:tc>
          <w:tcPr>
            <w:tcW w:type="dxa" w:w="3600"/>
            <w:shd w:fill="F7FAFC"/>
            <w:tcMar>
              <w:top w:w="60" w:type="dxa"/>
              <w:bottom w:w="60" w:type="dxa"/>
              <w:left w:w="80" w:type="dxa"/>
              <w:right w:w="80" w:type="dxa"/>
            </w:tcMar>
          </w:tcPr>
          <w:p>
            <w:pPr>
              <w:spacing w:after="40"/>
            </w:pPr>
            <w:r>
              <w:t>UserID, Role, Name, PasswordHash, LastLogin</w:t>
            </w:r>
          </w:p>
        </w:tc>
        <w:tc>
          <w:tcPr>
            <w:tcW w:type="dxa" w:w="3600"/>
            <w:shd w:fill="F7FAFC"/>
            <w:tcMar>
              <w:top w:w="60" w:type="dxa"/>
              <w:bottom w:w="60" w:type="dxa"/>
              <w:left w:w="80" w:type="dxa"/>
              <w:right w:w="80" w:type="dxa"/>
            </w:tcMar>
          </w:tcPr>
          <w:p>
            <w:pPr>
              <w:spacing w:after="40"/>
            </w:pPr>
            <w:r>
              <w:t>Performs all system actions</w:t>
            </w:r>
          </w:p>
        </w:tc>
      </w:tr>
    </w:tbl>
    <w:p>
      <w:pPr>
        <w:keepNext/>
        <w:spacing w:before="360" w:after="120"/>
      </w:pPr>
      <w:r>
        <w:rPr>
          <w:rFonts w:ascii="Calibri Light" w:hAnsi="Calibri Light"/>
          <w:b/>
          <w:color w:val="1B365D"/>
          <w:sz w:val="32"/>
        </w:rPr>
        <w:t>Conclusion</w:t>
      </w:r>
    </w:p>
    <w:p>
      <w:pPr>
        <w:spacing w:after="240"/>
      </w:pPr>
      <w:r>
        <w:t>This documentation set provides a realistic foundation for developing an ERP system tailored to an Ethiopian real estate agency. By incorporating local business practices, regulatory requirements, and cultural nuances, the system will not only improve operational efficiency but also build trust with clients and government bodies. The next step would be to validate these documents with stakeholders and proceed to detailed system design.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