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7B2FBE"/>
          <w:sz w:val="56"/>
          <w:szCs w:val="56"/>
        </w:rPr>
        <w:t xml:space="preserve">Grind-Zone</w:t>
      </w:r>
    </w:p>
    <w:p>
      <w:pPr>
        <w:spacing w:before="0" w:after="60"/>
      </w:pPr>
      <w:r>
        <w:rPr>
          <w:rFonts w:ascii="Arial" w:cs="Arial" w:eastAsia="Arial" w:hAnsi="Arial"/>
          <w:color w:val="888888"/>
          <w:sz w:val="24"/>
          <w:szCs w:val="24"/>
        </w:rPr>
        <w:t xml:space="preserve">Medication Timing + Mood Tracking — Technical README</w:t>
      </w:r>
    </w:p>
    <w:p>
      <w:pPr>
        <w:pBdr>
          <w:bottom w:val="single" w:color="7B2FBE" w:sz="6" w:space="6"/>
        </w:pBdr>
        <w:spacing w:before="0" w:after="240"/>
      </w:pPr>
      <w:r>
        <w:t xml:space="preserve"/>
      </w:r>
    </w:p>
    <w:p>
      <w:pPr>
        <w:pStyle w:val="Heading1"/>
        <w:pBdr>
          <w:bottom w:val="single" w:color="7B2FBE" w:sz="4" w:space="4"/>
        </w:pBdr>
        <w:spacing w:before="320" w:after="120"/>
      </w:pPr>
      <w:r>
        <w:rPr>
          <w:rFonts w:ascii="Arial" w:cs="Arial" w:eastAsia="Arial" w:hAnsi="Arial"/>
          <w:b/>
          <w:bCs/>
          <w:color w:val="7B2FBE"/>
          <w:sz w:val="28"/>
          <w:szCs w:val="28"/>
        </w:rPr>
        <w:t xml:space="preserve">What Is This?</w:t>
      </w:r>
    </w:p>
    <w:p>
      <w:pPr>
        <w:spacing w:before="40" w:after="80"/>
      </w:pPr>
      <w:r>
        <w:rPr>
          <w:rFonts w:ascii="Arial" w:cs="Arial" w:eastAsia="Arial" w:hAnsi="Arial"/>
          <w:color w:val="444444"/>
          <w:sz w:val="20"/>
          <w:szCs w:val="20"/>
        </w:rPr>
        <w:t xml:space="preserve">Grind-Zone is a pharmacokinetic-aware medication timing and mood tracking tool. Enter when you took your pill — see exactly what neurochemical zone you are in, when your peak hits, and when effects wind down. Log how you feel throughout the day and the app slowly calibrates to your personal timing curve.</w:t>
      </w:r>
    </w:p>
    <w:p>
      <w:pPr>
        <w:spacing w:before="80" w:after="0"/>
      </w:pPr>
      <w:r>
        <w:t xml:space="preserve"/>
      </w:r>
    </w:p>
    <w:p>
      <w:pPr>
        <w:spacing w:before="40" w:after="80"/>
      </w:pPr>
      <w:r>
        <w:rPr>
          <w:rFonts w:ascii="Arial" w:cs="Arial" w:eastAsia="Arial" w:hAnsi="Arial"/>
          <w:color w:val="444444"/>
          <w:sz w:val="20"/>
          <w:szCs w:val="20"/>
        </w:rPr>
        <w:t xml:space="preserve">Built for personal use. No existing tool explained what was actually happening in your brain at 2pm vs 8am on a given medication regimen, or what two co-administered drugs were doing to each other in real time.</w:t>
      </w:r>
    </w:p>
    <w:p>
      <w:pPr>
        <w:spacing w:before="160" w:after="0"/>
      </w:pPr>
      <w:r>
        <w:t xml:space="preserve"/>
      </w:r>
    </w:p>
    <w:p>
      <w:pPr>
        <w:pStyle w:val="Heading1"/>
        <w:pBdr>
          <w:bottom w:val="single" w:color="7B2FBE" w:sz="4" w:space="4"/>
        </w:pBdr>
        <w:spacing w:before="320" w:after="120"/>
      </w:pPr>
      <w:r>
        <w:rPr>
          <w:rFonts w:ascii="Arial" w:cs="Arial" w:eastAsia="Arial" w:hAnsi="Arial"/>
          <w:b/>
          <w:bCs/>
          <w:color w:val="7B2FBE"/>
          <w:sz w:val="28"/>
          <w:szCs w:val="28"/>
        </w:rPr>
        <w:t xml:space="preserve">Stack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6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color w:val="FFFFFF"/>
                <w:sz w:val="19"/>
                <w:szCs w:val="19"/>
              </w:rPr>
              <w:t xml:space="preserve">Detail</w:t>
            </w:r>
          </w:p>
        </w:tc>
      </w:tr>
      <w:tr>
        <w:trPr>
          <w:tblHeader w:val="false"/>
        </w:trP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Frontend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Single-file vanilla HTML / CSS / JS — no framework, no build step, no npm</w:t>
            </w:r>
          </w:p>
        </w:tc>
      </w:tr>
      <w:tr>
        <w:trPr>
          <w:tblHeader w:val="false"/>
        </w:trP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Backend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Supabase (Postgres + Auth)</w:t>
            </w:r>
          </w:p>
        </w:tc>
      </w:tr>
      <w:tr>
        <w:trPr>
          <w:tblHeader w:val="false"/>
        </w:trP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Auth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Magic link (passwordless email) via Supabase Auth</w:t>
            </w:r>
          </w:p>
        </w:tc>
      </w:tr>
      <w:tr>
        <w:trPr>
          <w:tblHeader w:val="false"/>
        </w:trP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Database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Postgres — row-level security enforced at DB level, not app code</w:t>
            </w:r>
          </w:p>
        </w:tc>
      </w:tr>
      <w:tr>
        <w:trPr>
          <w:tblHeader w:val="false"/>
        </w:trP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Local storage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localStorage key gz2 — doses, active drugs, settings, adaptive state</w:t>
            </w:r>
          </w:p>
        </w:tc>
      </w:tr>
      <w:tr>
        <w:trPr>
          <w:tblHeader w:val="false"/>
        </w:trP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Hosting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Static file — Netlify / Vercel / GitHub Pages ready (drag and drop)</w:t>
            </w:r>
          </w:p>
        </w:tc>
      </w:tr>
      <w:tr>
        <w:trPr>
          <w:tblHeader w:val="false"/>
        </w:trP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Dependencies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Supabase JS SDK via CDN only — zero other external dependencies</w:t>
            </w:r>
          </w:p>
        </w:tc>
      </w:tr>
    </w:tbl>
    <w:p>
      <w:pPr>
        <w:spacing w:before="160" w:after="0"/>
      </w:pPr>
      <w:r>
        <w:t xml:space="preserve"/>
      </w:r>
    </w:p>
    <w:p>
      <w:pPr>
        <w:pStyle w:val="Heading1"/>
        <w:pBdr>
          <w:bottom w:val="single" w:color="7B2FBE" w:sz="4" w:space="4"/>
        </w:pBdr>
        <w:spacing w:before="320" w:after="120"/>
      </w:pPr>
      <w:r>
        <w:rPr>
          <w:rFonts w:ascii="Arial" w:cs="Arial" w:eastAsia="Arial" w:hAnsi="Arial"/>
          <w:b/>
          <w:bCs/>
          <w:color w:val="7B2FBE"/>
          <w:sz w:val="28"/>
          <w:szCs w:val="28"/>
        </w:rPr>
        <w:t xml:space="preserve">Deployment</w:t>
      </w:r>
    </w:p>
    <w:p>
      <w:pPr>
        <w:spacing w:before="40" w:after="80"/>
      </w:pPr>
      <w:r>
        <w:rPr>
          <w:rFonts w:ascii="Arial" w:cs="Arial" w:eastAsia="Arial" w:hAnsi="Arial"/>
          <w:color w:val="444444"/>
          <w:sz w:val="20"/>
          <w:szCs w:val="20"/>
        </w:rPr>
        <w:t xml:space="preserve">Single HTML file. No build process required. Deploy by dragging the file to Netlify or pushing to any static host. The Supabase project URL and anon key are embedded — only the redirect URL configuration in Supabase Auth needs updating to match the live domain.</w:t>
      </w:r>
    </w:p>
    <w:p>
      <w:pPr>
        <w:spacing w:before="80" w:after="0"/>
      </w:pPr>
      <w:r>
        <w:t xml:space="preserve"/>
      </w:r>
    </w:p>
    <w:p>
      <w:pPr>
        <w:pStyle w:val="ListParagraph"/>
        <w:numPr>
          <w:ilvl w:val="0"/>
          <w:numId w:val="2"/>
        </w:numPr>
        <w:spacing w:before="30" w:after="30"/>
        <w:ind w:left="720" w:hanging="360"/>
      </w:pPr>
      <w:r>
        <w:rPr>
          <w:rFonts w:ascii="Arial" w:cs="Arial" w:eastAsia="Arial" w:hAnsi="Arial"/>
          <w:color w:val="444444"/>
          <w:sz w:val="20"/>
          <w:szCs w:val="20"/>
        </w:rPr>
        <w:t xml:space="preserve">No server — fully static</w:t>
      </w:r>
    </w:p>
    <w:p>
      <w:pPr>
        <w:pStyle w:val="ListParagraph"/>
        <w:numPr>
          <w:ilvl w:val="0"/>
          <w:numId w:val="2"/>
        </w:numPr>
        <w:spacing w:before="30" w:after="30"/>
        <w:ind w:left="720" w:hanging="360"/>
      </w:pPr>
      <w:r>
        <w:rPr>
          <w:rFonts w:ascii="Arial" w:cs="Arial" w:eastAsia="Arial" w:hAnsi="Arial"/>
          <w:color w:val="444444"/>
          <w:sz w:val="20"/>
          <w:szCs w:val="20"/>
        </w:rPr>
        <w:t xml:space="preserve">Works offline after first load (all logic is client-side)</w:t>
      </w:r>
    </w:p>
    <w:p>
      <w:pPr>
        <w:pStyle w:val="ListParagraph"/>
        <w:numPr>
          <w:ilvl w:val="0"/>
          <w:numId w:val="2"/>
        </w:numPr>
        <w:spacing w:before="30" w:after="30"/>
        <w:ind w:left="720" w:hanging="360"/>
      </w:pPr>
      <w:r>
        <w:rPr>
          <w:rFonts w:ascii="Arial" w:cs="Arial" w:eastAsia="Arial" w:hAnsi="Arial"/>
          <w:color w:val="444444"/>
          <w:sz w:val="20"/>
          <w:szCs w:val="20"/>
        </w:rPr>
        <w:t xml:space="preserve">Mobile browser compatible — no app store required</w:t>
      </w:r>
    </w:p>
    <w:p>
      <w:pPr>
        <w:pStyle w:val="ListParagraph"/>
        <w:numPr>
          <w:ilvl w:val="0"/>
          <w:numId w:val="2"/>
        </w:numPr>
        <w:spacing w:before="30" w:after="30"/>
        <w:ind w:left="720" w:hanging="360"/>
      </w:pPr>
      <w:r>
        <w:rPr>
          <w:rFonts w:ascii="Arial" w:cs="Arial" w:eastAsia="Arial" w:hAnsi="Arial"/>
          <w:color w:val="444444"/>
          <w:sz w:val="20"/>
          <w:szCs w:val="20"/>
        </w:rPr>
        <w:t xml:space="preserve">Auth magic link redirect URL must be whitelisted in Supabase Auth settings</w:t>
      </w:r>
    </w:p>
    <w:p>
      <w:pPr>
        <w:spacing w:before="160" w:after="0"/>
      </w:pPr>
      <w:r>
        <w:t xml:space="preserve"/>
      </w:r>
    </w:p>
    <w:p>
      <w:pPr>
        <w:pStyle w:val="Heading1"/>
        <w:pBdr>
          <w:bottom w:val="single" w:color="7B2FBE" w:sz="4" w:space="4"/>
        </w:pBdr>
        <w:spacing w:before="320" w:after="120"/>
      </w:pPr>
      <w:r>
        <w:rPr>
          <w:rFonts w:ascii="Arial" w:cs="Arial" w:eastAsia="Arial" w:hAnsi="Arial"/>
          <w:b/>
          <w:bCs/>
          <w:color w:val="7B2FBE"/>
          <w:sz w:val="28"/>
          <w:szCs w:val="28"/>
        </w:rPr>
        <w:t xml:space="preserve">Database Schema</w:t>
      </w:r>
    </w:p>
    <w:p>
      <w:pPr>
        <w:pStyle w:val="Heading2"/>
        <w:spacing w:before="240" w:after="80"/>
      </w:pPr>
      <w:r>
        <w:rPr>
          <w:rFonts w:ascii="Arial" w:cs="Arial" w:eastAsia="Arial" w:hAnsi="Arial"/>
          <w:b/>
          <w:bCs/>
          <w:color w:val="1A1A2E"/>
          <w:sz w:val="22"/>
          <w:szCs w:val="22"/>
        </w:rPr>
        <w:t xml:space="preserve">logs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7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color w:val="FFFFFF"/>
                <w:sz w:val="19"/>
                <w:szCs w:val="19"/>
              </w:rPr>
              <w:t xml:space="preserve">Description</w:t>
            </w:r>
          </w:p>
        </w:tc>
      </w:tr>
      <w:tr>
        <w:trPr>
          <w:tblHeader w:val="false"/>
        </w:trP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id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bigserial primary key</w:t>
            </w:r>
          </w:p>
        </w:tc>
      </w:tr>
      <w:tr>
        <w:trPr>
          <w:tblHeader w:val="false"/>
        </w:trP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user_id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uuid — references auth.users, enforces data isolation</w:t>
            </w:r>
          </w:p>
        </w:tc>
      </w:tr>
      <w:tr>
        <w:trPr>
          <w:tblHeader w:val="false"/>
        </w:trP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drug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 — drug key (e.g. "ritalin", "wellbutrin", "wellbutrin+remeron" for combo state)</w:t>
            </w:r>
          </w:p>
        </w:tc>
      </w:tr>
      <w:tr>
        <w:trPr>
          <w:tblHeader w:val="false"/>
        </w:trP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feel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integer 1–10 — subjective feeling score</w:t>
            </w:r>
          </w:p>
        </w:tc>
      </w:tr>
      <w:tr>
        <w:trPr>
          <w:tblHeader w:val="false"/>
        </w:trP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tags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 — array of selected mood/symptom tags</w:t>
            </w:r>
          </w:p>
        </w:tc>
      </w:tr>
      <w:tr>
        <w:trPr>
          <w:tblHeader w:val="false"/>
        </w:trP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note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 — freeform note</w:t>
            </w:r>
          </w:p>
        </w:tc>
      </w:tr>
      <w:tr>
        <w:trPr>
          <w:tblHeader w:val="false"/>
        </w:trP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time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 — HH:MM logged time (may differ from ts if retroactively edited)</w:t>
            </w:r>
          </w:p>
        </w:tc>
      </w:tr>
      <w:tr>
        <w:trPr>
          <w:tblHeader w:val="false"/>
        </w:trP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dose_time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 — HH:MM dose time at moment of logging</w:t>
            </w:r>
          </w:p>
        </w:tc>
      </w:tr>
      <w:tr>
        <w:trPr>
          <w:tblHeader w:val="false"/>
        </w:trP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elapsed_h</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float — hours elapsed since dose at log time</w:t>
            </w:r>
          </w:p>
        </w:tc>
      </w:tr>
      <w:tr>
        <w:trPr>
          <w:tblHeader w:val="false"/>
        </w:trP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zone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text — zone label at log time (recalculated on time edit)</w:t>
            </w:r>
          </w:p>
        </w:tc>
      </w:tr>
      <w:tr>
        <w:trPr>
          <w:tblHeader w:val="false"/>
        </w:trP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color w:val="1A1A2E"/>
                <w:sz w:val="19"/>
                <w:szCs w:val="19"/>
              </w:rPr>
              <w:t xml:space="preserve">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timestamptz — timestamp, default now(), updated on time edit</w:t>
            </w:r>
          </w:p>
        </w:tc>
      </w:tr>
    </w:tbl>
    <w:p>
      <w:pPr>
        <w:spacing w:before="120" w:after="0"/>
      </w:pPr>
      <w:r>
        <w:t xml:space="preserve"/>
      </w:r>
    </w:p>
    <w:p>
      <w:pPr>
        <w:spacing w:before="40" w:after="80"/>
      </w:pPr>
      <w:r>
        <w:rPr>
          <w:rFonts w:ascii="Arial" w:cs="Arial" w:eastAsia="Arial" w:hAnsi="Arial"/>
          <w:b/>
          <w:bCs/>
          <w:color w:val="444444"/>
          <w:sz w:val="20"/>
          <w:szCs w:val="20"/>
        </w:rPr>
        <w:t xml:space="preserve">Row-level security policy: </w:t>
      </w:r>
      <w:r>
        <w:rPr>
          <w:rFonts w:ascii="Arial" w:cs="Arial" w:eastAsia="Arial" w:hAnsi="Arial"/>
          <w:color w:val="444444"/>
          <w:sz w:val="20"/>
          <w:szCs w:val="20"/>
        </w:rPr>
        <w:t xml:space="preserve">auth.uid() = user_id on all operations. Users can never read or modify another user's rows, even with a valid session token.</w:t>
      </w:r>
    </w:p>
    <w:p>
      <w:pPr>
        <w:spacing w:before="160" w:after="0"/>
      </w:pPr>
      <w:r>
        <w:t xml:space="preserve"/>
      </w:r>
    </w:p>
    <w:p>
      <w:pPr>
        <w:pStyle w:val="Heading1"/>
        <w:pBdr>
          <w:bottom w:val="single" w:color="7B2FBE" w:sz="4" w:space="4"/>
        </w:pBdr>
        <w:spacing w:before="320" w:after="120"/>
      </w:pPr>
      <w:r>
        <w:rPr>
          <w:rFonts w:ascii="Arial" w:cs="Arial" w:eastAsia="Arial" w:hAnsi="Arial"/>
          <w:b/>
          <w:bCs/>
          <w:color w:val="7B2FBE"/>
          <w:sz w:val="28"/>
          <w:szCs w:val="28"/>
        </w:rPr>
        <w:t xml:space="preserve">Authentication</w:t>
      </w:r>
    </w:p>
    <w:p>
      <w:pPr>
        <w:spacing w:before="40" w:after="80"/>
      </w:pPr>
      <w:r>
        <w:rPr>
          <w:rFonts w:ascii="Arial" w:cs="Arial" w:eastAsia="Arial" w:hAnsi="Arial"/>
          <w:color w:val="444444"/>
          <w:sz w:val="20"/>
          <w:szCs w:val="20"/>
        </w:rPr>
        <w:t xml:space="preserve">Passwordless magic link via Supabase Auth. signInWithOtp() sends an email with a login URL. The Supabase onAuthStateChange listener catches the session on return and triggers launchApp(). Session persists in localStorage via Supabase SDK.</w:t>
      </w:r>
    </w:p>
    <w:p>
      <w:pPr>
        <w:spacing w:before="80" w:after="0"/>
      </w:pPr>
      <w:r>
        <w:t xml:space="preserve"/>
      </w:r>
    </w:p>
    <w:p>
      <w:pPr>
        <w:pStyle w:val="ListParagraph"/>
        <w:numPr>
          <w:ilvl w:val="0"/>
          <w:numId w:val="2"/>
        </w:numPr>
        <w:spacing w:before="30" w:after="30"/>
        <w:ind w:left="720" w:hanging="360"/>
      </w:pPr>
      <w:r>
        <w:rPr>
          <w:rFonts w:ascii="Arial" w:cs="Arial" w:eastAsia="Arial" w:hAnsi="Arial"/>
          <w:color w:val="444444"/>
          <w:sz w:val="20"/>
          <w:szCs w:val="20"/>
        </w:rPr>
        <w:t xml:space="preserve">One auth event per device — session survives page reloads and browser restarts</w:t>
      </w:r>
    </w:p>
    <w:p>
      <w:pPr>
        <w:pStyle w:val="ListParagraph"/>
        <w:numPr>
          <w:ilvl w:val="0"/>
          <w:numId w:val="2"/>
        </w:numPr>
        <w:spacing w:before="30" w:after="30"/>
        <w:ind w:left="720" w:hanging="360"/>
      </w:pPr>
      <w:r>
        <w:rPr>
          <w:rFonts w:ascii="Arial" w:cs="Arial" w:eastAsia="Arial" w:hAnsi="Arial"/>
          <w:color w:val="444444"/>
          <w:sz w:val="20"/>
          <w:szCs w:val="20"/>
        </w:rPr>
        <w:t xml:space="preserve">Guest mode: no auth, all data stays in localStorage only</w:t>
      </w:r>
    </w:p>
    <w:p>
      <w:pPr>
        <w:pStyle w:val="ListParagraph"/>
        <w:numPr>
          <w:ilvl w:val="0"/>
          <w:numId w:val="2"/>
        </w:numPr>
        <w:spacing w:before="30" w:after="30"/>
        <w:ind w:left="720" w:hanging="360"/>
      </w:pPr>
      <w:r>
        <w:rPr>
          <w:rFonts w:ascii="Arial" w:cs="Arial" w:eastAsia="Arial" w:hAnsi="Arial"/>
          <w:color w:val="444444"/>
          <w:sz w:val="20"/>
          <w:szCs w:val="20"/>
        </w:rPr>
        <w:t xml:space="preserve">Dose times always stay local regardless of auth state — session-specific data</w:t>
      </w:r>
    </w:p>
    <w:p>
      <w:pPr>
        <w:pStyle w:val="ListParagraph"/>
        <w:numPr>
          <w:ilvl w:val="0"/>
          <w:numId w:val="2"/>
        </w:numPr>
        <w:spacing w:before="30" w:after="30"/>
        <w:ind w:left="720" w:hanging="360"/>
      </w:pPr>
      <w:r>
        <w:rPr>
          <w:rFonts w:ascii="Arial" w:cs="Arial" w:eastAsia="Arial" w:hAnsi="Arial"/>
          <w:color w:val="444444"/>
          <w:sz w:val="20"/>
          <w:szCs w:val="20"/>
        </w:rPr>
        <w:t xml:space="preserve">Logs sync to Supabase when signed in, with localStorage cache for instant UI</w:t>
      </w:r>
    </w:p>
    <w:p>
      <w:pPr>
        <w:spacing w:before="160" w:after="0"/>
      </w:pPr>
      <w:r>
        <w:t xml:space="preserve"/>
      </w:r>
    </w:p>
    <w:p>
      <w:pPr>
        <w:pStyle w:val="Heading1"/>
        <w:pBdr>
          <w:bottom w:val="single" w:color="7B2FBE" w:sz="4" w:space="4"/>
        </w:pBdr>
        <w:spacing w:before="320" w:after="120"/>
      </w:pPr>
      <w:r>
        <w:rPr>
          <w:rFonts w:ascii="Arial" w:cs="Arial" w:eastAsia="Arial" w:hAnsi="Arial"/>
          <w:b/>
          <w:bCs/>
          <w:color w:val="7B2FBE"/>
          <w:sz w:val="28"/>
          <w:szCs w:val="28"/>
        </w:rPr>
        <w:t xml:space="preserve">Medications Covered</w:t>
      </w:r>
    </w:p>
    <w:p>
      <w:pPr>
        <w:spacing w:before="40" w:after="80"/>
      </w:pPr>
      <w:r>
        <w:rPr>
          <w:rFonts w:ascii="Arial" w:cs="Arial" w:eastAsia="Arial" w:hAnsi="Arial"/>
          <w:color w:val="444444"/>
          <w:sz w:val="20"/>
          <w:szCs w:val="20"/>
        </w:rPr>
        <w:t xml:space="preserve">Each drug has research-backed zone definitions derived from published pharmacokinetic data including FDA labels, clinical pharmacology studies, and peer-reviewed literature.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1200"/>
        <w:gridCol w:w="29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Drug</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Doses</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Half-life</w:t>
            </w:r>
          </w:p>
        </w:tc>
        <w:tc>
          <w:tcPr>
            <w:tcW w:type="dxa" w:w="2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Key notes</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7B2FBE"/>
                <w:sz w:val="19"/>
                <w:szCs w:val="19"/>
              </w:rPr>
              <w:t xml:space="preserve">Ritalin LA</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DARI — bimodal</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2–3 hr</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IR + delayed bead release. Two distinct peaks ~1.5hr and ~5hr post-dose</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D06820"/>
                <w:sz w:val="19"/>
                <w:szCs w:val="19"/>
              </w:rPr>
              <w:t xml:space="preserve">Concerta 27mg</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DARI — OROS pump</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3.5 hr</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Ascending curve. Tmax 6.8hr FDA-confirmed. Peak arrives mid-afternoon</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B5FD4"/>
                <w:sz w:val="19"/>
                <w:szCs w:val="19"/>
              </w:rPr>
              <w:t xml:space="preserve">Wellbutrin XL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150 / 300 / 450mg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NDRI</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21 hr</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Tmax ~5hr. Hydroxybupropion is primary active metabolite. CYP2D6 inhibitor</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2E8B57"/>
                <w:sz w:val="19"/>
                <w:szCs w:val="19"/>
              </w:rPr>
              <w:t xml:space="preserve">Lamictal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25/50/75/100/150/200mg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Na+ channel blocker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22–37 hr</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Linear PK. No acute effect — cumulative over weeks. 98% bioavailability</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878B8"/>
                <w:sz w:val="19"/>
                <w:szCs w:val="19"/>
              </w:rPr>
              <w:t xml:space="preserve">Remeron 7.5mg</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NaSSA — H1 + α2 block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26–37 hr</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Sex-adjusted zones (37hr female / 26hr male). Most sedating at lowest dose</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D06820"/>
                <w:sz w:val="19"/>
                <w:szCs w:val="19"/>
              </w:rPr>
              <w:t xml:space="preserve">Lexapro 10mg</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SSRI — SERT block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27–32 hr</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Tmax 5hr. Steady state 7–10 days. Effects cumulative — no acute peak feel</w:t>
            </w:r>
          </w:p>
        </w:tc>
      </w:tr>
    </w:tbl>
    <w:p>
      <w:pPr>
        <w:spacing w:before="160" w:after="0"/>
      </w:pPr>
      <w:r>
        <w:t xml:space="preserve"/>
      </w:r>
    </w:p>
    <w:p>
      <w:pPr>
        <w:pStyle w:val="Heading1"/>
        <w:pBdr>
          <w:bottom w:val="single" w:color="7B2FBE" w:sz="4" w:space="4"/>
        </w:pBdr>
        <w:spacing w:before="320" w:after="120"/>
      </w:pPr>
      <w:r>
        <w:rPr>
          <w:rFonts w:ascii="Arial" w:cs="Arial" w:eastAsia="Arial" w:hAnsi="Arial"/>
          <w:b/>
          <w:bCs/>
          <w:color w:val="7B2FBE"/>
          <w:sz w:val="28"/>
          <w:szCs w:val="28"/>
        </w:rPr>
        <w:t xml:space="preserve">Algorithmic Logic</w:t>
      </w:r>
    </w:p>
    <w:p>
      <w:pPr>
        <w:pStyle w:val="Heading2"/>
        <w:spacing w:before="240" w:after="80"/>
      </w:pPr>
      <w:r>
        <w:rPr>
          <w:rFonts w:ascii="Arial" w:cs="Arial" w:eastAsia="Arial" w:hAnsi="Arial"/>
          <w:b/>
          <w:bCs/>
          <w:color w:val="1A1A2E"/>
          <w:sz w:val="22"/>
          <w:szCs w:val="22"/>
        </w:rPr>
        <w:t xml:space="preserve">Pharmacokinetic Zone Engine</w:t>
      </w:r>
    </w:p>
    <w:p>
      <w:pPr>
        <w:spacing w:before="40" w:after="80"/>
      </w:pPr>
      <w:r>
        <w:rPr>
          <w:rFonts w:ascii="Arial" w:cs="Arial" w:eastAsia="Arial" w:hAnsi="Arial"/>
          <w:color w:val="444444"/>
          <w:sz w:val="20"/>
          <w:szCs w:val="20"/>
        </w:rPr>
        <w:t xml:space="preserve">Each drug has a zones array of objects with start, end (elapsed hours), label, power score, and zone type flags (peak, second, third). getZone(doseH, zones, elapsedOverride) finds the matching zone by comparing elapsed hours against zone boundaries. All timelines update every 30 seconds via a ticker.</w:t>
      </w:r>
    </w:p>
    <w:p>
      <w:pPr>
        <w:spacing w:before="100" w:after="0"/>
      </w:pPr>
      <w:r>
        <w:t xml:space="preserve"/>
      </w:r>
    </w:p>
    <w:p>
      <w:pPr>
        <w:pStyle w:val="Heading2"/>
        <w:spacing w:before="240" w:after="80"/>
      </w:pPr>
      <w:r>
        <w:rPr>
          <w:rFonts w:ascii="Arial" w:cs="Arial" w:eastAsia="Arial" w:hAnsi="Arial"/>
          <w:b/>
          <w:bCs/>
          <w:color w:val="1A1A2E"/>
          <w:sz w:val="22"/>
          <w:szCs w:val="22"/>
        </w:rPr>
        <w:t xml:space="preserve">Adaptive Peak Calibration</w:t>
      </w:r>
    </w:p>
    <w:p>
      <w:pPr>
        <w:spacing w:before="40" w:after="80"/>
      </w:pPr>
      <w:r>
        <w:rPr>
          <w:rFonts w:ascii="Arial" w:cs="Arial" w:eastAsia="Arial" w:hAnsi="Arial"/>
          <w:color w:val="444444"/>
          <w:sz w:val="20"/>
          <w:szCs w:val="20"/>
        </w:rPr>
        <w:t xml:space="preserve">After 6 logged entries with elapsed time data, the app begins shifting zone boundaries to match the user's personal peak timing. The algorithm:</w:t>
      </w:r>
    </w:p>
    <w:p>
      <w:pPr>
        <w:spacing w:before="60" w:after="0"/>
      </w:pPr>
      <w:r>
        <w:t xml:space="preserve"/>
      </w:r>
    </w:p>
    <w:p>
      <w:pPr>
        <w:pStyle w:val="ListParagraph"/>
        <w:numPr>
          <w:ilvl w:val="0"/>
          <w:numId w:val="2"/>
        </w:numPr>
        <w:spacing w:before="30" w:after="30"/>
        <w:ind w:left="720" w:hanging="360"/>
      </w:pPr>
      <w:r>
        <w:rPr>
          <w:rFonts w:ascii="Arial" w:cs="Arial" w:eastAsia="Arial" w:hAnsi="Arial"/>
          <w:color w:val="444444"/>
          <w:sz w:val="20"/>
          <w:szCs w:val="20"/>
        </w:rPr>
        <w:t xml:space="preserve">Buckets feel scores into 0.5-hour elapsed-time windows</w:t>
      </w:r>
    </w:p>
    <w:p>
      <w:pPr>
        <w:pStyle w:val="ListParagraph"/>
        <w:numPr>
          <w:ilvl w:val="0"/>
          <w:numId w:val="2"/>
        </w:numPr>
        <w:spacing w:before="30" w:after="30"/>
        <w:ind w:left="720" w:hanging="360"/>
      </w:pPr>
      <w:r>
        <w:rPr>
          <w:rFonts w:ascii="Arial" w:cs="Arial" w:eastAsia="Arial" w:hAnsi="Arial"/>
          <w:color w:val="444444"/>
          <w:sz w:val="20"/>
          <w:szCs w:val="20"/>
        </w:rPr>
        <w:t xml:space="preserve">Adds 8 phantom "anchor" entries at the pharmacokinetic default peak (weight: feel=8) — resists early drift</w:t>
      </w:r>
    </w:p>
    <w:p>
      <w:pPr>
        <w:pStyle w:val="ListParagraph"/>
        <w:numPr>
          <w:ilvl w:val="0"/>
          <w:numId w:val="2"/>
        </w:numPr>
        <w:spacing w:before="30" w:after="30"/>
        <w:ind w:left="720" w:hanging="360"/>
      </w:pPr>
      <w:r>
        <w:rPr>
          <w:rFonts w:ascii="Arial" w:cs="Arial" w:eastAsia="Arial" w:hAnsi="Arial"/>
          <w:color w:val="444444"/>
          <w:sz w:val="20"/>
          <w:szCs w:val="20"/>
        </w:rPr>
        <w:t xml:space="preserve">Applies exponential decay weighting: newest = 1.0, each older entry multiplied by 0.88</w:t>
      </w:r>
    </w:p>
    <w:p>
      <w:pPr>
        <w:pStyle w:val="ListParagraph"/>
        <w:numPr>
          <w:ilvl w:val="0"/>
          <w:numId w:val="2"/>
        </w:numPr>
        <w:spacing w:before="30" w:after="30"/>
        <w:ind w:left="720" w:hanging="360"/>
      </w:pPr>
      <w:r>
        <w:rPr>
          <w:rFonts w:ascii="Arial" w:cs="Arial" w:eastAsia="Arial" w:hAnsi="Arial"/>
          <w:color w:val="444444"/>
          <w:sz w:val="20"/>
          <w:szCs w:val="20"/>
        </w:rPr>
        <w:t xml:space="preserve">Finds the peak centroid from top-scoring buckets (within 85% of best score)</w:t>
      </w:r>
    </w:p>
    <w:p>
      <w:pPr>
        <w:pStyle w:val="ListParagraph"/>
        <w:numPr>
          <w:ilvl w:val="0"/>
          <w:numId w:val="2"/>
        </w:numPr>
        <w:spacing w:before="30" w:after="30"/>
        <w:ind w:left="720" w:hanging="360"/>
      </w:pPr>
      <w:r>
        <w:rPr>
          <w:rFonts w:ascii="Arial" w:cs="Arial" w:eastAsia="Arial" w:hAnsi="Arial"/>
          <w:color w:val="444444"/>
          <w:sz w:val="20"/>
          <w:szCs w:val="20"/>
        </w:rPr>
        <w:t xml:space="preserve">Calculates shift from default, clamps to per-drug maximum based on published Tmax variability</w:t>
      </w:r>
    </w:p>
    <w:p>
      <w:pPr>
        <w:pStyle w:val="ListParagraph"/>
        <w:numPr>
          <w:ilvl w:val="0"/>
          <w:numId w:val="2"/>
        </w:numPr>
        <w:spacing w:before="30" w:after="30"/>
        <w:ind w:left="720" w:hanging="360"/>
      </w:pPr>
      <w:r>
        <w:rPr>
          <w:rFonts w:ascii="Arial" w:cs="Arial" w:eastAsia="Arial" w:hAnsi="Arial"/>
          <w:color w:val="444444"/>
          <w:sz w:val="20"/>
          <w:szCs w:val="20"/>
        </w:rPr>
        <w:t xml:space="preserve">Confidence score derived from log count and high-feel entry count — shown in calibration banner</w:t>
      </w:r>
    </w:p>
    <w:p>
      <w:pPr>
        <w:spacing w:before="100" w:after="0"/>
      </w:pPr>
      <w:r>
        <w:t xml:space="preserve"/>
      </w:r>
    </w:p>
    <w:p>
      <w:pPr>
        <w:spacing w:before="40" w:after="80"/>
      </w:pPr>
      <w:r>
        <w:rPr>
          <w:rFonts w:ascii="Arial" w:cs="Arial" w:eastAsia="Arial" w:hAnsi="Arial"/>
          <w:b/>
          <w:bCs/>
          <w:color w:val="444444"/>
          <w:sz w:val="20"/>
          <w:szCs w:val="20"/>
        </w:rPr>
        <w:t xml:space="preserve">Per-drug shift ceilings: </w:t>
      </w:r>
      <w:r>
        <w:rPr>
          <w:rFonts w:ascii="Arial" w:cs="Arial" w:eastAsia="Arial" w:hAnsi="Arial"/>
          <w:color w:val="444444"/>
          <w:sz w:val="20"/>
          <w:szCs w:val="20"/>
        </w:rPr>
        <w:t xml:space="preserve">Ritalin ±2hr (second peak range 3–10hr), Concerta ±2hr (FDA Tmax SD ±1.8hr), Wellbutrin ±2hr (flagged "highly variable" by FDA), Lamictal ±1.5hr, Remeron ±1.5hr, Lexapro ±1hr.</w:t>
      </w:r>
    </w:p>
    <w:p>
      <w:pPr>
        <w:spacing w:before="100" w:after="0"/>
      </w:pPr>
      <w:r>
        <w:t xml:space="preserve"/>
      </w:r>
    </w:p>
    <w:p>
      <w:pPr>
        <w:pStyle w:val="Heading2"/>
        <w:spacing w:before="240" w:after="80"/>
      </w:pPr>
      <w:r>
        <w:rPr>
          <w:rFonts w:ascii="Arial" w:cs="Arial" w:eastAsia="Arial" w:hAnsi="Arial"/>
          <w:b/>
          <w:bCs/>
          <w:color w:val="1A1A2E"/>
          <w:sz w:val="22"/>
          <w:szCs w:val="22"/>
        </w:rPr>
        <w:t xml:space="preserve">Wellbutrin + Remeron Interaction Engine</w:t>
      </w:r>
    </w:p>
    <w:p>
      <w:pPr>
        <w:spacing w:before="40" w:after="80"/>
      </w:pPr>
      <w:r>
        <w:rPr>
          <w:rFonts w:ascii="Arial" w:cs="Arial" w:eastAsia="Arial" w:hAnsi="Arial"/>
          <w:color w:val="444444"/>
          <w:sz w:val="20"/>
          <w:szCs w:val="20"/>
        </w:rPr>
        <w:t xml:space="preserve">When both drugs have dose times entered, the app detects the current combo phase and renders a live interaction panel. The engine maps the pair of current zone labels to one of four pharmacodynamic phases:</w:t>
      </w:r>
    </w:p>
    <w:p>
      <w:pPr>
        <w:spacing w:before="60" w:after="0"/>
      </w:pPr>
      <w:r>
        <w:t xml:space="preserve"/>
      </w:r>
    </w:p>
    <w:p>
      <w:pPr>
        <w:pStyle w:val="ListParagraph"/>
        <w:numPr>
          <w:ilvl w:val="0"/>
          <w:numId w:val="2"/>
        </w:numPr>
        <w:spacing w:before="30" w:after="30"/>
        <w:ind w:left="720" w:hanging="360"/>
      </w:pPr>
      <w:r>
        <w:rPr>
          <w:rFonts w:ascii="Arial" w:cs="Arial" w:eastAsia="Arial" w:hAnsi="Arial"/>
          <w:color w:val="444444"/>
          <w:sz w:val="20"/>
          <w:szCs w:val="20"/>
        </w:rPr>
        <w:t xml:space="preserve">Morning synergy — Wellbutrin building + Remeron residual: both drugs elevating NE simultaneously via different mechanisms (α2 blockade + reuptake inhibition)</w:t>
      </w:r>
    </w:p>
    <w:p>
      <w:pPr>
        <w:pStyle w:val="ListParagraph"/>
        <w:numPr>
          <w:ilvl w:val="0"/>
          <w:numId w:val="2"/>
        </w:numPr>
        <w:spacing w:before="30" w:after="30"/>
        <w:ind w:left="720" w:hanging="360"/>
      </w:pPr>
      <w:r>
        <w:rPr>
          <w:rFonts w:ascii="Arial" w:cs="Arial" w:eastAsia="Arial" w:hAnsi="Arial"/>
          <w:color w:val="444444"/>
          <w:sz w:val="20"/>
          <w:szCs w:val="20"/>
        </w:rPr>
        <w:t xml:space="preserve">Daytime peak — Wellbutrin at full effect + Remeron at trough: chronic receptor-level changes from mirtazapine active in background</w:t>
      </w:r>
    </w:p>
    <w:p>
      <w:pPr>
        <w:pStyle w:val="ListParagraph"/>
        <w:numPr>
          <w:ilvl w:val="0"/>
          <w:numId w:val="2"/>
        </w:numPr>
        <w:spacing w:before="30" w:after="30"/>
        <w:ind w:left="720" w:hanging="360"/>
      </w:pPr>
      <w:r>
        <w:rPr>
          <w:rFonts w:ascii="Arial" w:cs="Arial" w:eastAsia="Arial" w:hAnsi="Arial"/>
          <w:color w:val="444444"/>
          <w:sz w:val="20"/>
          <w:szCs w:val="20"/>
        </w:rPr>
        <w:t xml:space="preserve">Evening transition — both tapering: cumulative steady-state effects fully established</w:t>
      </w:r>
    </w:p>
    <w:p>
      <w:pPr>
        <w:pStyle w:val="ListParagraph"/>
        <w:numPr>
          <w:ilvl w:val="0"/>
          <w:numId w:val="2"/>
        </w:numPr>
        <w:spacing w:before="30" w:after="30"/>
        <w:ind w:left="720" w:hanging="360"/>
      </w:pPr>
      <w:r>
        <w:rPr>
          <w:rFonts w:ascii="Arial" w:cs="Arial" w:eastAsia="Arial" w:hAnsi="Arial"/>
          <w:color w:val="444444"/>
          <w:sz w:val="20"/>
          <w:szCs w:val="20"/>
        </w:rPr>
        <w:t xml:space="preserve">Sleep phase — Remeron peaking overnight: deep sedation, slow-wave sleep enhancement, Wellbutrin cleared</w:t>
      </w:r>
    </w:p>
    <w:p>
      <w:pPr>
        <w:spacing w:before="60" w:after="0"/>
      </w:pPr>
      <w:r>
        <w:t xml:space="preserve"/>
      </w:r>
    </w:p>
    <w:p>
      <w:pPr>
        <w:spacing w:before="40" w:after="80"/>
      </w:pPr>
      <w:r>
        <w:rPr>
          <w:rFonts w:ascii="Arial" w:cs="Arial" w:eastAsia="Arial" w:hAnsi="Arial"/>
          <w:b/>
          <w:bCs/>
          <w:color w:val="444444"/>
          <w:sz w:val="20"/>
          <w:szCs w:val="20"/>
        </w:rPr>
        <w:t xml:space="preserve">Research basis: </w:t>
      </w:r>
      <w:r>
        <w:rPr>
          <w:rFonts w:ascii="Arial" w:cs="Arial" w:eastAsia="Arial" w:hAnsi="Arial"/>
          <w:color w:val="444444"/>
          <w:sz w:val="20"/>
          <w:szCs w:val="20"/>
        </w:rPr>
        <w:t xml:space="preserve">Blier et al. 2010 (46% vs 25% remission double-blind RCT), STAR*D, CO-MED trial, Millan 2000 α2 blockade mechanism, Stahl bupropion NE/DA review.</w:t>
      </w:r>
    </w:p>
    <w:p>
      <w:pPr>
        <w:spacing w:before="100" w:after="0"/>
      </w:pPr>
      <w:r>
        <w:t xml:space="preserve"/>
      </w:r>
    </w:p>
    <w:p>
      <w:pPr>
        <w:pStyle w:val="Heading2"/>
        <w:spacing w:before="240" w:after="80"/>
      </w:pPr>
      <w:r>
        <w:rPr>
          <w:rFonts w:ascii="Arial" w:cs="Arial" w:eastAsia="Arial" w:hAnsi="Arial"/>
          <w:b/>
          <w:bCs/>
          <w:color w:val="1A1A2E"/>
          <w:sz w:val="22"/>
          <w:szCs w:val="22"/>
        </w:rPr>
        <w:t xml:space="preserve">3AM Day Rollover</w:t>
      </w:r>
    </w:p>
    <w:p>
      <w:pPr>
        <w:spacing w:before="40" w:after="80"/>
      </w:pPr>
      <w:r>
        <w:rPr>
          <w:rFonts w:ascii="Arial" w:cs="Arial" w:eastAsia="Arial" w:hAnsi="Arial"/>
          <w:color w:val="444444"/>
          <w:sz w:val="20"/>
          <w:szCs w:val="20"/>
        </w:rPr>
        <w:t xml:space="preserve">Logical day boundaries at 3am instead of midnight. Entries logged between midnight and 3am belong to the previous logical day. A 30-second ticker detects the rollover, clears dose times, and shows a new-day banner. All calendar strip day keys and log grouping use the appDay() helper.</w:t>
      </w:r>
    </w:p>
    <w:p>
      <w:pPr>
        <w:spacing w:before="100" w:after="0"/>
      </w:pPr>
      <w:r>
        <w:t xml:space="preserve"/>
      </w:r>
    </w:p>
    <w:p>
      <w:pPr>
        <w:pStyle w:val="Heading2"/>
        <w:spacing w:before="240" w:after="80"/>
      </w:pPr>
      <w:r>
        <w:rPr>
          <w:rFonts w:ascii="Arial" w:cs="Arial" w:eastAsia="Arial" w:hAnsi="Arial"/>
          <w:b/>
          <w:bCs/>
          <w:color w:val="1A1A2E"/>
          <w:sz w:val="22"/>
          <w:szCs w:val="22"/>
        </w:rPr>
        <w:t xml:space="preserve">Sex-Adjusted Remeron Zones</w:t>
      </w:r>
    </w:p>
    <w:p>
      <w:pPr>
        <w:spacing w:before="40" w:after="80"/>
      </w:pPr>
      <w:r>
        <w:rPr>
          <w:rFonts w:ascii="Arial" w:cs="Arial" w:eastAsia="Arial" w:hAnsi="Arial"/>
          <w:color w:val="444444"/>
          <w:sz w:val="20"/>
          <w:szCs w:val="20"/>
        </w:rPr>
        <w:t xml:space="preserve">A biological sex selector on the Remeron tab adjusts zone durations based on published half-life differences. Female mean ~37hr vs male mean ~26hr. Residual Sedation and Clearing zones extend ~1.5–3hr for female. getEffectiveZones() applies sex adjustment before adaptive calibration.</w:t>
      </w:r>
    </w:p>
    <w:p>
      <w:pPr>
        <w:spacing w:before="100" w:after="0"/>
      </w:pPr>
      <w:r>
        <w:t xml:space="preserve"/>
      </w:r>
    </w:p>
    <w:p>
      <w:pPr>
        <w:pStyle w:val="Heading2"/>
        <w:spacing w:before="240" w:after="80"/>
      </w:pPr>
      <w:r>
        <w:rPr>
          <w:rFonts w:ascii="Arial" w:cs="Arial" w:eastAsia="Arial" w:hAnsi="Arial"/>
          <w:b/>
          <w:bCs/>
          <w:color w:val="1A1A2E"/>
          <w:sz w:val="22"/>
          <w:szCs w:val="22"/>
        </w:rPr>
        <w:t xml:space="preserve">Combo Log Attribution</w:t>
      </w:r>
    </w:p>
    <w:p>
      <w:pPr>
        <w:spacing w:before="40" w:after="80"/>
      </w:pPr>
      <w:r>
        <w:rPr>
          <w:rFonts w:ascii="Arial" w:cs="Arial" w:eastAsia="Arial" w:hAnsi="Arial"/>
          <w:color w:val="444444"/>
          <w:sz w:val="20"/>
          <w:szCs w:val="20"/>
        </w:rPr>
        <w:t xml:space="preserve">When both Wellbutrin and Remeron are active, logs are saved under the virtual drug key "wellbutrin+remeron" rather than either individual drug. The zone stored is the combo phase name. A dedicated Combo tab appears in the log page tab bar once any combo entries exist.</w:t>
      </w:r>
    </w:p>
    <w:p>
      <w:pPr>
        <w:spacing w:before="160" w:after="0"/>
      </w:pPr>
      <w:r>
        <w:t xml:space="preserve"/>
      </w:r>
    </w:p>
    <w:p>
      <w:pPr>
        <w:pStyle w:val="Heading1"/>
        <w:pBdr>
          <w:bottom w:val="single" w:color="7B2FBE" w:sz="4" w:space="4"/>
        </w:pBdr>
        <w:spacing w:before="320" w:after="120"/>
      </w:pPr>
      <w:r>
        <w:rPr>
          <w:rFonts w:ascii="Arial" w:cs="Arial" w:eastAsia="Arial" w:hAnsi="Arial"/>
          <w:b/>
          <w:bCs/>
          <w:color w:val="7B2FBE"/>
          <w:sz w:val="28"/>
          <w:szCs w:val="28"/>
        </w:rPr>
        <w:t xml:space="preserve">Log System</w:t>
      </w:r>
    </w:p>
    <w:p>
      <w:pPr>
        <w:pStyle w:val="Heading2"/>
        <w:spacing w:before="240" w:after="80"/>
      </w:pPr>
      <w:r>
        <w:rPr>
          <w:rFonts w:ascii="Arial" w:cs="Arial" w:eastAsia="Arial" w:hAnsi="Arial"/>
          <w:b/>
          <w:bCs/>
          <w:color w:val="1A1A2E"/>
          <w:sz w:val="22"/>
          <w:szCs w:val="22"/>
        </w:rPr>
        <w:t xml:space="preserve">Features</w:t>
      </w:r>
    </w:p>
    <w:p>
      <w:pPr>
        <w:pStyle w:val="ListParagraph"/>
        <w:numPr>
          <w:ilvl w:val="0"/>
          <w:numId w:val="2"/>
        </w:numPr>
        <w:spacing w:before="30" w:after="30"/>
        <w:ind w:left="720" w:hanging="360"/>
      </w:pPr>
      <w:r>
        <w:rPr>
          <w:rFonts w:ascii="Arial" w:cs="Arial" w:eastAsia="Arial" w:hAnsi="Arial"/>
          <w:color w:val="444444"/>
          <w:sz w:val="20"/>
          <w:szCs w:val="20"/>
        </w:rPr>
        <w:t xml:space="preserve">Feel score 1–10 with 26 mood/symptom tags and freeform note</w:t>
      </w:r>
    </w:p>
    <w:p>
      <w:pPr>
        <w:pStyle w:val="ListParagraph"/>
        <w:numPr>
          <w:ilvl w:val="0"/>
          <w:numId w:val="2"/>
        </w:numPr>
        <w:spacing w:before="30" w:after="30"/>
        <w:ind w:left="720" w:hanging="360"/>
      </w:pPr>
      <w:r>
        <w:rPr>
          <w:rFonts w:ascii="Arial" w:cs="Arial" w:eastAsia="Arial" w:hAnsi="Arial"/>
          <w:color w:val="444444"/>
          <w:sz w:val="20"/>
          <w:szCs w:val="20"/>
        </w:rPr>
        <w:t xml:space="preserve">Log time editable retroactively — elapsed hours and zone recalculate from stored dose time</w:t>
      </w:r>
    </w:p>
    <w:p>
      <w:pPr>
        <w:pStyle w:val="ListParagraph"/>
        <w:numPr>
          <w:ilvl w:val="0"/>
          <w:numId w:val="2"/>
        </w:numPr>
        <w:spacing w:before="30" w:after="30"/>
        <w:ind w:left="720" w:hanging="360"/>
      </w:pPr>
      <w:r>
        <w:rPr>
          <w:rFonts w:ascii="Arial" w:cs="Arial" w:eastAsia="Arial" w:hAnsi="Arial"/>
          <w:color w:val="444444"/>
          <w:sz w:val="20"/>
          <w:szCs w:val="20"/>
        </w:rPr>
        <w:t xml:space="preserve">By day view: last 10 days newest-first, entries within days sorted by timestamp</w:t>
      </w:r>
    </w:p>
    <w:p>
      <w:pPr>
        <w:pStyle w:val="ListParagraph"/>
        <w:numPr>
          <w:ilvl w:val="0"/>
          <w:numId w:val="2"/>
        </w:numPr>
        <w:spacing w:before="30" w:after="30"/>
        <w:ind w:left="720" w:hanging="360"/>
      </w:pPr>
      <w:r>
        <w:rPr>
          <w:rFonts w:ascii="Arial" w:cs="Arial" w:eastAsia="Arial" w:hAnsi="Arial"/>
          <w:color w:val="444444"/>
          <w:sz w:val="20"/>
          <w:szCs w:val="20"/>
        </w:rPr>
        <w:t xml:space="preserve">By cycle view: entries grouped by zone — reveals patterns across days</w:t>
      </w:r>
    </w:p>
    <w:p>
      <w:pPr>
        <w:pStyle w:val="ListParagraph"/>
        <w:numPr>
          <w:ilvl w:val="0"/>
          <w:numId w:val="2"/>
        </w:numPr>
        <w:spacing w:before="30" w:after="30"/>
        <w:ind w:left="720" w:hanging="360"/>
      </w:pPr>
      <w:r>
        <w:rPr>
          <w:rFonts w:ascii="Arial" w:cs="Arial" w:eastAsia="Arial" w:hAnsi="Arial"/>
          <w:color w:val="444444"/>
          <w:sz w:val="20"/>
          <w:szCs w:val="20"/>
        </w:rPr>
        <w:t xml:space="preserve">30-day calendar strip with feel score dots and daily averages per day</w:t>
      </w:r>
    </w:p>
    <w:p>
      <w:pPr>
        <w:pStyle w:val="ListParagraph"/>
        <w:numPr>
          <w:ilvl w:val="0"/>
          <w:numId w:val="2"/>
        </w:numPr>
        <w:spacing w:before="30" w:after="30"/>
        <w:ind w:left="720" w:hanging="360"/>
      </w:pPr>
      <w:r>
        <w:rPr>
          <w:rFonts w:ascii="Arial" w:cs="Arial" w:eastAsia="Arial" w:hAnsi="Arial"/>
          <w:color w:val="444444"/>
          <w:sz w:val="20"/>
          <w:szCs w:val="20"/>
        </w:rPr>
        <w:t xml:space="preserve">Filters: all / feeling high (7+) / mid (4–6) / low (1–3) / has tags / has notes</w:t>
      </w:r>
    </w:p>
    <w:p>
      <w:pPr>
        <w:pStyle w:val="ListParagraph"/>
        <w:numPr>
          <w:ilvl w:val="0"/>
          <w:numId w:val="2"/>
        </w:numPr>
        <w:spacing w:before="30" w:after="30"/>
        <w:ind w:left="720" w:hanging="360"/>
      </w:pPr>
      <w:r>
        <w:rPr>
          <w:rFonts w:ascii="Arial" w:cs="Arial" w:eastAsia="Arial" w:hAnsi="Arial"/>
          <w:color w:val="444444"/>
          <w:sz w:val="20"/>
          <w:szCs w:val="20"/>
        </w:rPr>
        <w:t xml:space="preserve">Adaptive calibration banner shows confidence, shift direction, and entry progress</w:t>
      </w:r>
    </w:p>
    <w:p>
      <w:pPr>
        <w:spacing w:before="100" w:after="0"/>
      </w:pPr>
      <w:r>
        <w:t xml:space="preserve"/>
      </w:r>
    </w:p>
    <w:p>
      <w:pPr>
        <w:pStyle w:val="Heading2"/>
        <w:spacing w:before="240" w:after="80"/>
      </w:pPr>
      <w:r>
        <w:rPr>
          <w:rFonts w:ascii="Arial" w:cs="Arial" w:eastAsia="Arial" w:hAnsi="Arial"/>
          <w:b/>
          <w:bCs/>
          <w:color w:val="1A1A2E"/>
          <w:sz w:val="22"/>
          <w:szCs w:val="22"/>
        </w:rPr>
        <w:t xml:space="preserve">Data Flow</w:t>
      </w:r>
    </w:p>
    <w:p>
      <w:pPr>
        <w:pStyle w:val="ListParagraph"/>
        <w:numPr>
          <w:ilvl w:val="0"/>
          <w:numId w:val="2"/>
        </w:numPr>
        <w:spacing w:before="30" w:after="30"/>
        <w:ind w:left="720" w:hanging="360"/>
      </w:pPr>
      <w:r>
        <w:rPr>
          <w:rFonts w:ascii="Arial" w:cs="Arial" w:eastAsia="Arial" w:hAnsi="Arial"/>
          <w:color w:val="444444"/>
          <w:sz w:val="20"/>
          <w:szCs w:val="20"/>
        </w:rPr>
        <w:t xml:space="preserve">saveLog(): writes to Supabase + caches locally for instant UI render</w:t>
      </w:r>
    </w:p>
    <w:p>
      <w:pPr>
        <w:pStyle w:val="ListParagraph"/>
        <w:numPr>
          <w:ilvl w:val="0"/>
          <w:numId w:val="2"/>
        </w:numPr>
        <w:spacing w:before="30" w:after="30"/>
        <w:ind w:left="720" w:hanging="360"/>
      </w:pPr>
      <w:r>
        <w:rPr>
          <w:rFonts w:ascii="Arial" w:cs="Arial" w:eastAsia="Arial" w:hAnsi="Arial"/>
          <w:color w:val="444444"/>
          <w:sz w:val="20"/>
          <w:szCs w:val="20"/>
        </w:rPr>
        <w:t xml:space="preserve">fetchLogsFromSupabase(): fetches on log page open, overwrites local cache</w:t>
      </w:r>
    </w:p>
    <w:p>
      <w:pPr>
        <w:pStyle w:val="ListParagraph"/>
        <w:numPr>
          <w:ilvl w:val="0"/>
          <w:numId w:val="2"/>
        </w:numPr>
        <w:spacing w:before="30" w:after="30"/>
        <w:ind w:left="720" w:hanging="360"/>
      </w:pPr>
      <w:r>
        <w:rPr>
          <w:rFonts w:ascii="Arial" w:cs="Arial" w:eastAsia="Arial" w:hAnsi="Arial"/>
          <w:color w:val="444444"/>
          <w:sz w:val="20"/>
          <w:szCs w:val="20"/>
        </w:rPr>
        <w:t xml:space="preserve">saveEditTime(): updates local entry, syncs time / elapsed_h / zone / ts to Supabase</w:t>
      </w:r>
    </w:p>
    <w:p>
      <w:pPr>
        <w:pStyle w:val="ListParagraph"/>
        <w:numPr>
          <w:ilvl w:val="0"/>
          <w:numId w:val="2"/>
        </w:numPr>
        <w:spacing w:before="30" w:after="30"/>
        <w:ind w:left="720" w:hanging="360"/>
      </w:pPr>
      <w:r>
        <w:rPr>
          <w:rFonts w:ascii="Arial" w:cs="Arial" w:eastAsia="Arial" w:hAnsi="Arial"/>
          <w:color w:val="444444"/>
          <w:sz w:val="20"/>
          <w:szCs w:val="20"/>
        </w:rPr>
        <w:t xml:space="preserve">deleteLog(): removes from Supabase and local cache</w:t>
      </w:r>
    </w:p>
    <w:p>
      <w:pPr>
        <w:pStyle w:val="ListParagraph"/>
        <w:numPr>
          <w:ilvl w:val="0"/>
          <w:numId w:val="2"/>
        </w:numPr>
        <w:spacing w:before="30" w:after="30"/>
        <w:ind w:left="720" w:hanging="360"/>
      </w:pPr>
      <w:r>
        <w:rPr>
          <w:rFonts w:ascii="Arial" w:cs="Arial" w:eastAsia="Arial" w:hAnsi="Arial"/>
          <w:color w:val="444444"/>
          <w:sz w:val="20"/>
          <w:szCs w:val="20"/>
        </w:rPr>
        <w:t xml:space="preserve">Guest mode: all operations localStorage only, no network calls</w:t>
      </w:r>
    </w:p>
    <w:p>
      <w:pPr>
        <w:spacing w:before="160" w:after="0"/>
      </w:pPr>
      <w:r>
        <w:t xml:space="preserve"/>
      </w:r>
    </w:p>
    <w:p>
      <w:pPr>
        <w:pStyle w:val="Heading1"/>
        <w:pBdr>
          <w:bottom w:val="single" w:color="7B2FBE" w:sz="4" w:space="4"/>
        </w:pBdr>
        <w:spacing w:before="320" w:after="120"/>
      </w:pPr>
      <w:r>
        <w:rPr>
          <w:rFonts w:ascii="Arial" w:cs="Arial" w:eastAsia="Arial" w:hAnsi="Arial"/>
          <w:b/>
          <w:bCs/>
          <w:color w:val="7B2FBE"/>
          <w:sz w:val="28"/>
          <w:szCs w:val="28"/>
        </w:rPr>
        <w:t xml:space="preserve">Performance Considerations</w:t>
      </w:r>
    </w:p>
    <w:p>
      <w:pPr>
        <w:pStyle w:val="ListParagraph"/>
        <w:numPr>
          <w:ilvl w:val="0"/>
          <w:numId w:val="2"/>
        </w:numPr>
        <w:spacing w:before="30" w:after="30"/>
        <w:ind w:left="720" w:hanging="360"/>
      </w:pPr>
      <w:r>
        <w:rPr>
          <w:rFonts w:ascii="Arial" w:cs="Arial" w:eastAsia="Arial" w:hAnsi="Arial"/>
          <w:color w:val="444444"/>
          <w:sz w:val="20"/>
          <w:szCs w:val="20"/>
        </w:rPr>
        <w:t xml:space="preserve">30-second ticker rerenders only nowBanner and timeline — not the full page</w:t>
      </w:r>
    </w:p>
    <w:p>
      <w:pPr>
        <w:pStyle w:val="ListParagraph"/>
        <w:numPr>
          <w:ilvl w:val="0"/>
          <w:numId w:val="2"/>
        </w:numPr>
        <w:spacing w:before="30" w:after="30"/>
        <w:ind w:left="720" w:hanging="360"/>
      </w:pPr>
      <w:r>
        <w:rPr>
          <w:rFonts w:ascii="Arial" w:cs="Arial" w:eastAsia="Arial" w:hAnsi="Arial"/>
          <w:color w:val="444444"/>
          <w:sz w:val="20"/>
          <w:szCs w:val="20"/>
        </w:rPr>
        <w:t xml:space="preserve">Logs rendered from localStorage cache instantly on open — Supabase fetch updates in background (optimistic UI)</w:t>
      </w:r>
    </w:p>
    <w:p>
      <w:pPr>
        <w:pStyle w:val="ListParagraph"/>
        <w:numPr>
          <w:ilvl w:val="0"/>
          <w:numId w:val="2"/>
        </w:numPr>
        <w:spacing w:before="30" w:after="30"/>
        <w:ind w:left="720" w:hanging="360"/>
      </w:pPr>
      <w:r>
        <w:rPr>
          <w:rFonts w:ascii="Arial" w:cs="Arial" w:eastAsia="Arial" w:hAnsi="Arial"/>
          <w:color w:val="444444"/>
          <w:sz w:val="20"/>
          <w:szCs w:val="20"/>
        </w:rPr>
        <w:t xml:space="preserve">Adaptive curve recalculates on render — pure math on a small in-memory array, negligible cost</w:t>
      </w:r>
    </w:p>
    <w:p>
      <w:pPr>
        <w:pStyle w:val="ListParagraph"/>
        <w:numPr>
          <w:ilvl w:val="0"/>
          <w:numId w:val="2"/>
        </w:numPr>
        <w:spacing w:before="30" w:after="30"/>
        <w:ind w:left="720" w:hanging="360"/>
      </w:pPr>
      <w:r>
        <w:rPr>
          <w:rFonts w:ascii="Arial" w:cs="Arial" w:eastAsia="Arial" w:hAnsi="Arial"/>
          <w:color w:val="444444"/>
          <w:sz w:val="20"/>
          <w:szCs w:val="20"/>
        </w:rPr>
        <w:t xml:space="preserve">Calendar strip scrollLeft set after render to avoid layout thrash</w:t>
      </w:r>
    </w:p>
    <w:p>
      <w:pPr>
        <w:pStyle w:val="ListParagraph"/>
        <w:numPr>
          <w:ilvl w:val="0"/>
          <w:numId w:val="2"/>
        </w:numPr>
        <w:spacing w:before="30" w:after="30"/>
        <w:ind w:left="720" w:hanging="360"/>
      </w:pPr>
      <w:r>
        <w:rPr>
          <w:rFonts w:ascii="Arial" w:cs="Arial" w:eastAsia="Arial" w:hAnsi="Arial"/>
          <w:color w:val="444444"/>
          <w:sz w:val="20"/>
          <w:szCs w:val="20"/>
        </w:rPr>
        <w:t xml:space="preserve">No virtual scrolling needed — by-day view caps at 10 days; by-cycle view groups rather than paginating</w:t>
      </w:r>
    </w:p>
    <w:p>
      <w:pPr>
        <w:pStyle w:val="ListParagraph"/>
        <w:numPr>
          <w:ilvl w:val="0"/>
          <w:numId w:val="2"/>
        </w:numPr>
        <w:spacing w:before="30" w:after="30"/>
        <w:ind w:left="720" w:hanging="360"/>
      </w:pPr>
      <w:r>
        <w:rPr>
          <w:rFonts w:ascii="Arial" w:cs="Arial" w:eastAsia="Arial" w:hAnsi="Arial"/>
          <w:color w:val="444444"/>
          <w:sz w:val="20"/>
          <w:szCs w:val="20"/>
        </w:rPr>
        <w:t xml:space="preserve">Single file with no build step means zero JavaScript parsing overhead from module bundlers</w:t>
      </w:r>
    </w:p>
    <w:p>
      <w:pPr>
        <w:spacing w:before="160" w:after="0"/>
      </w:pPr>
      <w:r>
        <w:t xml:space="preserve"/>
      </w:r>
    </w:p>
    <w:p>
      <w:pPr>
        <w:pStyle w:val="Heading1"/>
        <w:pBdr>
          <w:bottom w:val="single" w:color="7B2FBE" w:sz="4" w:space="4"/>
        </w:pBdr>
        <w:spacing w:before="320" w:after="120"/>
      </w:pPr>
      <w:r>
        <w:rPr>
          <w:rFonts w:ascii="Arial" w:cs="Arial" w:eastAsia="Arial" w:hAnsi="Arial"/>
          <w:b/>
          <w:bCs/>
          <w:color w:val="7B2FBE"/>
          <w:sz w:val="28"/>
          <w:szCs w:val="28"/>
        </w:rPr>
        <w:t xml:space="preserve">Dose Selector</w:t>
      </w:r>
    </w:p>
    <w:p>
      <w:pPr>
        <w:spacing w:before="40" w:after="80"/>
      </w:pPr>
      <w:r>
        <w:rPr>
          <w:rFonts w:ascii="Arial" w:cs="Arial" w:eastAsia="Arial" w:hAnsi="Arial"/>
          <w:color w:val="444444"/>
          <w:sz w:val="20"/>
          <w:szCs w:val="20"/>
        </w:rPr>
        <w:t xml:space="preserve">Wellbutrin XL and Lamictal have inline dose selectors in the tab UI. Selecting a dose updates ST.wellbutrinDose or ST.lamictalDose, calls setDose() which updates the drug name, rebuilds tabs, and re-renders zones. Each dose option has completely separate zone definitions with research-backed notes specific to that dose level.</w:t>
      </w:r>
    </w:p>
    <w:p>
      <w:pPr>
        <w:spacing w:before="80" w:after="0"/>
      </w:pPr>
      <w:r>
        <w:t xml:space="preserve"/>
      </w:r>
    </w:p>
    <w:p>
      <w:pPr>
        <w:pStyle w:val="ListParagraph"/>
        <w:numPr>
          <w:ilvl w:val="0"/>
          <w:numId w:val="2"/>
        </w:numPr>
        <w:spacing w:before="30" w:after="30"/>
        <w:ind w:left="720" w:hanging="360"/>
      </w:pPr>
      <w:r>
        <w:rPr>
          <w:rFonts w:ascii="Arial" w:cs="Arial" w:eastAsia="Arial" w:hAnsi="Arial"/>
          <w:color w:val="444444"/>
          <w:sz w:val="20"/>
          <w:szCs w:val="20"/>
        </w:rPr>
        <w:t xml:space="preserve">Wellbutrin: 150mg / 300mg / 450mg — each with different intensity descriptions and warnings</w:t>
      </w:r>
    </w:p>
    <w:p>
      <w:pPr>
        <w:pStyle w:val="ListParagraph"/>
        <w:numPr>
          <w:ilvl w:val="0"/>
          <w:numId w:val="2"/>
        </w:numPr>
        <w:spacing w:before="30" w:after="30"/>
        <w:ind w:left="720" w:hanging="360"/>
      </w:pPr>
      <w:r>
        <w:rPr>
          <w:rFonts w:ascii="Arial" w:cs="Arial" w:eastAsia="Arial" w:hAnsi="Arial"/>
          <w:color w:val="444444"/>
          <w:sz w:val="20"/>
          <w:szCs w:val="20"/>
        </w:rPr>
        <w:t xml:space="preserve">Lamictal: 25 / 50 / 75 / 100 / 150 / 200mg — 75mg included as a genuine mid-range clinical dose</w:t>
      </w:r>
    </w:p>
    <w:p>
      <w:pPr>
        <w:pStyle w:val="ListParagraph"/>
        <w:numPr>
          <w:ilvl w:val="0"/>
          <w:numId w:val="2"/>
        </w:numPr>
        <w:spacing w:before="30" w:after="30"/>
        <w:ind w:left="720" w:hanging="360"/>
      </w:pPr>
      <w:r>
        <w:rPr>
          <w:rFonts w:ascii="Arial" w:cs="Arial" w:eastAsia="Arial" w:hAnsi="Arial"/>
          <w:color w:val="444444"/>
          <w:sz w:val="20"/>
          <w:szCs w:val="20"/>
        </w:rPr>
        <w:t xml:space="preserve">Dose selections persist in localStorage with the rest of app state</w:t>
      </w:r>
    </w:p>
    <w:p>
      <w:pPr>
        <w:spacing w:before="160" w:after="0"/>
      </w:pPr>
      <w:r>
        <w:t xml:space="preserve"/>
      </w:r>
    </w:p>
    <w:p>
      <w:pPr>
        <w:pStyle w:val="Heading1"/>
        <w:pBdr>
          <w:bottom w:val="single" w:color="7B2FBE" w:sz="4" w:space="4"/>
        </w:pBdr>
        <w:spacing w:before="320" w:after="120"/>
      </w:pPr>
      <w:r>
        <w:rPr>
          <w:rFonts w:ascii="Arial" w:cs="Arial" w:eastAsia="Arial" w:hAnsi="Arial"/>
          <w:b/>
          <w:bCs/>
          <w:color w:val="7B2FBE"/>
          <w:sz w:val="28"/>
          <w:szCs w:val="28"/>
        </w:rPr>
        <w:t xml:space="preserve">Disclaimer</w:t>
      </w:r>
    </w:p>
    <w:p>
      <w:pPr>
        <w:spacing w:before="40" w:after="80"/>
      </w:pPr>
      <w:r>
        <w:rPr>
          <w:rFonts w:ascii="Arial" w:cs="Arial" w:eastAsia="Arial" w:hAnsi="Arial"/>
          <w:color w:val="444444"/>
          <w:sz w:val="20"/>
          <w:szCs w:val="20"/>
        </w:rPr>
        <w:t xml:space="preserve">Not medical advice. Pharmacokinetic timings are based on published data and vary between individuals. Adaptive calibration reflects logged subjective experience, not clinical guidance. The combination interaction engine describes pharmacodynamic mechanisms from published research — it does not constitute clinical recommendations. Always follow your prescriber's instructions.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888888"/>
        <w:sz w:val="17"/>
        <w:szCs w:val="17"/>
      </w:rPr>
      <w:t xml:space="preserve">Not medical advice  ·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FBE" w:sz="4" w:space="4"/>
      </w:pBdr>
      <w:spacing w:after="0"/>
    </w:pPr>
    <w:r>
      <w:rPr>
        <w:rFonts w:ascii="Arial" w:cs="Arial" w:eastAsia="Arial" w:hAnsi="Arial"/>
        <w:b/>
        <w:bCs/>
        <w:color w:val="7B2FBE"/>
        <w:sz w:val="20"/>
        <w:szCs w:val="20"/>
      </w:rPr>
      <w:t xml:space="preserve">Grind-Zone</w:t>
    </w:r>
    <w:r>
      <w:rPr>
        <w:rFonts w:ascii="Arial" w:cs="Arial" w:eastAsia="Arial" w:hAnsi="Arial"/>
        <w:color w:val="888888"/>
        <w:sz w:val="20"/>
        <w:szCs w:val="20"/>
      </w:rPr>
      <w:t xml:space="preserve">  —  Technical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7B2FB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2026-03-03T18:48:55.688Z</dcterms:created>
  <dcterms:modified xsi:type="dcterms:W3CDTF">2026-03-03T18:48:55.689Z</dcterms:modified>
</cp:coreProperties>
</file>

<file path=docProps/custom.xml><?xml version="1.0" encoding="utf-8"?>
<Properties xmlns="http://schemas.openxmlformats.org/officeDocument/2006/custom-properties" xmlns:vt="http://schemas.openxmlformats.org/officeDocument/2006/docPropsVTypes"/>
</file>