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赴上海训练计划与算力申请报告</w:t>
      </w:r>
    </w:p>
    <w:p>
      <w:r>
        <w:rPr>
          <w:b/>
          <w:sz w:val="24"/>
        </w:rPr>
        <w:t>LingBot VLA 2.0 泛化能力改进与全模型微调</w:t>
      </w:r>
    </w:p>
    <w:p>
      <w:r>
        <w:rPr>
          <w:b w:val="0"/>
          <w:sz w:val="19"/>
        </w:rPr>
        <w:t>用途 项目与算力资源申请   ｜   技术方案版</w:t>
      </w:r>
    </w:p>
    <w:p>
      <w:pPr>
        <w:pStyle w:val="Heading1"/>
      </w:pPr>
      <w:r>
        <w:t>一 申请目标与选定的微调方式</w:t>
      </w:r>
    </w:p>
    <w:p>
      <w:r>
        <w:rPr>
          <w:b w:val="0"/>
        </w:rPr>
        <w:t>申请使用上海同机8张A800 80GB，开展以clean示范为唯一训练数据的全模型监督微调，重点提升模型在随机化场景和未见指令表达下的任务成功率。主方案采用动作流匹配损失、AdamW优化器、BF16计算、FSDP2分片和梯度检查点，更新视觉编码器、语言主干、动作专家及动作投影层。</w:t>
      </w:r>
    </w:p>
    <w:p>
      <w:r>
        <w:rPr>
          <w:b/>
        </w:rPr>
        <w:t>技术改进围绕三项假设展开：多视角一致的视觉增广降低背景与光照依赖，示范动作片段加权增强精细操作学习，基于模型自身输出分歧的短动作段重规划减少误差累积。通过LoRA消融实验筛选前两项，再与全量微调比较；第三项在选定模型上作推理对照。</w:t>
      </w:r>
    </w:p>
    <w:p>
      <w:r>
        <w:rPr>
          <w:b w:val="0"/>
        </w:rPr>
        <w:t>这些方案属于待验证的技术改进，不宣称已有性能增益或学术首创。全量微调是主实验，LoRA是等训练样本预算的对照；最终采用闭环评测表现更好的单一模型。</w:t>
      </w:r>
    </w:p>
    <w:p>
      <w:pPr>
        <w:pStyle w:val="Heading1"/>
      </w:pPr>
      <w:r>
        <w:t>二 任务规模与资源申请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项目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计划口径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数据范围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50个任务，每任务50条clean示范，共2,500条；原始轨迹时长统计约5.114小时。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输入与训练划分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头部和左右腕部3路RGB；开发阶段每任务45条训练、5条验证；只使用训练划分计算统计量。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主微调规模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有效batch 32，最多20,000次更新，约640,000个采样窗口；窗口并非独立轨迹。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主训练排期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8张A800；暂按24至48小时、不超过384 GPU卡时安排，须由短测校准。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项目额度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累计申请上限800 GPU卡时，包含3个LoRA对照、全量微调、分级评测和预留。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评测安排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先覆盖50任务，最终模型内部目标为每任务每设置20次；资源允许时扩至官方标准100次。</w:t>
            </w:r>
          </w:p>
        </w:tc>
      </w:tr>
    </w:tbl>
    <w:p>
      <w:pPr>
        <w:spacing w:after="0"/>
      </w:pPr>
    </w:p>
    <w:p>
      <w:r>
        <w:rPr>
          <w:b w:val="0"/>
        </w:rPr>
        <w:t>5.114小时反映示范时长，不能直接换算为训练时间。计算成本取决于图像编码、反向传播、窗口重复采样和更新次数；闭环评测还包含场景初始化、仿真与动作执行。</w:t>
      </w:r>
    </w:p>
    <w:p>
      <w:r>
        <w:rPr>
          <w:b w:val="0"/>
        </w:rPr>
        <w:t>官方标准评测为每任务、每设置100次；规则解读第4.2节明确允许未测满提交，最终以官方复测为准。本计划将20次设为内部覆盖目标，不将本地跑满10,000次作为提交门槛，所有结果按实际次数填写。[1]</w:t>
      </w:r>
    </w:p>
    <w:p>
      <w:r>
        <w:br w:type="page"/>
      </w:r>
    </w:p>
    <w:p>
      <w:pPr>
        <w:pStyle w:val="Heading1"/>
      </w:pPr>
      <w:r>
        <w:t>三 本地显卡限制与八卡资源的用途</w:t>
      </w:r>
    </w:p>
    <w:p>
      <w:r>
        <w:rPr>
          <w:b w:val="0"/>
        </w:rPr>
        <w:t>4090 24GB和PRO 5000 48GB可以承担LoRA、部分参数微调及部分评测。本申请针对全模型微调及受控对照的资源需求；视觉增广、指令替换和短动作段策略本身并不要求八卡服务器。</w:t>
      </w:r>
    </w:p>
    <w:p>
      <w:pPr>
        <w:pStyle w:val="Heading2"/>
      </w:pPr>
      <w:r>
        <w:t>训练方式带来的显存容量约束</w:t>
      </w:r>
    </w:p>
    <w:p>
      <w:r>
        <w:rPr>
          <w:b w:val="0"/>
        </w:rPr>
        <w:t>按约6.38B参数、FP32主参数与梯度以及两个FP32 AdamW状态的参考账本，每参数约16字节，训练状态约102GB；若另保留完整BF16计算副本，约115GB。此值尚未计入激活、通信和临时张量，实际占用取决于参数参与范围、保存精度及分片实现。[2][3]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资源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可承担的训练方式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对本文主方案的限制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4090 24GB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动作专家LoRA、小批量推理及调试。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单卡不能直接容纳上述未分片全量训练状态。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PRO 5000 48GB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扩大LoRA范围、部分模块微调和推理策略实验。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单卡仍小于上述全量状态账本；不能按本文常规配置直接运行。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两张4090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独立实验或可单卡容纳方案的数据并行。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合计48GB不足以承接该账本；需额外分片与卸载，不能视作一张48GB卡。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8张A800 80GB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全模型分片训练、LoRA消融并行以及分级评测。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核验实际互联、单卡峰值与吞吐；8卡为排期配置，并非已证明的最少卡数。</w:t>
            </w:r>
          </w:p>
        </w:tc>
      </w:tr>
    </w:tbl>
    <w:p>
      <w:pPr>
        <w:spacing w:after="0"/>
      </w:pPr>
    </w:p>
    <w:p>
      <w:r>
        <w:rPr>
          <w:b w:val="0"/>
        </w:rPr>
        <w:t>CPU卸载、量化优化器和更复杂的分片可以降低显存需求，但会增加传输开销与实现成本。本轮优先用同机大显存多卡验证全量训练；不将异构或分处不同机器的显存简单相加，也不把梯度累积视为消除模型状态占用的方法。</w:t>
      </w:r>
    </w:p>
    <w:p>
      <w:pPr>
        <w:pStyle w:val="Heading2"/>
      </w:pPr>
      <w:r>
        <w:t>时长与实验数量带来的吞吐约束</w:t>
      </w:r>
    </w:p>
    <w:p>
      <w:r>
        <w:rPr>
          <w:b w:val="0"/>
        </w:rPr>
        <w:t>计划包括3个LoRA消融和1个全量微调，均以相同有效batch与更新上限比较。八卡节点可将3个LoRA任务分别分配2卡同时运行，再统一进入主训练；人员仍在单一地点执行，不依赖宁德与上海同时开展工作。</w:t>
      </w:r>
    </w:p>
    <w:p>
      <w:r>
        <w:rPr>
          <w:b w:val="0"/>
        </w:rPr>
        <w:t>GPU显存容量决定配置是否装得下；GPU算力与显存带宽影响每步速度；卡间互联影响FSDP通信；CPU供数及仿真渲染影响评测吞吐。到场短测同时记录这些环节，避免仅按总显存判断效率。</w:t>
      </w:r>
    </w:p>
    <w:p>
      <w:r>
        <w:rPr>
          <w:b/>
        </w:rPr>
        <w:t>申请理由是扩大可训练参数范围、验证改进假设并压缩对照实验周期。对LoRA可运行性不作否定，对A800速度与全量微调效果也不作未经实测的保证。</w:t>
      </w:r>
    </w:p>
    <w:p>
      <w:r>
        <w:br w:type="page"/>
      </w:r>
    </w:p>
    <w:p>
      <w:pPr>
        <w:pStyle w:val="Heading1"/>
      </w:pPr>
      <w:r>
        <w:t>四 拟验证的技术改进</w:t>
      </w:r>
    </w:p>
    <w:p>
      <w:pPr>
        <w:pStyle w:val="Heading2"/>
      </w:pPr>
      <w:r>
        <w:t>方向一 多视角一致的外观增广</w:t>
      </w:r>
    </w:p>
    <w:p>
      <w:r>
        <w:rPr>
          <w:b w:val="0"/>
        </w:rPr>
        <w:t>假设：模型对clean背景与光照存在依赖，训练时对同一观测的3路图像施加一致的轻度亮度和对比度变化，可减少外观变化带来的特征偏移。初始幅度可取0.8至1.2，保留未增广样本；具体幅度以clean验证和闭环结果调整。</w:t>
      </w:r>
    </w:p>
    <w:p>
      <w:r>
        <w:rPr>
          <w:b w:val="0"/>
        </w:rPr>
        <w:t>只修改已发布图像的像素，不调用仿真重新渲染，不改变几何、物体位置或动作标签。涉及颜色识别的任务避免色相互换及强扰动。结合本任务官方seen池内指令替换，训练时保持采样配对数量不变，不拼接unseen或LLM新指令。[1 第2.1节]</w:t>
      </w:r>
    </w:p>
    <w:p>
      <w:pPr>
        <w:pStyle w:val="Heading2"/>
      </w:pPr>
      <w:r>
        <w:t>方向二 示范动作变化驱动的片段加权</w:t>
      </w:r>
    </w:p>
    <w:p>
      <w:r>
        <w:rPr>
          <w:b w:val="0"/>
        </w:rPr>
        <w:t>假设：均匀采样下，长时间移动片段可能稀释夹爪切换等短片段的监督。仅根据训练示范中的夹爪变化量、归一化关节动作变化和轨迹平滑度，构造有界的样本权重，初始限制在0.5至2之间，归一化后用于加权动作流匹配损失。</w:t>
      </w:r>
    </w:p>
    <w:p>
      <w:r>
        <w:rPr>
          <w:b w:val="0"/>
        </w:rPr>
        <w:t>权重保留所有有效片段的非零贡献；对高jerk噪声不盲目加权。阈值由clean训练统计确定，不能调用环境成功判据、使用评测分数筛选训练样本，或构造新目标标签。夹爪变化仅是潜在精细操作的线索，不视为真实接触标签。[1 第2.1节]</w:t>
      </w:r>
    </w:p>
    <w:p>
      <w:pPr>
        <w:pStyle w:val="Heading2"/>
      </w:pPr>
      <w:r>
        <w:t>方向三 基于输出分歧的动作执行长度调整</w:t>
      </w:r>
    </w:p>
    <w:p>
      <w:r>
        <w:rPr>
          <w:b w:val="0"/>
        </w:rPr>
        <w:t>假设：连续两次预测对重叠未来动作的分歧较大时，执行更短的动作段并重新观察，可减少误差累积。将当前与上次预测的重叠动作按训练统计归一化后计算差异；初始执行长度在10和25之间选择，首轮或没有重叠时使用固定长度。</w:t>
      </w:r>
    </w:p>
    <w:p>
      <w:r>
        <w:rPr>
          <w:b w:val="0"/>
        </w:rPr>
        <w:t>分歧阈值先用留出的clean示范离线校准；它是启发式指标，不是校准后的成功概率。推理只使用同一模型的当前及历史输出，不训练额外门控模型，不按任务ID或指令切换参数，不做额外环境试探或失败重置。正常闭环观测与执行沿用评测流程。[1 第2.4节]</w:t>
      </w:r>
    </w:p>
    <w:p>
      <w:pPr>
        <w:pStyle w:val="Heading2"/>
      </w:pPr>
      <w:r>
        <w:t>改进边界与判断依据</w:t>
      </w:r>
    </w:p>
    <w:p>
      <w:r>
        <w:rPr>
          <w:b w:val="0"/>
        </w:rPr>
        <w:t>前两项组成clean-only训练增强方案，第三项属于单一权重内的推理改进。先与无增强、固定执行长度的模型比较，再报告逐项增益。若增强导致clean退化或重规划增加延迟而无成功率收益，则回退到对应基线。</w:t>
      </w:r>
    </w:p>
    <w:p>
      <w:r>
        <w:rPr>
          <w:b w:val="0"/>
          <w:sz w:val="19"/>
        </w:rPr>
        <w:t>这三项分别针对外观变化、监督分布和执行误差提出可证伪的假设。资源申请用于完成对照与消融，不以未经实验的新颖性主张作为验收条件。</w:t>
      </w:r>
    </w:p>
    <w:p>
      <w:r>
        <w:br w:type="page"/>
      </w:r>
    </w:p>
    <w:p>
      <w:pPr>
        <w:pStyle w:val="Heading1"/>
      </w:pPr>
      <w:r>
        <w:t>五 微调参数与消融设计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配置项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拟执行配置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主方案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全模型监督微调；视觉、语言、动作专家及动作所需投影层开放训练，主干从指定基座初始化。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损失与精度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动作流匹配损失，叠加方向二的有界加权；AdamW，BF16计算、FP32优化器状态；首轮关闭双教师辅助损失。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图像与动作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3路图像统一256×256；预测chunk 50，轨迹末端按padding mask排除；所有对照一致。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批量与并行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8张A800，FSDP2全分片与梯度检查点；micro batch 2、累积2次，有效batch 32。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优化器设置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全量学习率2×10⁻⁵，warmup占5%，cosine衰减；weight decay 0.01，梯度裁剪1.0。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步数与保存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最多20,000次更新，每1,000步保存；在5,000、10,000、20,000步分级评估。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386"/>
        <w:gridCol w:w="3118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/>
                <w:sz w:val="19"/>
              </w:rPr>
              <w:t>实验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训练范围及改动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L0 基线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动作专家注意力LoRA及3个投影层；rank 8、alpha 16，无新增强。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建立相同样本预算的参照。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L1 外观与语言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在L0上增加方向一及seen池内替换。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检验视觉和语言增强组合是否有效。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L2 片段加权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在L1上增加方向二，其他设置保持一致。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检验动作统计加权的附加收益。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F 全量主实验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将L2的适配范围扩大为全模型，使用主方案参数。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检验更广参数更新是否有额外收益。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P 推理对照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用选定权重比较固定长度50、25、10与方向三。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检验自适应执行相对最佳固定长度的收益。</w:t>
            </w:r>
          </w:p>
        </w:tc>
      </w:tr>
    </w:tbl>
    <w:p>
      <w:pPr>
        <w:spacing w:after="0"/>
      </w:pPr>
    </w:p>
    <w:p>
      <w:r>
        <w:rPr>
          <w:b w:val="0"/>
          <w:sz w:val="19"/>
        </w:rPr>
        <w:t>L0至L2均用AdamW、学习率1×10⁻⁴、有效batch 32和相同20,000步上限；F采用较低学习率，其余数据与评测条件一致。L1是增强组合实验，不将其整体收益单独归因于视觉或语言。若需要进一步拆分，应另计实验预算。</w:t>
      </w:r>
    </w:p>
    <w:p>
      <w:r>
        <w:rPr>
          <w:b w:val="0"/>
          <w:sz w:val="19"/>
        </w:rPr>
        <w:t>rank 16/32、语言主干LoRA、EMA、公开视觉模块及官方双教师属于规则允许的后续扩展，但本轮不同时铺开。离线RL按第3.4节的具体澄清有条件允许，并非一概禁止；本计划仍采用示范监督，降低实现与验证复杂度。</w:t>
      </w:r>
    </w:p>
    <w:p>
      <w:r>
        <w:br w:type="page"/>
      </w:r>
    </w:p>
    <w:p>
      <w:pPr>
        <w:pStyle w:val="Heading1"/>
      </w:pPr>
      <w:r>
        <w:t>六 训练时长与算力额度</w:t>
      </w:r>
    </w:p>
    <w:p>
      <w:r>
        <w:rPr>
          <w:b w:val="0"/>
        </w:rPr>
        <w:t>GPU卡时按分配卡数乘以占用小时统计。A800运行时间为排期假设，须在现场预热后测量至少200次稳定更新，计时包含供数、梯度累积和更新；同时测代表任务episode耗时。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649"/>
        <w:gridCol w:w="1587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阶段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分配与时间上限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GPU卡时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环境与短测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8卡×3小时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L0 L1 L2训练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每组2卡×24小时，共3组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144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F 全量主训练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8卡×48小时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384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输出分歧校准与导出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2卡×8小时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分级评测与推理对照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8卡×24小时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弹性预留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折合8卡×5小时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累计上限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分阶段占用，按实际归集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800</w:t>
            </w:r>
          </w:p>
        </w:tc>
      </w:tr>
    </w:tbl>
    <w:p>
      <w:pPr>
        <w:spacing w:after="0"/>
      </w:pPr>
    </w:p>
    <w:p>
      <w:pPr>
        <w:pStyle w:val="Heading2"/>
      </w:pPr>
      <w:r>
        <w:t>训练耗时的假设与校准</w:t>
      </w:r>
    </w:p>
    <w:p>
      <w:r>
        <w:rPr>
          <w:b w:val="0"/>
        </w:rPr>
        <w:t>F计划20,000步；假设每次更新4至8秒，纯训练约22至44小时，按24至48小时安排，最多384卡时。该假设不是已测速度。每个LoRA实验安排最多24小时；若要跑满20,000步，平均更新时间需不超过4.32秒，且需另给保存和验证留余量。</w:t>
      </w:r>
    </w:p>
    <w:p>
      <w:r>
        <w:rPr>
          <w:b w:val="0"/>
        </w:rPr>
        <w:t>首批使用不超过200卡时确认可运行性与速度，再继续申请剩余额度。若F稳定更新超过8.64秒，48小时无法完成20,000步纯训练；须优化实现或将全部训练对照同步缩减到10,000步，不能只缩短基线以制造比较优势。</w:t>
      </w:r>
    </w:p>
    <w:p>
      <w:pPr>
        <w:pStyle w:val="Heading2"/>
      </w:pPr>
      <w:r>
        <w:t>评测预算的分级使用</w:t>
      </w:r>
    </w:p>
    <w:p>
      <w:r>
        <w:rPr>
          <w:b w:val="0"/>
        </w:rPr>
        <w:t>建议L0、L1、L2、F先各测8个代表任务，每任务两种设置各10次，合计640次；最终模型与L0再分别覆盖50任务，每设置各20次，合计4,000次。按每次2分钟估算，4,640次约155卡时，192卡时中余约37卡时用于P对照和开销，实际随吞吐调整。</w:t>
      </w:r>
    </w:p>
    <w:p>
      <w:r>
        <w:rPr>
          <w:b w:val="0"/>
        </w:rPr>
        <w:t>每个模型由20次扩至100次需额外8,000个episode，按每次2分钟增加约267卡时；扩测属可追加目标。基础申请为800卡时，采用分级评测；两份模型均跑满100次作为追加目标，根据余量和截止要求决定是否实施。</w:t>
      </w:r>
    </w:p>
    <w:p>
      <w:r>
        <w:rPr>
          <w:b w:val="0"/>
          <w:sz w:val="19"/>
        </w:rPr>
        <w:t>800卡时相当于8卡整机100小时，但不等于人员驻留时间。3组LoRA可在同节点并行，全量训练随后使用8卡；若只能整机计时，须按8卡实际占用重新核算，禁止只按活跃卡数低报。</w:t>
      </w:r>
    </w:p>
    <w:p>
      <w:r>
        <w:br w:type="page"/>
      </w:r>
    </w:p>
    <w:p>
      <w:pPr>
        <w:pStyle w:val="Heading1"/>
      </w:pPr>
      <w:r>
        <w:t>七 预期成果与实施阶段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验收项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交付与判断标准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模型与方案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完成L0至L2及F的可复现训练记录；至少形成一套单一权重模型，并给出增广、加权、适配范围和推理策略的对照结论。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性能研究目标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相对等样本预算L0，randomized任务平均成功率争取提高至少5个百分点，clean下降不超过2个百分点；属于研究目标，不是结果保证。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评测与提交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内部目标为最终模型覆盖50任务、每设置20次；如未测满据实报告，官方标准100次作为扩测目标，最终以官方复测为准。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完整导出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LoRA合并回基座并保留3个投影层的更新；导出后独立加载复测。一套权重可由多个文件分片组成。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公平比较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clean2clean使用seen，clean2random使用unseen；统一seed、精度与推理设置，保留失败记录及实际分母，报告任务级差值与不确定性。</w:t>
            </w:r>
          </w:p>
        </w:tc>
      </w:tr>
    </w:tbl>
    <w:p>
      <w:pPr>
        <w:spacing w:after="0"/>
      </w:pPr>
    </w:p>
    <w:p>
      <w:r>
        <w:rPr>
          <w:b w:val="0"/>
        </w:rPr>
        <w:t>研究目标未达到时提交更可靠的已验证模型，并如实解释改进是否有效；训练loss不能替代闭环成功率。评测配置对齐与完整权重导出作为所有大规模实验的前置检查。</w:t>
      </w:r>
    </w:p>
    <w:p>
      <w:pPr>
        <w:pStyle w:val="Heading2"/>
      </w:pPr>
      <w:r>
        <w:t>按阶段推进的实施安排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阶段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工作及转入下一阶段的条件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本地准备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锁定数据划分与规则口径，修正评测指令配置，验证LoRA合并及投影层导出，确认上海排期与迁移环境。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上海短测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核对A800互联、容器及仿真兼容性，验证保存恢复；完成稳定更新与episode测速后确认预算。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对照训练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运行L0至L2，再实施F；达到中间checkpoint后筛选，异常时先诊断再延长训练。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评测与交付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优先全任务覆盖，完成P推理对照及最终模型复测；按实际次数打包材料，预留提交缓冲。</w:t>
            </w:r>
          </w:p>
        </w:tc>
      </w:tr>
    </w:tbl>
    <w:p>
      <w:pPr>
        <w:spacing w:after="0"/>
      </w:pPr>
    </w:p>
    <w:p>
      <w:r>
        <w:rPr>
          <w:b w:val="0"/>
          <w:sz w:val="19"/>
        </w:rPr>
        <w:t>人员先宁德后上海执行，不依赖两地并行。机时或周期不足时减少扩展与重复评测，优先保留合规基线、全任务覆盖和复现材料。建议节点配套512GB主机内存、约64个CPU线程及1TB可用高速存储；具体以资源确认和短测结果调整。</w:t>
      </w:r>
    </w:p>
    <w:p>
      <w:pPr>
        <w:pStyle w:val="Heading2"/>
      </w:pPr>
      <w:r>
        <w:t>规则边界与依据</w:t>
      </w:r>
    </w:p>
    <w:p>
      <w:r>
        <w:rPr>
          <w:b w:val="0"/>
          <w:sz w:val="19"/>
        </w:rPr>
        <w:t>训练监督限官方clean示范与允许的release资产；禁止随机化数据训练、额外环境采样回流、unseen或LLM新指令训练，以及被禁的RoboTwin后训练权重蒸馏。最终推理不做任务路由、多模型集成或失败重置。[1]</w:t>
      </w:r>
    </w:p>
    <w:p>
      <w:pPr>
        <w:spacing w:after="80"/>
      </w:pPr>
      <w:hyperlink r:id="rId10">
        <w:r>
          <w:rPr>
            <w:sz w:val="18"/>
            <w:rFonts w:eastAsia="Noto Sans CJK SC"/>
          </w:rPr>
          <w:t>[1] 初赛规则解读 第2.1至2.4节 第3.4节 第4.2节及附录</w:t>
        </w:r>
      </w:hyperlink>
    </w:p>
    <w:p>
      <w:pPr>
        <w:spacing w:after="80"/>
      </w:pPr>
      <w:hyperlink r:id="rId11">
        <w:r>
          <w:rPr>
            <w:sz w:val="18"/>
            <w:rFonts w:eastAsia="Noto Sans CJK SC"/>
          </w:rPr>
          <w:t>[2] LingBot VLA 2.0 官方模型与训练实现</w:t>
        </w:r>
      </w:hyperlink>
    </w:p>
    <w:p>
      <w:pPr>
        <w:spacing w:after="80"/>
      </w:pPr>
      <w:hyperlink r:id="rId12">
        <w:r>
          <w:rPr>
            <w:sz w:val="18"/>
            <w:rFonts w:eastAsia="Noto Sans CJK SC"/>
          </w:rPr>
          <w:t>[3] 训练显存组成与优化器状态参考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0" w:lineRule="exact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ianchi.aliyun.com/forum/post/1081761" TargetMode="External"/><Relationship Id="rId11" Type="http://schemas.openxmlformats.org/officeDocument/2006/relationships/hyperlink" Target="https://github.com/Robbyant/lingbot-vla-v2" TargetMode="External"/><Relationship Id="rId12" Type="http://schemas.openxmlformats.org/officeDocument/2006/relationships/hyperlink" Target="https://huggingface.co/docs/transformers/model_memory_anato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赴上海训练计划与算力申请报告</dc:title>
  <dc:subject>clean示范泛化改进 全模型微调 消融实验与算力预算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