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赴上海训练计划与算力申请报告</w:t>
      </w:r>
    </w:p>
    <w:p>
      <w:r>
        <w:rPr>
          <w:b/>
          <w:sz w:val="24"/>
        </w:rPr>
        <w:t>蚂蚁灵波具身大模型挑战赛   LingBot VLA 2.0</w:t>
      </w:r>
    </w:p>
    <w:p>
      <w:r>
        <w:rPr>
          <w:b w:val="0"/>
          <w:sz w:val="19"/>
        </w:rPr>
        <w:t>修订日期 2026年10月13日   ｜   项目与算力资源申请</w:t>
      </w:r>
    </w:p>
    <w:p>
      <w:pPr>
        <w:pStyle w:val="Heading1"/>
      </w:pPr>
      <w:r>
        <w:t>一 申请结论和主训练任务</w:t>
      </w:r>
    </w:p>
    <w:p>
      <w:r>
        <w:rPr>
          <w:b/>
        </w:rPr>
        <w:t>申请赴上海使用同机8张A800 80GB，开展LingBot-VLA 2.0全模型监督微调，并与相同数据和训练样本预算的LoRA基线进行对照。主方案更新视觉编码器、语言主干和动作专家的参数，采用动作流匹配损失、AdamW优化器、BF16计算和FSDP2分片；本轮主训练关闭深度与视频教师辅助损失。</w:t>
      </w:r>
    </w:p>
    <w:p>
      <w:r>
        <w:rPr>
          <w:b w:val="0"/>
        </w:rPr>
        <w:t>主训练计划20,000次优化器更新、有效batch 32。按每次更新4至8秒的排期假设，预计主训练约24至48小时，安排不超过384 GPU卡时。包含基线、环境验证、筛选、完整评测和预留后，总申请额度为1,200 GPU卡时，约合8卡整机150小时。A800吞吐尚未实测，到场后先测200次稳定更新，再确认步数与排期。</w:t>
      </w:r>
    </w:p>
    <w:p>
      <w:r>
        <w:rPr>
          <w:b w:val="0"/>
        </w:rPr>
        <w:t>赴沪的核心依据是全量训练的显存需求，以及在10月26日24:00前完成对照实验和闭环评测的时间要求。4090已能完成小规模LoRA训练，PRO 5000 48GB也具备局部微调价值；现有设备不足以直接承接本文选定的常规全量训练配置。具体限制和可行替代方式见第三部分。[1][4]</w:t>
      </w:r>
    </w:p>
    <w:p>
      <w:pPr>
        <w:pStyle w:val="Heading1"/>
      </w:pPr>
      <w:r>
        <w:t>二 已完成的准备工作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8277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项目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截至本次修订的状态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数据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50任务、2,500条clean示范，压缩约23.78GB；原始轨迹时长统计约5.114小时。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转换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50任务已全部转换，合计549,787帧；开发划分为2,250条训练轨迹和250条验证轨迹。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本地训练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单张4090已完成5,000步动作专家LoRA，约396万可训练参数；256×256输入，有效batch 4。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实测资源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整段训练约1.80小时，含验证及保存；峰值PyTorch已分配显存约13.81GiB。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初步效果</w:t>
            </w:r>
          </w:p>
        </w:tc>
        <w:tc>
          <w:tcPr>
            <w:tcW w:type="dxa" w:w="827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step 4500在5任务、两种环境合计20次诊断测试中成功8次；样本过小且非正式评测口径，不作为50任务成绩。</w:t>
            </w:r>
          </w:p>
        </w:tc>
      </w:tr>
    </w:tbl>
    <w:p>
      <w:pPr>
        <w:spacing w:after="0"/>
      </w:pPr>
    </w:p>
    <w:p>
      <w:r>
        <w:rPr>
          <w:b w:val="0"/>
          <w:sz w:val="19"/>
        </w:rPr>
        <w:t>依据为项目转换、训练和初测记录。[4] 当前本地资源为2张RTX 4090 24GB及1张RTX PRO 5000 Blackwell 48GB。训练效果需以闭环成功率确认，训练loss下降不等同于比赛成绩提高。</w:t>
      </w:r>
    </w:p>
    <w:p>
      <w:r>
        <w:br w:type="page"/>
      </w:r>
    </w:p>
    <w:p>
      <w:pPr>
        <w:pStyle w:val="Heading1"/>
      </w:pPr>
      <w:r>
        <w:t>三 本地设备的限制与赴沪依据</w:t>
      </w:r>
    </w:p>
    <w:p>
      <w:pPr>
        <w:pStyle w:val="Heading2"/>
      </w:pPr>
      <w:r>
        <w:t>全量微调首先受到显存容量限制</w:t>
      </w:r>
    </w:p>
    <w:p>
      <w:r>
        <w:rPr>
          <w:b w:val="0"/>
        </w:rPr>
        <w:t>本次已下载checkpoint约含6.38B参数张量。以全部参数参与更新、FP32主参数与梯度以及两个FP32 AdamW状态估算，每参数约16字节，仅训练状态约102GB；若另保留完整BF16计算副本，则约115GB。此账本尚未计入图像与语言激活、通信缓冲和临时张量；实际数值取决于参与训练的参数、精度与分片实现。[3][5]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819"/>
        <w:gridCol w:w="306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设备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对本次主方案的限制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可承担工作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单张4090 24GB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无法直接容纳上述未分片全量训练状态；梯度累积不能解决状态本身的容量不足。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现有动作专家LoRA、调试及评测。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单张PRO 5000 48GB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显存仍小于上述全量状态账本，不能直接按本文配置运行。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更广范围LoRA、部分参数微调。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两张4090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合计48GB也不足以承接该账本；需分片及大量CPU卸载等额外手段。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独立实验或单卡可容纳方案的数据并行。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8张A800 80GB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用FSDP2分摊主模型状态，单卡80GB为激活与通信预留空间；仍需验证实际峰值。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本文全量训练主方案和多路评测。</w:t>
            </w:r>
          </w:p>
        </w:tc>
      </w:tr>
    </w:tbl>
    <w:p>
      <w:pPr>
        <w:spacing w:after="0"/>
      </w:pPr>
    </w:p>
    <w:p>
      <w:r>
        <w:rPr>
          <w:b w:val="0"/>
        </w:rPr>
        <w:t>这是本文选定训练方式的容量约束，不是赛事规定只能用A800。量化优化器、CPU卸载或重新设计分片可降低GPU占用，但会增加适配、数据搬运和排错成本。本轮为按期交付，优先采用同机大显存多卡；不把异地或异构显卡的容量简单相加。</w:t>
      </w:r>
    </w:p>
    <w:p>
      <w:pPr>
        <w:pStyle w:val="Heading2"/>
      </w:pPr>
      <w:r>
        <w:t>时间约束来自训练样本预算和评测规模</w:t>
      </w:r>
    </w:p>
    <w:p>
      <w:r>
        <w:rPr>
          <w:b w:val="0"/>
        </w:rPr>
        <w:t>已完成的本地LoRA只有5,000步、有效batch 4，即约20,000个采样窗口。本计划20,000步、有效batch 32，对应640,000个窗口，为原先32倍。若沿用原单卡配置并仅增加累积，按已有墙钟耗时作粗略线性换算约58小时；该值只适用于LoRA工作量量级，不能外推为全量训练时间。</w:t>
      </w:r>
    </w:p>
    <w:p>
      <w:r>
        <w:rPr>
          <w:b w:val="0"/>
        </w:rPr>
        <w:t>最终模型需执行10,000次仿真episode，完整基线对照再增加10,000次。假设每次2分钟、每卡一条评测流水线，总计约667卡时：两路理想并行需约333小时，八路需约83小时。实际受任务长度、CPU与渲染影响。扩大并行度的主要价值是压缩截止前的日历时间。</w:t>
      </w:r>
    </w:p>
    <w:p>
      <w:r>
        <w:rPr>
          <w:b/>
        </w:rPr>
        <w:t>因此，申请八卡同时考虑显存和期限：单卡容量决定常规全量方案能否装下，多卡互联与吞吐决定能否按期完成。8卡是本项目的排期配置，不是已实测的最少卡数。</w:t>
      </w:r>
    </w:p>
    <w:p>
      <w:r>
        <w:br w:type="page"/>
      </w:r>
    </w:p>
    <w:p>
      <w:pPr>
        <w:pStyle w:val="Heading1"/>
      </w:pPr>
      <w:r>
        <w:t>四 明确的微调配置与实验范围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配置项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主方案 F 全模型监督微调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模型与数据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指定LingBot-VLA 2.0 6B基座；50个任务的官方clean示范；沿用45条训练、5条验证的任务内划分。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更新范围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视觉编码器、语言主干、动作专家及动作所需投影层全部开放训练；不使用LoRA作为主方案。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监督与损失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动作流匹配损失；本轮不启用深度和视频教师辅助损失，保留所需主干结构。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输入与动作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3路RGB，首轮统一256×256，与对照基线保持一致；动作chunk为50，核对轨迹末端padding。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精度与分布式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8张A800 80GB，FSDP2全分片模式与梯度检查点；BF16前向计算，FP32优化器状态；具体参数保存方式由实现核验。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批量与更新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每卡micro batch 2，梯度累积2次，有效batch 32；最多20,000次优化器更新。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优化器与学习率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AdamW，起始学习率2×10⁻⁵，weight decay 0.01，梯度裁剪1.0；前5%步warmup，之后cosine衰减。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保存与监控</w:t>
            </w:r>
          </w:p>
        </w:tc>
        <w:tc>
          <w:tcPr>
            <w:tcW w:type="dxa" w:w="788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每1,000步保存；5,000、10,000、20,000步做分级评测；保留最优及可恢复checkpoint。</w:t>
            </w:r>
          </w:p>
        </w:tc>
      </w:tr>
    </w:tbl>
    <w:p>
      <w:pPr>
        <w:spacing w:after="0"/>
      </w:pPr>
    </w:p>
    <w:p>
      <w:r>
        <w:rPr>
          <w:b w:val="0"/>
        </w:rPr>
        <w:t>以上为拟执行配置。到场后核验训练参数列表与数量，确保“全量”涵盖上述目标模块。若单卡micro batch 2溢出，调整为1并累计4次，保持有效batch 32，再测吞吐。正式长任务运行前验证保存、恢复及训练与推理预处理一致性。</w:t>
      </w:r>
    </w:p>
    <w:p>
      <w:pPr>
        <w:pStyle w:val="Heading2"/>
      </w:pPr>
      <w:r>
        <w:t>对照方案 L 动作专家 LoRA</w:t>
      </w:r>
    </w:p>
    <w:p>
      <w:r>
        <w:rPr>
          <w:b w:val="0"/>
        </w:rPr>
        <w:t>沿用已通过验证的rank 8、alpha 16、动作专家注意力LoRA及状态/动作投影层，采用AdamW、学习率1×10⁻⁴；在上海用2张A800重新训练至相同的有效batch 32和最多20,000步。分辨率、采样、数据划分、归一化和评测设置与主方案一致，避免把更多训练样本带来的提升误归因于全量微调。</w:t>
      </w:r>
    </w:p>
    <w:p>
      <w:r>
        <w:rPr>
          <w:b w:val="0"/>
        </w:rPr>
        <w:t>现有5,000步checkpoint作为已完成的工程基础，不直接充当等预算效果对照。学习率随训练方式不同而设置，若追加调参须记录实验次数与卡时。归一化仅使用训练划分；语言监督限官方seen指令。</w:t>
      </w:r>
    </w:p>
    <w:p>
      <w:pPr>
        <w:pStyle w:val="Heading2"/>
      </w:pPr>
      <w:r>
        <w:t>本轮范围边界</w:t>
      </w:r>
    </w:p>
    <w:p>
      <w:r>
        <w:rPr>
          <w:b w:val="0"/>
        </w:rPr>
        <w:t>主任务固定为一个LoRA对照和一个全量微调实验。双教师、替换ViT、QLoRA及离线RL不列入本次必做预算；只有主任务完成且获得额外资源后另行安排。最终只提交单一模型权重及对应结果，不进行按任务切换权重或多模型投票。[2]</w:t>
      </w:r>
    </w:p>
    <w:p>
      <w:r>
        <w:br w:type="page"/>
      </w:r>
    </w:p>
    <w:p>
      <w:pPr>
        <w:pStyle w:val="Heading1"/>
      </w:pPr>
      <w:r>
        <w:t>五 训练时长与算力核时预算</w:t>
      </w:r>
    </w:p>
    <w:p>
      <w:r>
        <w:rPr>
          <w:b w:val="0"/>
        </w:rPr>
        <w:t>本报告的算力核时统一采用GPU卡时：卡数乘以占用小时，不按CUDA核心数量计算。以下为排期与申请上限，所有A800耗时均为待短测校准的工程估算，非既有实测。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794"/>
        <w:gridCol w:w="3742"/>
        <w:gridCol w:w="1587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阶段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/>
                <w:sz w:val="19"/>
              </w:rPr>
              <w:t>卡数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计划占用时间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预算卡时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环境验证与短测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8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3小时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LoRA等预算对照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最多24小时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全量微调主实验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8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预计24至48小时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384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中间模型筛选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8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最多6小时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48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最终模型及基线评测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8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最多72小时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576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导出与复现检查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最多12小时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弹性预留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按需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折合8卡12小时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96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累计申请上限</w:t>
            </w:r>
          </w:p>
        </w:tc>
        <w:tc>
          <w:tcPr>
            <w:tcW w:type="dxa" w:w="79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  <w:jc w:val="center"/>
            </w:pPr>
            <w:r>
              <w:rPr>
                <w:rFonts w:ascii="Calibri" w:hAnsi="Calibri" w:eastAsia="Noto Sans CJK SC"/>
                <w:b w:val="0"/>
                <w:sz w:val="19"/>
              </w:rPr>
              <w:t>—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折合8卡整机150小时</w:t>
            </w:r>
          </w:p>
        </w:tc>
        <w:tc>
          <w:tcPr>
            <w:tcW w:type="dxa" w:w="1587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1,200</w:t>
            </w:r>
          </w:p>
        </w:tc>
      </w:tr>
    </w:tbl>
    <w:p>
      <w:pPr>
        <w:spacing w:after="0"/>
      </w:pPr>
    </w:p>
    <w:p>
      <w:pPr>
        <w:pStyle w:val="Heading2"/>
      </w:pPr>
      <w:r>
        <w:t>主训练时间的计算方法</w:t>
      </w:r>
    </w:p>
    <w:p>
      <w:r>
        <w:rPr>
          <w:b w:val="0"/>
        </w:rPr>
        <w:t>以20,000次更新计，若每次更新4秒，训练约22.2小时、178卡时；若为8秒，约44.4小时、356卡时。主训练按24至48小时、最多384卡时安排，给初始化、保存与短验证留出余量。4至8秒是预算假设，不是A800的已知速度。</w:t>
      </w:r>
    </w:p>
    <w:p>
      <w:r>
        <w:rPr>
          <w:b w:val="0"/>
        </w:rPr>
        <w:t>首批先启用不超过200卡时。预热后记录至少200次更新的端到端平均时间及分位数，计时包含数据读取与梯度累积。若稳定更新超过8.64秒，20,000步的纯训练就超过48小时；应优化实现、重新安排额度，或将主方案和LoRA对照同时缩减为10,000步，并如实说明实验范围。</w:t>
      </w:r>
    </w:p>
    <w:p>
      <w:pPr>
        <w:pStyle w:val="Heading2"/>
      </w:pPr>
      <w:r>
        <w:t>评测预算与时间安排</w:t>
      </w:r>
    </w:p>
    <w:p>
      <w:r>
        <w:rPr>
          <w:b w:val="0"/>
        </w:rPr>
        <w:t>576卡时可在每个episode平均约104秒时覆盖20,000次评测。若平均2分钟，约需667卡时，可由96卡时预留补足约91卡时缺口；此时应严格控制其余阶段，不能同时重复使用预留额度。若更慢，优先完成最终模型10,000次，再缩小基线对照规模或另行申请资源。</w:t>
      </w:r>
    </w:p>
    <w:p>
      <w:r>
        <w:rPr>
          <w:b w:val="0"/>
        </w:rPr>
        <w:t>上述阶段完全串行约需7天左右的计算占用，另留排队、迁移和人工检查时间，拟安排8至10个日历日。若节点必须按整机分配，LoRA及导出阶段也按8卡实际占用记账，需合并任务或重新核定额度，不能按2卡低报整机占用。</w:t>
      </w:r>
    </w:p>
    <w:p>
      <w:r>
        <w:rPr>
          <w:b w:val="0"/>
          <w:sz w:val="19"/>
        </w:rPr>
        <w:t>服务器配套建议：主机内存至少512GB、约64个可分配CPU线程、1TB可用高速存储；确认NVLink/NVSwitch实际拓扑、容器运行权限和RoboTwin渲染兼容性。资源配套及机时在出发前落实。</w:t>
      </w:r>
    </w:p>
    <w:p>
      <w:r>
        <w:br w:type="page"/>
      </w:r>
    </w:p>
    <w:p>
      <w:pPr>
        <w:pStyle w:val="Heading1"/>
      </w:pPr>
      <w:r>
        <w:t>六 最终预期与成果验收</w:t>
      </w:r>
    </w:p>
    <w:p>
      <w:r>
        <w:rPr>
          <w:b w:val="0"/>
        </w:rPr>
        <w:t>项目预期是得到一套适配50任务的可复现策略，并回答“在相同数据与样本预算下，全量微调能否改善泛化成功率”。工程交付按明确清单验收，性能提升作为研究目标单独记录，不用训练loss替代闭环成绩。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5159"/>
        <w:gridCol w:w="2948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目标类别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拟定标准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交付证据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训练完成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完成1个等预算LoRA对照和1个全量微调实验；如缩减步数，两者同步调整并注明原因。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参数清单、配置、训练曲线、卡时记录及checkpoint。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模型可用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导出最终单一权重；重新加载可推理，训练恢复及推理预处理检查通过。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权重校验、README、train.sh、eval.sh。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正式评测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最终模型完成50任务×2环境×100次，共10,000次；记录每任务成功数与总次数。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官方格式JSON、原始日志及失败分析。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主要性能目标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相对等预算LoRA基线，randomized任务平均成功率争取增加至少5个百分点。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同任务、同seed、同精度及推理参数的配对结果。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稳定性目标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clean平均成功率相对基线下降不超过2个百分点；检查是否由少数任务贡献全部收益。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逐任务差值、平均值与不确定性分析。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按时提交</w:t>
            </w:r>
          </w:p>
        </w:tc>
        <w:tc>
          <w:tcPr>
            <w:tcW w:type="dxa" w:w="5159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10月25日前完成材料整理及复现检查，10月26日24:00前完成提交。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提交包与平台记录。</w:t>
            </w:r>
          </w:p>
        </w:tc>
      </w:tr>
    </w:tbl>
    <w:p>
      <w:pPr>
        <w:spacing w:after="0"/>
      </w:pPr>
    </w:p>
    <w:p>
      <w:pPr>
        <w:pStyle w:val="Heading2"/>
      </w:pPr>
      <w:r>
        <w:t>指标解释与模型选择</w:t>
      </w:r>
    </w:p>
    <w:p>
      <w:r>
        <w:rPr>
          <w:b w:val="0"/>
        </w:rPr>
        <w:t>5个百分点为绝对成功率差值，例如40%到45%；该示例不代表当前50任务成绩。正式基线尚未完成全量闭环评测，因此不设无依据的绝对成功率或名次承诺。研究目标未达到时，提交更可靠的已验证模型，并交付全量微调是否有效的对照结论。</w:t>
      </w:r>
    </w:p>
    <w:p>
      <w:r>
        <w:rPr>
          <w:b w:val="0"/>
        </w:rPr>
        <w:t>分别报告clean和randomized成功率，不自行假定赛事汇总权重。正式评测核对clean的seen指令和randomized的unseen指令设置。现有20次诊断结果的instruction_type记录为unseen，需与正式两种设置核对，不能直接作为最终基线。</w:t>
      </w:r>
    </w:p>
    <w:p>
      <w:r>
        <w:rPr>
          <w:b w:val="0"/>
        </w:rPr>
        <w:t>控制相同测试条件与样本量，保留完整失败记录，采用任务级配对差值或合适的置信区间分析波动。基线若只完成小样本测试，则标注覆盖范围，不能把两种测试规模的差异宣称为已证实提升。</w:t>
      </w:r>
    </w:p>
    <w:p>
      <w:pPr>
        <w:pStyle w:val="Heading2"/>
      </w:pPr>
      <w:r>
        <w:t>项目停止与回退条件</w:t>
      </w:r>
    </w:p>
    <w:p>
      <w:r>
        <w:rPr>
          <w:b w:val="0"/>
        </w:rPr>
        <w:t>若全量微调出现持续数值异常、闭环效果退化或排队导致无法保证最终评测，停止扩大训练，优先保存可复现的LoRA结果。若多个任务持续零成功，先检查动作映射、归一化、指令与轨迹边界，不直接用增加训练步数代替诊断。</w:t>
      </w:r>
    </w:p>
    <w:p>
      <w:r>
        <w:br w:type="page"/>
      </w:r>
    </w:p>
    <w:p>
      <w:pPr>
        <w:pStyle w:val="Heading1"/>
      </w:pPr>
      <w:r>
        <w:t>七 行程安排与执行条件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10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时间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地点及任务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/>
                <w:sz w:val="19"/>
              </w:rPr>
              <w:t>验收点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10月13至14日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宁德：检查已转换数据、迁移包和训练配置，确认上海排期。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数据完整、环境可迁移、机时确认。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10月14至15日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赴沪及上海：环境核验、全量训练短测、确认卡时预测。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稳定200步、保存恢复成功。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10月15至19日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上海：运行LoRA对照与全量微调，完成中间模型筛选。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两种方案的权重、训练日志和初评。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10月20至23日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上海：优先完成最终模型及基线的闭环评测。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逐任务成功率及模型选择记录。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10月24至25日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完成模型导出、复现及提交材料；按实际机时确定驻留结束。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完整提交包与复现记录。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10月26日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处理最后的上传或材料问题，24:00前完成提交。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A"/>
          </w:tcPr>
          <w:p>
            <w:pPr>
              <w:spacing w:after="0" w:line="290" w:lineRule="exact"/>
            </w:pPr>
            <w:r>
              <w:rPr>
                <w:rFonts w:ascii="Calibri" w:hAnsi="Calibri" w:eastAsia="Noto Sans CJK SC"/>
                <w:b w:val="0"/>
                <w:sz w:val="19"/>
              </w:rPr>
              <w:t>截止前平台确认。</w:t>
            </w:r>
          </w:p>
        </w:tc>
      </w:tr>
    </w:tbl>
    <w:p>
      <w:pPr>
        <w:spacing w:after="0"/>
      </w:pPr>
    </w:p>
    <w:p>
      <w:r>
        <w:rPr>
          <w:b w:val="0"/>
        </w:rPr>
        <w:t>人员采用先宁德、后上海的顺序安排，不依赖两地设备同时推进。赴沪前确认到场24小时内能够启动，并为主训练安排累计48小时八卡时段，尽量提供至少一个连续24小时窗口；后续另安排评测时段。排期未落实时先留宁德推进LoRA与评测，避免在异地等待消耗赛前时间。</w:t>
      </w:r>
    </w:p>
    <w:p>
      <w:pPr>
        <w:pStyle w:val="Heading2"/>
      </w:pPr>
      <w:r>
        <w:t>数据使用与复现要求</w:t>
      </w:r>
    </w:p>
    <w:p>
      <w:r>
        <w:rPr>
          <w:b w:val="0"/>
        </w:rPr>
        <w:t>仅使用指定基座和官方clean示范训练，训练指令限seen池，统计量从训练划分计算。禁止randomized训练数据、额外仿真采样训练，以及被禁的官方RoboTwin后训练权重或其蒸馏监督。官方仓库的clean加randomized示例须改为本赛题的clean-only配置。所有模型改动和精度选项写入README。[2][3]</w:t>
      </w:r>
    </w:p>
    <w:p>
      <w:pPr>
        <w:pStyle w:val="Heading2"/>
      </w:pPr>
      <w:r>
        <w:t>项目申请结论</w:t>
      </w:r>
    </w:p>
    <w:p>
      <w:r>
        <w:rPr>
          <w:b/>
        </w:rPr>
        <w:t>本次申请以全模型微调为明确主任务，以等预算LoRA为效果对照。A800资源用于承接本地单卡无法直接容纳的常规全量状态，并压缩对照训练与评测的日历时间。按1,200卡时上限分阶段执行，提交训练、效果及资源使用报告，形成可复用的模型微调与仿真评测流程。</w:t>
      </w:r>
    </w:p>
    <w:p>
      <w:pPr>
        <w:pStyle w:val="Heading2"/>
      </w:pPr>
      <w:r>
        <w:t>依据与项目记录</w:t>
      </w:r>
    </w:p>
    <w:p>
      <w:pPr>
        <w:spacing w:after="80"/>
      </w:pPr>
      <w:hyperlink r:id="rId10">
        <w:r>
          <w:rPr>
            <w:sz w:val="18"/>
            <w:rFonts w:eastAsia="Noto Sans CJK SC"/>
          </w:rPr>
          <w:t>[1] 天池赛事介绍及截止时间</w:t>
        </w:r>
      </w:hyperlink>
    </w:p>
    <w:p>
      <w:pPr>
        <w:spacing w:after="80"/>
      </w:pPr>
      <w:hyperlink r:id="rId11">
        <w:r>
          <w:rPr>
            <w:sz w:val="18"/>
            <w:rFonts w:eastAsia="Noto Sans CJK SC"/>
          </w:rPr>
          <w:t>[2] 赛题与数据及初赛规则解读</w:t>
        </w:r>
      </w:hyperlink>
    </w:p>
    <w:p>
      <w:pPr>
        <w:spacing w:after="80"/>
      </w:pPr>
      <w:hyperlink r:id="rId12">
        <w:r>
          <w:rPr>
            <w:sz w:val="18"/>
            <w:rFonts w:eastAsia="Noto Sans CJK SC"/>
          </w:rPr>
          <w:t>[3] LingBot VLA 2.0 官方仓库</w:t>
        </w:r>
      </w:hyperlink>
    </w:p>
    <w:p>
      <w:pPr>
        <w:spacing w:after="80"/>
      </w:pPr>
      <w:hyperlink r:id="rId13">
        <w:r>
          <w:rPr>
            <w:sz w:val="18"/>
            <w:rFonts w:eastAsia="Noto Sans CJK SC"/>
          </w:rPr>
          <w:t>[5] Hugging Face 训练显存组成说明</w:t>
        </w:r>
      </w:hyperlink>
    </w:p>
    <w:p>
      <w:r>
        <w:rPr>
          <w:b w:val="0"/>
          <w:sz w:val="17"/>
        </w:rPr>
        <w:t>[4] 本地记录：reports/robotwin50-conversion.json、robotwin50-training.json、robotwin50-data-manifest.json、robotwin50-initial-evaluation.json；数据时长约5.114小时沿用原始轨迹统计，训练样本量按转换帧数核算。</w:t>
        <w:br/>
        <w:t>说明：报告中的A800速度、时长与卡时为排期估算；赴沪后的实测用于修正，不将资源容量等同于训练效果。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0" w:lineRule="exact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ianchi.aliyun.com/competition/entrance/532514/introduction" TargetMode="External"/><Relationship Id="rId11" Type="http://schemas.openxmlformats.org/officeDocument/2006/relationships/hyperlink" Target="https://tianchi.aliyun.com/forum/post/1081761" TargetMode="External"/><Relationship Id="rId12" Type="http://schemas.openxmlformats.org/officeDocument/2006/relationships/hyperlink" Target="https://github.com/Robbyant/lingbot-vla-v2" TargetMode="External"/><Relationship Id="rId13" Type="http://schemas.openxmlformats.org/officeDocument/2006/relationships/hyperlink" Target="https://huggingface.co/docs/transformers/model_memory_anato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赴上海训练计划与算力申请报告</dc:title>
  <dc:subject>全模型微调方案 本地设备限制 训练时长与验收目标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