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rPr/>
      </w:pPr>
      <w:r>
        <w:rPr/>
        <w:t>赴上海训练计划与算力申请报告</w:t>
      </w:r>
    </w:p>
    <w:p>
      <w:pPr>
        <w:pStyle w:val="Normal"/>
        <w:rPr/>
      </w:pPr>
      <w:r>
        <w:rPr>
          <w:b/>
          <w:sz w:val="24"/>
        </w:rPr>
        <w:t xml:space="preserve">蚂蚁灵波具身大模型挑战赛   </w:t>
      </w:r>
      <w:r>
        <w:rPr>
          <w:b/>
          <w:sz w:val="24"/>
        </w:rPr>
        <w:t>LingBot VLA 2.0</w:t>
      </w:r>
    </w:p>
    <w:p>
      <w:pPr>
        <w:pStyle w:val="Normal"/>
        <w:rPr/>
      </w:pPr>
      <w:r>
        <w:rPr>
          <w:b w:val="false"/>
          <w:sz w:val="19"/>
        </w:rPr>
        <w:t xml:space="preserve">编制日期 </w:t>
      </w:r>
      <w:r>
        <w:rPr>
          <w:b w:val="false"/>
          <w:sz w:val="19"/>
        </w:rPr>
        <w:t>2026</w:t>
      </w:r>
      <w:r>
        <w:rPr>
          <w:b w:val="false"/>
          <w:sz w:val="19"/>
        </w:rPr>
        <w:t>年</w:t>
      </w:r>
      <w:r>
        <w:rPr>
          <w:b w:val="false"/>
          <w:sz w:val="19"/>
        </w:rPr>
        <w:t>10</w:t>
      </w:r>
      <w:r>
        <w:rPr>
          <w:b w:val="false"/>
          <w:sz w:val="19"/>
        </w:rPr>
        <w:t>月</w:t>
      </w:r>
      <w:r>
        <w:rPr>
          <w:b w:val="false"/>
          <w:sz w:val="19"/>
        </w:rPr>
        <w:t>12</w:t>
      </w:r>
      <w:r>
        <w:rPr>
          <w:b w:val="false"/>
          <w:sz w:val="19"/>
        </w:rPr>
        <w:t>日   ｜   计划用途 项目及算力资源审批</w:t>
      </w:r>
    </w:p>
    <w:p>
      <w:pPr>
        <w:pStyle w:val="1"/>
        <w:rPr/>
      </w:pPr>
      <w:r>
        <w:rPr/>
        <w:t>一 申请事项</w:t>
      </w:r>
    </w:p>
    <w:p>
      <w:pPr>
        <w:pStyle w:val="Normal"/>
        <w:rPr/>
      </w:pPr>
      <w:r>
        <w:rPr>
          <w:b w:val="false"/>
        </w:rPr>
        <w:t>拟在宁德完成数据整理和正式训练流程验证后，于</w:t>
      </w:r>
      <w:r>
        <w:rPr>
          <w:b w:val="false"/>
        </w:rPr>
        <w:t>10</w:t>
      </w:r>
      <w:r>
        <w:rPr>
          <w:b w:val="false"/>
        </w:rPr>
        <w:t>月</w:t>
      </w:r>
      <w:r>
        <w:rPr>
          <w:b w:val="false"/>
        </w:rPr>
        <w:t>14</w:t>
      </w:r>
      <w:r>
        <w:rPr>
          <w:b w:val="false"/>
        </w:rPr>
        <w:t>日至</w:t>
      </w:r>
      <w:r>
        <w:rPr>
          <w:b w:val="false"/>
        </w:rPr>
        <w:t>15</w:t>
      </w:r>
      <w:r>
        <w:rPr>
          <w:b w:val="false"/>
        </w:rPr>
        <w:t>日前往上海，使用当地免费提供的同机</w:t>
      </w:r>
      <w:r>
        <w:rPr>
          <w:b w:val="false"/>
        </w:rPr>
        <w:t>8</w:t>
      </w:r>
      <w:r>
        <w:rPr>
          <w:b w:val="false"/>
        </w:rPr>
        <w:t>张</w:t>
      </w:r>
      <w:r>
        <w:rPr>
          <w:b w:val="false"/>
        </w:rPr>
        <w:t>A800 80GB</w:t>
      </w:r>
      <w:r>
        <w:rPr>
          <w:b w:val="false"/>
        </w:rPr>
        <w:t>开展模型微调与仿真评测。计划</w:t>
      </w:r>
      <w:r>
        <w:rPr>
          <w:b w:val="false"/>
        </w:rPr>
        <w:t>10</w:t>
      </w:r>
      <w:r>
        <w:rPr>
          <w:b w:val="false"/>
        </w:rPr>
        <w:t>月</w:t>
      </w:r>
      <w:r>
        <w:rPr>
          <w:b w:val="false"/>
        </w:rPr>
        <w:t>24</w:t>
      </w:r>
      <w:r>
        <w:rPr>
          <w:b w:val="false"/>
        </w:rPr>
        <w:t>日前结束主要实验，</w:t>
      </w:r>
      <w:r>
        <w:rPr>
          <w:b w:val="false"/>
        </w:rPr>
        <w:t>10</w:t>
      </w:r>
      <w:r>
        <w:rPr>
          <w:b w:val="false"/>
        </w:rPr>
        <w:t>月</w:t>
      </w:r>
      <w:r>
        <w:rPr>
          <w:b w:val="false"/>
        </w:rPr>
        <w:t>2</w:t>
      </w:r>
      <w:r>
        <w:rPr>
          <w:b w:val="false"/>
        </w:rPr>
        <w:t>6</w:t>
      </w:r>
    </w:p>
    <w:p>
      <w:pPr>
        <w:pStyle w:val="Normal"/>
        <w:rPr/>
      </w:pPr>
      <w:r>
        <w:rPr>
          <w:b w:val="false"/>
        </w:rPr>
        <w:t>日前完成初赛材料提交；最终截止时间为</w:t>
      </w:r>
      <w:r>
        <w:rPr>
          <w:b w:val="false"/>
        </w:rPr>
        <w:t>10</w:t>
      </w:r>
      <w:r>
        <w:rPr>
          <w:b w:val="false"/>
        </w:rPr>
        <w:t>月</w:t>
      </w:r>
      <w:r>
        <w:rPr>
          <w:b w:val="false"/>
        </w:rPr>
        <w:t>26</w:t>
      </w:r>
      <w:r>
        <w:rPr>
          <w:b w:val="false"/>
        </w:rPr>
        <w:t>日</w:t>
      </w:r>
      <w:r>
        <w:rPr>
          <w:b w:val="false"/>
        </w:rPr>
        <w:t>24:00</w:t>
      </w:r>
      <w:r>
        <w:rPr>
          <w:b w:val="false"/>
        </w:rPr>
        <w:t>。</w:t>
      </w:r>
      <w:r>
        <w:rPr>
          <w:b w:val="false"/>
        </w:rPr>
        <w:t>[1]</w:t>
      </w:r>
    </w:p>
    <w:p>
      <w:pPr>
        <w:pStyle w:val="Normal"/>
        <w:rPr/>
      </w:pPr>
      <w:r>
        <w:rPr>
          <w:b/>
        </w:rPr>
        <w:t>申请分阶段使用算力，累计上限暂按</w:t>
      </w:r>
      <w:r>
        <w:rPr>
          <w:b/>
        </w:rPr>
        <w:t>1,200 GPU</w:t>
      </w:r>
      <w:r>
        <w:rPr>
          <w:b/>
        </w:rPr>
        <w:t>卡时规划：先使用不超过</w:t>
      </w:r>
      <w:r>
        <w:rPr>
          <w:b/>
        </w:rPr>
        <w:t>200</w:t>
      </w:r>
      <w:r>
        <w:rPr>
          <w:b/>
        </w:rPr>
        <w:t>卡时验证环境、吞吐和基线，再依据实测申请后续额度。初期通常使用</w:t>
      </w:r>
      <w:r>
        <w:rPr>
          <w:b/>
        </w:rPr>
        <w:t>1</w:t>
      </w:r>
      <w:r>
        <w:rPr>
          <w:b/>
        </w:rPr>
        <w:t>至</w:t>
      </w:r>
      <w:r>
        <w:rPr>
          <w:b/>
        </w:rPr>
        <w:t>4</w:t>
      </w:r>
      <w:r>
        <w:rPr>
          <w:b/>
        </w:rPr>
        <w:t>张卡；全量训练及最终评测按需扩大到</w:t>
      </w:r>
      <w:r>
        <w:rPr>
          <w:b/>
        </w:rPr>
        <w:t>8</w:t>
      </w:r>
      <w:r>
        <w:rPr>
          <w:b/>
        </w:rPr>
        <w:t>张，不要求全程独占整机。</w:t>
      </w:r>
    </w:p>
    <w:p>
      <w:pPr>
        <w:pStyle w:val="Normal"/>
        <w:rPr/>
      </w:pPr>
      <w:r>
        <w:rPr>
          <w:b w:val="false"/>
        </w:rPr>
        <w:t>本计划按人员先在宁德、后在上海顺序执行，不依赖赴沪后继续操作宁德设备。出发前确认服务器排期、安装权限及存储空间。</w:t>
      </w:r>
      <w:r>
        <w:rPr>
          <w:b w:val="false"/>
        </w:rPr>
        <w:t>GPU</w:t>
      </w:r>
      <w:r>
        <w:rPr>
          <w:b w:val="false"/>
        </w:rPr>
        <w:t>资源按已沟通信息免费使用；交通、住宿及实际驻留天数另按单位差旅制度核定。</w:t>
      </w:r>
    </w:p>
    <w:p>
      <w:pPr>
        <w:pStyle w:val="1"/>
        <w:rPr/>
      </w:pPr>
      <w:r>
        <w:rPr/>
        <w:t>二 已具备的项目基础</w:t>
      </w:r>
    </w:p>
    <w:tbl>
      <w:tblPr>
        <w:tblW w:w="9637" w:type="dxa"/>
        <w:jc w:val="center"/>
        <w:tblInd w:w="0" w:type="dxa"/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noHBand="0" w:noVBand="1" w:firstColumn="1" w:lastRow="0" w:lastColumn="0" w:firstRow="1"/>
      </w:tblPr>
      <w:tblGrid>
        <w:gridCol w:w="1416"/>
        <w:gridCol w:w="8220"/>
      </w:tblGrid>
      <w:tr>
        <w:trPr>
          <w:tblHeader w:val="true"/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项目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现有情况</w:t>
            </w:r>
          </w:p>
        </w:tc>
      </w:tr>
      <w:tr>
        <w:trPr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训练数据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个任务，每任务</w:t>
            </w: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条，共</w:t>
            </w:r>
            <w:r>
              <w:rPr>
                <w:rFonts w:eastAsia="Noto Sans CJK SC"/>
                <w:b w:val="false"/>
                <w:sz w:val="19"/>
              </w:rPr>
              <w:t>2,500</w:t>
            </w:r>
            <w:r>
              <w:rPr>
                <w:rFonts w:ascii="Calibri" w:hAnsi="Calibri"/>
                <w:b w:val="false"/>
                <w:sz w:val="19"/>
              </w:rPr>
              <w:t>条</w:t>
            </w:r>
            <w:r>
              <w:rPr>
                <w:rFonts w:eastAsia="Noto Sans CJK SC"/>
                <w:b w:val="false"/>
                <w:sz w:val="19"/>
              </w:rPr>
              <w:t>clean</w:t>
            </w:r>
            <w:r>
              <w:rPr>
                <w:rFonts w:ascii="Calibri" w:hAnsi="Calibri"/>
                <w:b w:val="false"/>
                <w:sz w:val="19"/>
              </w:rPr>
              <w:t>示范；压缩包约</w:t>
            </w:r>
            <w:r>
              <w:rPr>
                <w:rFonts w:eastAsia="Noto Sans CJK SC"/>
                <w:b w:val="false"/>
                <w:sz w:val="19"/>
              </w:rPr>
              <w:t>23.78GB</w:t>
            </w:r>
            <w:r>
              <w:rPr>
                <w:rFonts w:ascii="Calibri" w:hAnsi="Calibri"/>
                <w:b w:val="false"/>
                <w:sz w:val="19"/>
              </w:rPr>
              <w:t>。</w:t>
            </w:r>
          </w:p>
        </w:tc>
      </w:tr>
      <w:tr>
        <w:trPr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数据时长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现有统计为</w:t>
            </w:r>
            <w:r>
              <w:rPr>
                <w:rFonts w:eastAsia="Noto Sans CJK SC"/>
                <w:b w:val="false"/>
                <w:sz w:val="19"/>
              </w:rPr>
              <w:t>18,410.4</w:t>
            </w:r>
            <w:r>
              <w:rPr>
                <w:rFonts w:ascii="Calibri" w:hAnsi="Calibri"/>
                <w:b w:val="false"/>
                <w:sz w:val="19"/>
              </w:rPr>
              <w:t>秒，约</w:t>
            </w:r>
            <w:r>
              <w:rPr>
                <w:rFonts w:eastAsia="Noto Sans CJK SC"/>
                <w:b w:val="false"/>
                <w:sz w:val="19"/>
              </w:rPr>
              <w:t>5.114</w:t>
            </w:r>
            <w:r>
              <w:rPr>
                <w:rFonts w:ascii="Calibri" w:hAnsi="Calibri"/>
                <w:b w:val="false"/>
                <w:sz w:val="19"/>
              </w:rPr>
              <w:t>小时；平均</w:t>
            </w:r>
            <w:r>
              <w:rPr>
                <w:rFonts w:eastAsia="Noto Sans CJK SC"/>
                <w:b w:val="false"/>
                <w:sz w:val="19"/>
              </w:rPr>
              <w:t>7.36</w:t>
            </w:r>
            <w:r>
              <w:rPr>
                <w:rFonts w:ascii="Calibri" w:hAnsi="Calibri"/>
                <w:b w:val="false"/>
                <w:sz w:val="19"/>
              </w:rPr>
              <w:t>秒</w:t>
            </w:r>
            <w:r>
              <w:rPr>
                <w:rFonts w:eastAsia="Noto Sans CJK SC"/>
                <w:b w:val="false"/>
                <w:sz w:val="19"/>
              </w:rPr>
              <w:t>/</w:t>
            </w:r>
            <w:r>
              <w:rPr>
                <w:rFonts w:ascii="Calibri" w:hAnsi="Calibri"/>
                <w:b w:val="false"/>
                <w:sz w:val="19"/>
              </w:rPr>
              <w:t>条，范围约</w:t>
            </w:r>
            <w:r>
              <w:rPr>
                <w:rFonts w:eastAsia="Noto Sans CJK SC"/>
                <w:b w:val="false"/>
                <w:sz w:val="19"/>
              </w:rPr>
              <w:t>2.5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29.8</w:t>
            </w:r>
            <w:r>
              <w:rPr>
                <w:rFonts w:ascii="Calibri" w:hAnsi="Calibri"/>
                <w:b w:val="false"/>
                <w:sz w:val="19"/>
              </w:rPr>
              <w:t>秒。</w:t>
            </w:r>
            <w:r>
              <w:rPr>
                <w:rFonts w:eastAsia="Noto Sans CJK SC"/>
                <w:b w:val="false"/>
                <w:sz w:val="19"/>
              </w:rPr>
              <w:t>[5]</w:t>
            </w:r>
          </w:p>
        </w:tc>
      </w:tr>
      <w:tr>
        <w:trPr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模型输入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Aloha-AgileX</w:t>
            </w:r>
            <w:r>
              <w:rPr>
                <w:rFonts w:ascii="Calibri" w:hAnsi="Calibri"/>
                <w:b w:val="false"/>
                <w:sz w:val="19"/>
              </w:rPr>
              <w:t>双臂；</w:t>
            </w:r>
            <w:r>
              <w:rPr>
                <w:rFonts w:eastAsia="Noto Sans CJK SC"/>
                <w:b w:val="false"/>
                <w:sz w:val="19"/>
              </w:rPr>
              <w:t>14</w:t>
            </w:r>
            <w:r>
              <w:rPr>
                <w:rFonts w:ascii="Calibri" w:hAnsi="Calibri"/>
                <w:b w:val="false"/>
                <w:sz w:val="19"/>
              </w:rPr>
              <w:t>维原始状态</w:t>
            </w:r>
            <w:r>
              <w:rPr>
                <w:rFonts w:eastAsia="Noto Sans CJK SC"/>
                <w:b w:val="false"/>
                <w:sz w:val="19"/>
              </w:rPr>
              <w:t>/</w:t>
            </w:r>
            <w:r>
              <w:rPr>
                <w:rFonts w:ascii="Calibri" w:hAnsi="Calibri"/>
                <w:b w:val="false"/>
                <w:sz w:val="19"/>
              </w:rPr>
              <w:t>动作；训练配置使用头部和左右腕部</w:t>
            </w:r>
            <w:r>
              <w:rPr>
                <w:rFonts w:eastAsia="Noto Sans CJK SC"/>
                <w:b w:val="false"/>
                <w:sz w:val="19"/>
              </w:rPr>
              <w:t>3</w:t>
            </w:r>
            <w:r>
              <w:rPr>
                <w:rFonts w:ascii="Calibri" w:hAnsi="Calibri"/>
                <w:b w:val="false"/>
                <w:sz w:val="19"/>
              </w:rPr>
              <w:t>路相机。</w:t>
            </w:r>
          </w:p>
        </w:tc>
      </w:tr>
      <w:tr>
        <w:trPr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准备进度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模型和数据已下载；</w:t>
            </w:r>
            <w:r>
              <w:rPr>
                <w:rFonts w:eastAsia="Noto Sans CJK SC"/>
                <w:b w:val="false"/>
                <w:sz w:val="19"/>
              </w:rPr>
              <w:t>click_bell</w:t>
            </w:r>
            <w:r>
              <w:rPr>
                <w:rFonts w:ascii="Calibri" w:hAnsi="Calibri"/>
                <w:b w:val="false"/>
                <w:sz w:val="19"/>
              </w:rPr>
              <w:t>已转换</w:t>
            </w: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条、</w:t>
            </w:r>
            <w:r>
              <w:rPr>
                <w:rFonts w:eastAsia="Noto Sans CJK SC"/>
                <w:b w:val="false"/>
                <w:sz w:val="19"/>
              </w:rPr>
              <w:t>3,855</w:t>
            </w:r>
            <w:r>
              <w:rPr>
                <w:rFonts w:ascii="Calibri" w:hAnsi="Calibri"/>
                <w:b w:val="false"/>
                <w:sz w:val="19"/>
              </w:rPr>
              <w:t>帧，其余</w:t>
            </w:r>
            <w:r>
              <w:rPr>
                <w:rFonts w:eastAsia="Noto Sans CJK SC"/>
                <w:b w:val="false"/>
                <w:sz w:val="19"/>
              </w:rPr>
              <w:t>49</w:t>
            </w:r>
            <w:r>
              <w:rPr>
                <w:rFonts w:ascii="Calibri" w:hAnsi="Calibri"/>
                <w:b w:val="false"/>
                <w:sz w:val="19"/>
              </w:rPr>
              <w:t>任务待统一转换。</w:t>
            </w:r>
          </w:p>
        </w:tc>
      </w:tr>
      <w:tr>
        <w:trPr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运行验证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单张</w:t>
            </w:r>
            <w:r>
              <w:rPr>
                <w:rFonts w:eastAsia="Noto Sans CJK SC"/>
                <w:b w:val="false"/>
                <w:sz w:val="19"/>
              </w:rPr>
              <w:t>4090</w:t>
            </w:r>
            <w:r>
              <w:rPr>
                <w:rFonts w:ascii="Calibri" w:hAnsi="Calibri"/>
                <w:b w:val="false"/>
                <w:sz w:val="19"/>
              </w:rPr>
              <w:t>已通过</w:t>
            </w:r>
            <w:r>
              <w:rPr>
                <w:rFonts w:eastAsia="Noto Sans CJK SC"/>
                <w:b w:val="false"/>
                <w:sz w:val="19"/>
              </w:rPr>
              <w:t>2</w:t>
            </w:r>
            <w:r>
              <w:rPr>
                <w:rFonts w:ascii="Calibri" w:hAnsi="Calibri"/>
                <w:b w:val="false"/>
                <w:sz w:val="19"/>
              </w:rPr>
              <w:t>步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更新及权重重载；</w:t>
            </w:r>
            <w:r>
              <w:rPr>
                <w:rFonts w:eastAsia="Noto Sans CJK SC"/>
                <w:b w:val="false"/>
                <w:sz w:val="19"/>
              </w:rPr>
              <w:t>256×256</w:t>
            </w:r>
            <w:r>
              <w:rPr>
                <w:rFonts w:ascii="Calibri" w:hAnsi="Calibri"/>
                <w:b w:val="false"/>
                <w:sz w:val="19"/>
              </w:rPr>
              <w:t>输入，约</w:t>
            </w:r>
            <w:r>
              <w:rPr>
                <w:rFonts w:eastAsia="Noto Sans CJK SC"/>
                <w:b w:val="false"/>
                <w:sz w:val="19"/>
              </w:rPr>
              <w:t>396</w:t>
            </w:r>
            <w:r>
              <w:rPr>
                <w:rFonts w:ascii="Calibri" w:hAnsi="Calibri"/>
                <w:b w:val="false"/>
                <w:sz w:val="19"/>
              </w:rPr>
              <w:t>万可训练参数，峰值已分配显存</w:t>
            </w:r>
            <w:r>
              <w:rPr>
                <w:rFonts w:eastAsia="Noto Sans CJK SC"/>
                <w:b w:val="false"/>
                <w:sz w:val="19"/>
              </w:rPr>
              <w:t>13.79GiB</w:t>
            </w:r>
            <w:r>
              <w:rPr>
                <w:rFonts w:ascii="Calibri" w:hAnsi="Calibri"/>
                <w:b w:val="false"/>
                <w:sz w:val="19"/>
              </w:rPr>
              <w:t>。</w:t>
            </w:r>
            <w:r>
              <w:rPr>
                <w:rFonts w:eastAsia="Noto Sans CJK SC"/>
                <w:b w:val="false"/>
                <w:sz w:val="19"/>
              </w:rPr>
              <w:t>[4]</w:t>
            </w:r>
          </w:p>
        </w:tc>
      </w:tr>
      <w:tr>
        <w:trPr>
          <w:cantSplit w:val="true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现有效果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仅有单</w:t>
            </w:r>
            <w:r>
              <w:rPr>
                <w:rFonts w:eastAsia="Noto Sans CJK SC"/>
                <w:b w:val="false"/>
                <w:sz w:val="19"/>
              </w:rPr>
              <w:t>episode</w:t>
            </w:r>
            <w:r>
              <w:rPr>
                <w:rFonts w:ascii="Calibri" w:hAnsi="Calibri"/>
                <w:b w:val="false"/>
                <w:sz w:val="19"/>
              </w:rPr>
              <w:t>冒烟测试，尚无正式</w:t>
            </w: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任务成功率基线；两步更新不作为训练效果证明。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 w:val="false"/>
          <w:sz w:val="19"/>
        </w:rPr>
        <w:t>宁德具备</w:t>
      </w:r>
      <w:r>
        <w:rPr>
          <w:b w:val="false"/>
          <w:sz w:val="19"/>
        </w:rPr>
        <w:t>2</w:t>
      </w:r>
      <w:r>
        <w:rPr>
          <w:b w:val="false"/>
          <w:sz w:val="19"/>
        </w:rPr>
        <w:t>张</w:t>
      </w:r>
      <w:r>
        <w:rPr>
          <w:b w:val="false"/>
          <w:sz w:val="19"/>
        </w:rPr>
        <w:t>RTX 4090 24GB</w:t>
      </w:r>
      <w:r>
        <w:rPr>
          <w:b w:val="false"/>
          <w:sz w:val="19"/>
        </w:rPr>
        <w:t>和</w:t>
      </w:r>
      <w:r>
        <w:rPr>
          <w:b w:val="false"/>
          <w:sz w:val="19"/>
        </w:rPr>
        <w:t>1</w:t>
      </w:r>
      <w:r>
        <w:rPr>
          <w:b w:val="false"/>
          <w:sz w:val="19"/>
        </w:rPr>
        <w:t>张</w:t>
      </w:r>
      <w:r>
        <w:rPr>
          <w:b w:val="false"/>
          <w:sz w:val="19"/>
        </w:rPr>
        <w:t>RTX PRO 5000 Blackwell 48GB</w:t>
      </w:r>
      <w:r>
        <w:rPr>
          <w:b w:val="false"/>
          <w:sz w:val="19"/>
        </w:rPr>
        <w:t>。上述本地实测仅对应</w:t>
      </w:r>
      <w:r>
        <w:rPr>
          <w:b w:val="false"/>
          <w:sz w:val="19"/>
        </w:rPr>
        <w:t>4090</w:t>
      </w:r>
      <w:r>
        <w:rPr>
          <w:b w:val="false"/>
          <w:sz w:val="19"/>
        </w:rPr>
        <w:t>的验收配置，不能外推为全部训练方法的显存或速度保证。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rPr/>
      </w:pPr>
      <w:r>
        <w:rPr/>
        <w:t>三 赴上海使用算力的必要性</w:t>
      </w:r>
    </w:p>
    <w:p>
      <w:pPr>
        <w:pStyle w:val="Normal"/>
        <w:rPr/>
      </w:pPr>
      <w:r>
        <w:rPr>
          <w:b w:val="false"/>
        </w:rPr>
        <w:t>5.114</w:t>
      </w:r>
      <w:r>
        <w:rPr>
          <w:b w:val="false"/>
        </w:rPr>
        <w:t>小时描述机器人示范的时间长度，训练成本还取决于多路图像处理、动作窗口采样、数据重复使用次数和参与更新的参数范围。</w:t>
      </w:r>
      <w:r>
        <w:rPr>
          <w:b w:val="false"/>
        </w:rPr>
        <w:t>3</w:t>
      </w:r>
      <w:r>
        <w:rPr>
          <w:b w:val="false"/>
        </w:rPr>
        <w:t>路相机合计约</w:t>
      </w:r>
      <w:r>
        <w:rPr>
          <w:b w:val="false"/>
        </w:rPr>
        <w:t>15.34 camera-hours</w:t>
      </w:r>
      <w:r>
        <w:rPr>
          <w:b w:val="false"/>
        </w:rPr>
        <w:t>，同步视角不代表三倍独立示范。正式样本数以转换后的帧数、轨迹边界与采样规则为准，并核对原始数据的时间基准和模型采样频率。</w:t>
      </w:r>
    </w:p>
    <w:p>
      <w:pPr>
        <w:pStyle w:val="Normal"/>
        <w:rPr/>
      </w:pPr>
      <w:r>
        <w:rPr>
          <w:b w:val="false"/>
        </w:rPr>
        <w:t>本地设备可以完成</w:t>
      </w:r>
      <w:r>
        <w:rPr>
          <w:b w:val="false"/>
        </w:rPr>
        <w:t>LoRA</w:t>
      </w:r>
      <w:r>
        <w:rPr>
          <w:b w:val="false"/>
        </w:rPr>
        <w:t>训练和有限评测。赴沪的主要价值是允许扩大训练参数范围、开展全量微调及辅助教师对照，并在截止前完成更多闭环测试。</w:t>
      </w:r>
      <w:r>
        <w:rPr>
          <w:b w:val="false"/>
        </w:rPr>
        <w:t>48GB</w:t>
      </w:r>
      <w:r>
        <w:rPr>
          <w:b w:val="false"/>
        </w:rPr>
        <w:t>与</w:t>
      </w:r>
      <w:r>
        <w:rPr>
          <w:b w:val="false"/>
        </w:rPr>
        <w:t>80GB</w:t>
      </w:r>
      <w:r>
        <w:rPr>
          <w:b w:val="false"/>
        </w:rPr>
        <w:t>的差异主要体现为可容纳的训练状态和激活；</w:t>
      </w:r>
      <w:r>
        <w:rPr>
          <w:b w:val="false"/>
        </w:rPr>
        <w:t>8</w:t>
      </w:r>
      <w:r>
        <w:rPr>
          <w:b w:val="false"/>
        </w:rPr>
        <w:t>卡吞吐还取决于实际互联、</w:t>
      </w:r>
      <w:r>
        <w:rPr>
          <w:b w:val="false"/>
        </w:rPr>
        <w:t>CPU</w:t>
      </w:r>
      <w:r>
        <w:rPr>
          <w:b w:val="false"/>
        </w:rPr>
        <w:t>供数和仿真环境。</w:t>
      </w:r>
    </w:p>
    <w:p>
      <w:pPr>
        <w:pStyle w:val="1"/>
        <w:rPr/>
      </w:pPr>
      <w:r>
        <w:rPr/>
        <w:t>四 训练实验设计</w:t>
      </w:r>
    </w:p>
    <w:p>
      <w:pPr>
        <w:pStyle w:val="Normal"/>
        <w:rPr/>
      </w:pPr>
      <w:r>
        <w:rPr>
          <w:b w:val="false"/>
        </w:rPr>
        <w:t>所有方案均从赛事指定</w:t>
      </w:r>
      <w:r>
        <w:rPr>
          <w:b w:val="false"/>
        </w:rPr>
        <w:t>6B</w:t>
      </w:r>
      <w:r>
        <w:rPr>
          <w:b w:val="false"/>
        </w:rPr>
        <w:t>预训练权重初始化，只使用官方</w:t>
      </w:r>
      <w:r>
        <w:rPr>
          <w:b w:val="false"/>
        </w:rPr>
        <w:t>clean</w:t>
      </w:r>
      <w:r>
        <w:rPr>
          <w:b w:val="false"/>
        </w:rPr>
        <w:t>示范。先比较同一套图像预处理、归一化、有效</w:t>
      </w:r>
      <w:r>
        <w:rPr>
          <w:b w:val="false"/>
        </w:rPr>
        <w:t>batch</w:t>
      </w:r>
      <w:r>
        <w:rPr>
          <w:b w:val="false"/>
        </w:rPr>
        <w:t>和评测条件下的训练方式，再单独验证分辨率、数据增广与推理策略。采用渐进加预算方式，避免同时开展过多结构改造。</w:t>
      </w:r>
      <w:r>
        <w:rPr>
          <w:b w:val="false"/>
        </w:rPr>
        <w:t>[2][3]</w:t>
      </w:r>
    </w:p>
    <w:tbl>
      <w:tblPr>
        <w:tblW w:w="9637" w:type="dxa"/>
        <w:jc w:val="center"/>
        <w:tblInd w:w="0" w:type="dxa"/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noHBand="0" w:noVBand="1" w:firstColumn="1" w:lastRow="0" w:lastColumn="0" w:firstRow="1"/>
      </w:tblPr>
      <w:tblGrid>
        <w:gridCol w:w="1247"/>
        <w:gridCol w:w="5329"/>
        <w:gridCol w:w="1586"/>
        <w:gridCol w:w="1474"/>
      </w:tblGrid>
      <w:tr>
        <w:trPr>
          <w:tblHeader w:val="true"/>
          <w:cantSplit w:val="true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jc w:val="center"/>
              <w:rPr/>
            </w:pPr>
            <w:r>
              <w:rPr>
                <w:rFonts w:ascii="Calibri" w:hAnsi="Calibri"/>
                <w:b/>
                <w:sz w:val="19"/>
              </w:rPr>
              <w:t>实验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训练范围与目的</w:t>
            </w:r>
          </w:p>
        </w:tc>
        <w:tc>
          <w:tcPr>
            <w:tcW w:w="1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初始资源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执行顺序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jc w:val="center"/>
              <w:rPr/>
            </w:pPr>
            <w:r>
              <w:rPr>
                <w:rFonts w:eastAsia="Noto Sans CJK SC"/>
                <w:b w:val="false"/>
                <w:sz w:val="19"/>
              </w:rPr>
              <w:t xml:space="preserve">A </w:t>
            </w:r>
            <w:r>
              <w:rPr>
                <w:rFonts w:ascii="Calibri" w:hAnsi="Calibri"/>
                <w:b w:val="false"/>
                <w:sz w:val="19"/>
              </w:rPr>
              <w:t>基线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动作专家注意力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及状态</w:t>
            </w:r>
            <w:r>
              <w:rPr>
                <w:rFonts w:eastAsia="Noto Sans CJK SC"/>
                <w:b w:val="false"/>
                <w:sz w:val="19"/>
              </w:rPr>
              <w:t>/</w:t>
            </w:r>
            <w:r>
              <w:rPr>
                <w:rFonts w:ascii="Calibri" w:hAnsi="Calibri"/>
                <w:b w:val="false"/>
                <w:sz w:val="19"/>
              </w:rPr>
              <w:t>动作投影层；建立可复现的</w:t>
            </w:r>
            <w:r>
              <w:rPr>
                <w:rFonts w:eastAsia="Noto Sans CJK SC"/>
                <w:b w:val="false"/>
                <w:sz w:val="19"/>
              </w:rPr>
              <w:t>clean-only</w:t>
            </w:r>
            <w:r>
              <w:rPr>
                <w:rFonts w:ascii="Calibri" w:hAnsi="Calibri"/>
                <w:b w:val="false"/>
                <w:sz w:val="19"/>
              </w:rPr>
              <w:t>成绩。</w:t>
            </w:r>
          </w:p>
        </w:tc>
        <w:tc>
          <w:tcPr>
            <w:tcW w:w="1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2</w:t>
            </w:r>
            <w:r>
              <w:rPr>
                <w:rFonts w:ascii="Calibri" w:hAnsi="Calibri"/>
                <w:b w:val="false"/>
                <w:sz w:val="19"/>
              </w:rPr>
              <w:t>张</w:t>
            </w:r>
            <w:r>
              <w:rPr>
                <w:rFonts w:eastAsia="Noto Sans CJK SC"/>
                <w:b w:val="false"/>
                <w:sz w:val="19"/>
              </w:rPr>
              <w:t>A800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必须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jc w:val="center"/>
              <w:rPr/>
            </w:pPr>
            <w:r>
              <w:rPr>
                <w:rFonts w:eastAsia="Noto Sans CJK SC"/>
                <w:b w:val="false"/>
                <w:sz w:val="19"/>
              </w:rPr>
              <w:t xml:space="preserve">B </w:t>
            </w:r>
            <w:r>
              <w:rPr>
                <w:rFonts w:ascii="Calibri" w:hAnsi="Calibri"/>
                <w:b w:val="false"/>
                <w:sz w:val="19"/>
              </w:rPr>
              <w:t>扩大适配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向语言主干扩展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，或对动作专家做全参数微调；二选一优先实施。</w:t>
            </w:r>
          </w:p>
        </w:tc>
        <w:tc>
          <w:tcPr>
            <w:tcW w:w="1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2</w:t>
            </w:r>
            <w:r>
              <w:rPr>
                <w:rFonts w:ascii="Calibri" w:hAnsi="Calibri"/>
                <w:b w:val="false"/>
                <w:sz w:val="19"/>
              </w:rPr>
              <w:t>张</w:t>
            </w:r>
            <w:r>
              <w:rPr>
                <w:rFonts w:eastAsia="Noto Sans CJK SC"/>
                <w:b w:val="false"/>
                <w:sz w:val="19"/>
              </w:rPr>
              <w:t>A800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至少一项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jc w:val="center"/>
              <w:rPr/>
            </w:pPr>
            <w:r>
              <w:rPr>
                <w:rFonts w:eastAsia="Noto Sans CJK SC"/>
                <w:b w:val="false"/>
                <w:sz w:val="19"/>
              </w:rPr>
              <w:t xml:space="preserve">C </w:t>
            </w:r>
            <w:r>
              <w:rPr>
                <w:rFonts w:ascii="Calibri" w:hAnsi="Calibri"/>
                <w:b w:val="false"/>
                <w:sz w:val="19"/>
              </w:rPr>
              <w:t>全量微调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更新主模型全部目标参数，先关闭双教师辅助损失，检验相对基线的收益。</w:t>
            </w:r>
          </w:p>
        </w:tc>
        <w:tc>
          <w:tcPr>
            <w:tcW w:w="1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</w:t>
            </w:r>
            <w:r>
              <w:rPr>
                <w:rFonts w:ascii="Calibri" w:hAnsi="Calibri"/>
                <w:b w:val="false"/>
                <w:sz w:val="19"/>
              </w:rPr>
              <w:t>张</w:t>
            </w:r>
            <w:r>
              <w:rPr>
                <w:rFonts w:eastAsia="Noto Sans CJK SC"/>
                <w:b w:val="false"/>
                <w:sz w:val="19"/>
              </w:rPr>
              <w:t>A800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主对照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jc w:val="center"/>
              <w:rPr/>
            </w:pPr>
            <w:r>
              <w:rPr>
                <w:rFonts w:eastAsia="Noto Sans CJK SC"/>
                <w:b w:val="false"/>
                <w:sz w:val="19"/>
              </w:rPr>
              <w:t xml:space="preserve">D </w:t>
            </w:r>
            <w:r>
              <w:rPr>
                <w:rFonts w:ascii="Calibri" w:hAnsi="Calibri"/>
                <w:b w:val="false"/>
                <w:sz w:val="19"/>
              </w:rPr>
              <w:t>教师辅助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在</w:t>
            </w:r>
            <w:r>
              <w:rPr>
                <w:rFonts w:eastAsia="Noto Sans CJK SC"/>
                <w:b w:val="false"/>
                <w:sz w:val="19"/>
              </w:rPr>
              <w:t>C</w:t>
            </w:r>
            <w:r>
              <w:rPr>
                <w:rFonts w:ascii="Calibri" w:hAnsi="Calibri"/>
                <w:b w:val="false"/>
                <w:sz w:val="19"/>
              </w:rPr>
              <w:t>的基础上恢复官方深度和视频教师辅助训练；检查依赖及额外显存。</w:t>
            </w:r>
          </w:p>
        </w:tc>
        <w:tc>
          <w:tcPr>
            <w:tcW w:w="1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8</w:t>
            </w:r>
            <w:r>
              <w:rPr>
                <w:rFonts w:ascii="Calibri" w:hAnsi="Calibri"/>
                <w:b w:val="false"/>
                <w:sz w:val="19"/>
              </w:rPr>
              <w:t>张</w:t>
            </w:r>
            <w:r>
              <w:rPr>
                <w:rFonts w:eastAsia="Noto Sans CJK SC"/>
                <w:b w:val="false"/>
                <w:sz w:val="19"/>
              </w:rPr>
              <w:t>A800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条件执行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 w:val="false"/>
        </w:rPr>
        <w:t>小规模起步建议：每卡</w:t>
      </w:r>
      <w:r>
        <w:rPr>
          <w:b w:val="false"/>
        </w:rPr>
        <w:t>micro batch</w:t>
      </w:r>
      <w:r>
        <w:rPr>
          <w:b w:val="false"/>
        </w:rPr>
        <w:t>为</w:t>
      </w:r>
      <w:r>
        <w:rPr>
          <w:b w:val="false"/>
        </w:rPr>
        <w:t>1</w:t>
      </w:r>
      <w:r>
        <w:rPr>
          <w:b w:val="false"/>
        </w:rPr>
        <w:t>至</w:t>
      </w:r>
      <w:r>
        <w:rPr>
          <w:b w:val="false"/>
        </w:rPr>
        <w:t>2</w:t>
      </w:r>
      <w:r>
        <w:rPr>
          <w:b w:val="false"/>
        </w:rPr>
        <w:t>，开启梯度检查点，按实现选择</w:t>
      </w:r>
      <w:r>
        <w:rPr>
          <w:b w:val="false"/>
        </w:rPr>
        <w:t>BF16</w:t>
      </w:r>
      <w:r>
        <w:rPr>
          <w:b w:val="false"/>
        </w:rPr>
        <w:t>及动作模块精度；全量训练采用</w:t>
      </w:r>
      <w:r>
        <w:rPr>
          <w:b w:val="false"/>
        </w:rPr>
        <w:t>FSDP2</w:t>
      </w:r>
      <w:r>
        <w:rPr>
          <w:b w:val="false"/>
        </w:rPr>
        <w:t>。先以有效</w:t>
      </w:r>
      <w:r>
        <w:rPr>
          <w:b w:val="false"/>
        </w:rPr>
        <w:t>batch 32</w:t>
      </w:r>
      <w:r>
        <w:rPr>
          <w:b w:val="false"/>
        </w:rPr>
        <w:t>作为对照起点，评估</w:t>
      </w:r>
      <w:r>
        <w:rPr>
          <w:b w:val="false"/>
        </w:rPr>
        <w:t>5,000</w:t>
      </w:r>
      <w:r>
        <w:rPr>
          <w:b w:val="false"/>
        </w:rPr>
        <w:t>、</w:t>
      </w:r>
      <w:r>
        <w:rPr>
          <w:b w:val="false"/>
        </w:rPr>
        <w:t>10,000</w:t>
      </w:r>
      <w:r>
        <w:rPr>
          <w:b w:val="false"/>
        </w:rPr>
        <w:t>和</w:t>
      </w:r>
      <w:r>
        <w:rPr>
          <w:b w:val="false"/>
        </w:rPr>
        <w:t>20,000</w:t>
      </w:r>
      <w:r>
        <w:rPr>
          <w:b w:val="false"/>
        </w:rPr>
        <w:t>次更新的中间</w:t>
      </w:r>
      <w:r>
        <w:rPr>
          <w:b w:val="false"/>
        </w:rPr>
        <w:t>checkpoint</w:t>
      </w:r>
      <w:r>
        <w:rPr>
          <w:b w:val="false"/>
        </w:rPr>
        <w:t>，是否继续由评测及剩余时间决定。上述是实验设置，不是官方最低硬件要求或收敛保证。</w:t>
      </w:r>
    </w:p>
    <w:p>
      <w:pPr>
        <w:pStyle w:val="Normal"/>
        <w:rPr/>
      </w:pPr>
      <w:r>
        <w:rPr>
          <w:b w:val="false"/>
          <w:sz w:val="19"/>
        </w:rPr>
        <w:t>有效</w:t>
      </w:r>
      <w:r>
        <w:rPr>
          <w:b w:val="false"/>
          <w:sz w:val="19"/>
        </w:rPr>
        <w:t>batch</w:t>
      </w:r>
      <w:r>
        <w:rPr>
          <w:b w:val="false"/>
          <w:sz w:val="19"/>
        </w:rPr>
        <w:t>为</w:t>
      </w:r>
      <w:r>
        <w:rPr>
          <w:b w:val="false"/>
          <w:sz w:val="19"/>
        </w:rPr>
        <w:t>32</w:t>
      </w:r>
      <w:r>
        <w:rPr>
          <w:b w:val="false"/>
          <w:sz w:val="19"/>
        </w:rPr>
        <w:t>时，</w:t>
      </w:r>
      <w:r>
        <w:rPr>
          <w:b w:val="false"/>
          <w:sz w:val="19"/>
        </w:rPr>
        <w:t>10,000</w:t>
      </w:r>
      <w:r>
        <w:rPr>
          <w:b w:val="false"/>
          <w:sz w:val="19"/>
        </w:rPr>
        <w:t>次更新处理约</w:t>
      </w:r>
      <w:r>
        <w:rPr>
          <w:b w:val="false"/>
          <w:sz w:val="19"/>
        </w:rPr>
        <w:t>32</w:t>
      </w:r>
      <w:r>
        <w:rPr>
          <w:b w:val="false"/>
          <w:sz w:val="19"/>
        </w:rPr>
        <w:t>万个观测与动作窗口；这不是</w:t>
      </w:r>
      <w:r>
        <w:rPr>
          <w:b w:val="false"/>
          <w:sz w:val="19"/>
        </w:rPr>
        <w:t>32</w:t>
      </w:r>
      <w:r>
        <w:rPr>
          <w:b w:val="false"/>
          <w:sz w:val="19"/>
        </w:rPr>
        <w:t>万条独立轨迹。若为</w:t>
      </w:r>
      <w:r>
        <w:rPr>
          <w:b w:val="false"/>
          <w:sz w:val="19"/>
        </w:rPr>
        <w:t>4</w:t>
      </w:r>
      <w:r>
        <w:rPr>
          <w:b w:val="false"/>
          <w:sz w:val="19"/>
        </w:rPr>
        <w:t>卡、每卡</w:t>
      </w:r>
      <w:r>
        <w:rPr>
          <w:b w:val="false"/>
          <w:sz w:val="19"/>
        </w:rPr>
        <w:t>micro batch 2</w:t>
      </w:r>
      <w:r>
        <w:rPr>
          <w:b w:val="false"/>
          <w:sz w:val="19"/>
        </w:rPr>
        <w:t>，可累计</w:t>
      </w:r>
      <w:r>
        <w:rPr>
          <w:b w:val="false"/>
          <w:sz w:val="19"/>
        </w:rPr>
        <w:t>4</w:t>
      </w:r>
      <w:r>
        <w:rPr>
          <w:b w:val="false"/>
          <w:sz w:val="19"/>
        </w:rPr>
        <w:t>次得到有效</w:t>
      </w:r>
      <w:r>
        <w:rPr>
          <w:b w:val="false"/>
          <w:sz w:val="19"/>
        </w:rPr>
        <w:t>batch 32</w:t>
      </w:r>
      <w:r>
        <w:rPr>
          <w:b w:val="false"/>
          <w:sz w:val="19"/>
        </w:rPr>
        <w:t>。梯度累积降低每次前向的批量要求，并不消除模型状态与激活成本。</w:t>
      </w:r>
    </w:p>
    <w:p>
      <w:pPr>
        <w:pStyle w:val="Normal"/>
        <w:rPr/>
      </w:pPr>
      <w:r>
        <w:rPr>
          <w:b w:val="false"/>
          <w:sz w:val="19"/>
        </w:rPr>
        <w:t>本轮不优先新增或替换</w:t>
      </w:r>
      <w:r>
        <w:rPr>
          <w:b w:val="false"/>
          <w:sz w:val="19"/>
        </w:rPr>
        <w:t>ViT</w:t>
      </w:r>
      <w:r>
        <w:rPr>
          <w:b w:val="false"/>
          <w:sz w:val="19"/>
        </w:rPr>
        <w:t>、引入</w:t>
      </w:r>
      <w:r>
        <w:rPr>
          <w:b w:val="false"/>
          <w:sz w:val="19"/>
        </w:rPr>
        <w:t>QLoRA</w:t>
      </w:r>
      <w:r>
        <w:rPr>
          <w:b w:val="false"/>
          <w:sz w:val="19"/>
        </w:rPr>
        <w:t>或复杂离线</w:t>
      </w:r>
      <w:r>
        <w:rPr>
          <w:b w:val="false"/>
          <w:sz w:val="19"/>
        </w:rPr>
        <w:t>RL</w:t>
      </w:r>
      <w:r>
        <w:rPr>
          <w:b w:val="false"/>
          <w:sz w:val="19"/>
        </w:rPr>
        <w:t>。仅在基线稳定且还有机时的情况下开展扩展；大幅改造及规则含糊的方法先取得赛事确认。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rPr/>
      </w:pPr>
      <w:r>
        <w:rPr/>
        <w:t>五 算力额度和服务器条件</w:t>
      </w:r>
    </w:p>
    <w:p>
      <w:pPr>
        <w:pStyle w:val="Normal"/>
        <w:rPr/>
      </w:pPr>
      <w:r>
        <w:rPr>
          <w:b w:val="false"/>
        </w:rPr>
        <w:t>GPU</w:t>
      </w:r>
      <w:r>
        <w:rPr>
          <w:b w:val="false"/>
        </w:rPr>
        <w:t>卡时按“分配卡数</w:t>
      </w:r>
      <w:r>
        <w:rPr>
          <w:b w:val="false"/>
        </w:rPr>
        <w:t>×</w:t>
      </w:r>
      <w:r>
        <w:rPr>
          <w:b w:val="false"/>
        </w:rPr>
        <w:t>占用小时”统计，不按</w:t>
      </w:r>
      <w:r>
        <w:rPr>
          <w:b w:val="false"/>
        </w:rPr>
        <w:t>CUDA</w:t>
      </w:r>
      <w:r>
        <w:rPr>
          <w:b w:val="false"/>
        </w:rPr>
        <w:t>核心数计算。下表为拟申请的预算上限，包含训练、评测和故障重跑；不是训练已实测的耗时。若只能整机分配，应按</w:t>
      </w:r>
      <w:r>
        <w:rPr>
          <w:b w:val="false"/>
        </w:rPr>
        <w:t>8</w:t>
      </w:r>
      <w:r>
        <w:rPr>
          <w:b w:val="false"/>
        </w:rPr>
        <w:t>张卡的实际占用时间记账，未使用的卡及时归还或用于同阶段工作。</w:t>
      </w:r>
    </w:p>
    <w:tbl>
      <w:tblPr>
        <w:tblW w:w="9638" w:type="dxa"/>
        <w:jc w:val="center"/>
        <w:tblInd w:w="0" w:type="dxa"/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noHBand="0" w:noVBand="1" w:firstColumn="1" w:lastRow="0" w:lastColumn="0" w:firstRow="1"/>
      </w:tblPr>
      <w:tblGrid>
        <w:gridCol w:w="3571"/>
        <w:gridCol w:w="4650"/>
        <w:gridCol w:w="1417"/>
      </w:tblGrid>
      <w:tr>
        <w:trPr>
          <w:tblHeader w:val="true"/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用途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分配方案示例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预算卡时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环境迁移与吞吐测试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</w:t>
            </w:r>
            <w:r>
              <w:rPr>
                <w:rFonts w:ascii="Calibri" w:hAnsi="Calibri"/>
                <w:b w:val="false"/>
                <w:sz w:val="19"/>
              </w:rPr>
              <w:t>卡</w:t>
            </w:r>
            <w:r>
              <w:rPr>
                <w:rFonts w:eastAsia="Noto Sans CJK SC"/>
                <w:b w:val="false"/>
                <w:sz w:val="19"/>
              </w:rPr>
              <w:t>×4</w:t>
            </w:r>
            <w:r>
              <w:rPr>
                <w:rFonts w:ascii="Calibri" w:hAnsi="Calibri"/>
                <w:b w:val="false"/>
                <w:sz w:val="19"/>
              </w:rPr>
              <w:t>小时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16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基线与扩大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对照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2</w:t>
            </w:r>
            <w:r>
              <w:rPr>
                <w:rFonts w:ascii="Calibri" w:hAnsi="Calibri"/>
                <w:b w:val="false"/>
                <w:sz w:val="19"/>
              </w:rPr>
              <w:t>卡</w:t>
            </w:r>
            <w:r>
              <w:rPr>
                <w:rFonts w:eastAsia="Noto Sans CJK SC"/>
                <w:b w:val="false"/>
                <w:sz w:val="19"/>
              </w:rPr>
              <w:t>×12</w:t>
            </w:r>
            <w:r>
              <w:rPr>
                <w:rFonts w:ascii="Calibri" w:hAnsi="Calibri"/>
                <w:b w:val="false"/>
                <w:sz w:val="19"/>
              </w:rPr>
              <w:t>小时</w:t>
            </w:r>
            <w:r>
              <w:rPr>
                <w:rFonts w:eastAsia="Noto Sans CJK SC"/>
                <w:b w:val="false"/>
                <w:sz w:val="19"/>
              </w:rPr>
              <w:t>×2</w:t>
            </w:r>
            <w:r>
              <w:rPr>
                <w:rFonts w:ascii="Calibri" w:hAnsi="Calibri"/>
                <w:b w:val="false"/>
                <w:sz w:val="19"/>
              </w:rPr>
              <w:t>轮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48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全量微调主实验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</w:t>
            </w:r>
            <w:r>
              <w:rPr>
                <w:rFonts w:ascii="Calibri" w:hAnsi="Calibri"/>
                <w:b w:val="false"/>
                <w:sz w:val="19"/>
              </w:rPr>
              <w:t>卡</w:t>
            </w:r>
            <w:r>
              <w:rPr>
                <w:rFonts w:eastAsia="Noto Sans CJK SC"/>
                <w:b w:val="false"/>
                <w:sz w:val="19"/>
              </w:rPr>
              <w:t>×24</w:t>
            </w:r>
            <w:r>
              <w:rPr>
                <w:rFonts w:ascii="Calibri" w:hAnsi="Calibri"/>
                <w:b w:val="false"/>
                <w:sz w:val="19"/>
              </w:rPr>
              <w:t>小时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96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双教师辅助对照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</w:t>
            </w:r>
            <w:r>
              <w:rPr>
                <w:rFonts w:ascii="Calibri" w:hAnsi="Calibri"/>
                <w:b w:val="false"/>
                <w:sz w:val="19"/>
              </w:rPr>
              <w:t>卡</w:t>
            </w:r>
            <w:r>
              <w:rPr>
                <w:rFonts w:eastAsia="Noto Sans CJK SC"/>
                <w:b w:val="false"/>
                <w:sz w:val="19"/>
              </w:rPr>
              <w:t>×12</w:t>
            </w:r>
            <w:r>
              <w:rPr>
                <w:rFonts w:ascii="Calibri" w:hAnsi="Calibri"/>
                <w:b w:val="false"/>
                <w:sz w:val="19"/>
              </w:rPr>
              <w:t>小时，可取消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48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筛选与正式评测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累计</w:t>
            </w:r>
            <w:r>
              <w:rPr>
                <w:rFonts w:eastAsia="Noto Sans CJK SC"/>
                <w:b w:val="false"/>
                <w:sz w:val="19"/>
              </w:rPr>
              <w:t>800</w:t>
            </w:r>
            <w:r>
              <w:rPr>
                <w:rFonts w:ascii="Calibri" w:hAnsi="Calibri"/>
                <w:b w:val="false"/>
                <w:sz w:val="19"/>
              </w:rPr>
              <w:t>卡时；基线及最终模型优先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800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权重导出与复现检查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2</w:t>
            </w:r>
            <w:r>
              <w:rPr>
                <w:rFonts w:ascii="Calibri" w:hAnsi="Calibri"/>
                <w:b w:val="false"/>
                <w:sz w:val="19"/>
              </w:rPr>
              <w:t>卡</w:t>
            </w:r>
            <w:r>
              <w:rPr>
                <w:rFonts w:eastAsia="Noto Sans CJK SC"/>
                <w:b w:val="false"/>
                <w:sz w:val="19"/>
              </w:rPr>
              <w:t>×24</w:t>
            </w:r>
            <w:r>
              <w:rPr>
                <w:rFonts w:ascii="Calibri" w:hAnsi="Calibri"/>
                <w:b w:val="false"/>
                <w:sz w:val="19"/>
              </w:rPr>
              <w:t>小时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48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异常重跑与弹性预留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按实际需要申请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144</w:t>
            </w:r>
          </w:p>
        </w:tc>
      </w:tr>
      <w:tr>
        <w:trPr>
          <w:cantSplit w:val="true"/>
        </w:trPr>
        <w:tc>
          <w:tcPr>
            <w:tcW w:w="35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合计</w:t>
            </w:r>
          </w:p>
        </w:tc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分阶段申请，不要求连续独占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1200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</w:rPr>
        <w:t>1,200</w:t>
      </w:r>
      <w:r>
        <w:rPr>
          <w:b/>
        </w:rPr>
        <w:t>卡时相当于</w:t>
      </w:r>
      <w:r>
        <w:rPr>
          <w:b/>
        </w:rPr>
        <w:t>8</w:t>
      </w:r>
      <w:r>
        <w:rPr>
          <w:b/>
        </w:rPr>
        <w:t>卡整机</w:t>
      </w:r>
      <w:r>
        <w:rPr>
          <w:b/>
        </w:rPr>
        <w:t>150</w:t>
      </w:r>
      <w:r>
        <w:rPr>
          <w:b/>
        </w:rPr>
        <w:t>小时，约</w:t>
      </w:r>
      <w:r>
        <w:rPr>
          <w:b/>
        </w:rPr>
        <w:t>6.25</w:t>
      </w:r>
      <w:r>
        <w:rPr>
          <w:b/>
        </w:rPr>
        <w:t>个全天；排队和人员准备耗时另计。首批不超过</w:t>
      </w:r>
      <w:r>
        <w:rPr>
          <w:b/>
        </w:rPr>
        <w:t>200</w:t>
      </w:r>
      <w:r>
        <w:rPr>
          <w:b/>
        </w:rPr>
        <w:t>卡时，提交峰值显存、每次更新耗时、样本吞吐、</w:t>
      </w:r>
      <w:r>
        <w:rPr>
          <w:b/>
        </w:rPr>
        <w:t>episode</w:t>
      </w:r>
      <w:r>
        <w:rPr>
          <w:b/>
        </w:rPr>
        <w:t>耗时与机时记录后，再确认后续安排。到场后优先验证</w:t>
      </w:r>
      <w:r>
        <w:rPr>
          <w:b/>
        </w:rPr>
        <w:t>4</w:t>
      </w:r>
      <w:r>
        <w:rPr>
          <w:b/>
        </w:rPr>
        <w:t>卡全量训练；仅在显存或速度需要时扩至</w:t>
      </w:r>
      <w:r>
        <w:rPr>
          <w:b/>
        </w:rPr>
        <w:t>8</w:t>
      </w:r>
      <w:r>
        <w:rPr>
          <w:b/>
        </w:rPr>
        <w:t>卡。</w:t>
      </w:r>
    </w:p>
    <w:p>
      <w:pPr>
        <w:pStyle w:val="2"/>
        <w:rPr/>
      </w:pPr>
      <w:r>
        <w:rPr/>
        <w:t>评测预算的计算依据</w:t>
      </w:r>
    </w:p>
    <w:p>
      <w:pPr>
        <w:pStyle w:val="Normal"/>
        <w:rPr/>
      </w:pPr>
      <w:r>
        <w:rPr>
          <w:b w:val="false"/>
        </w:rPr>
        <w:t>一个模型的标准全量评测为</w:t>
      </w:r>
      <w:r>
        <w:rPr>
          <w:b w:val="false"/>
        </w:rPr>
        <w:t>50</w:t>
      </w:r>
      <w:r>
        <w:rPr>
          <w:b w:val="false"/>
        </w:rPr>
        <w:t>任务</w:t>
      </w:r>
      <w:r>
        <w:rPr>
          <w:b w:val="false"/>
        </w:rPr>
        <w:t>×2</w:t>
      </w:r>
      <w:r>
        <w:rPr>
          <w:b w:val="false"/>
        </w:rPr>
        <w:t>种环境</w:t>
      </w:r>
      <w:r>
        <w:rPr>
          <w:b w:val="false"/>
        </w:rPr>
        <w:t>×100</w:t>
      </w:r>
      <w:r>
        <w:rPr>
          <w:b w:val="false"/>
        </w:rPr>
        <w:t>次，共</w:t>
      </w:r>
      <w:r>
        <w:rPr>
          <w:b w:val="false"/>
        </w:rPr>
        <w:t>10,000</w:t>
      </w:r>
      <w:r>
        <w:rPr>
          <w:b w:val="false"/>
        </w:rPr>
        <w:t>个</w:t>
      </w:r>
      <w:r>
        <w:rPr>
          <w:b w:val="false"/>
        </w:rPr>
        <w:t>episode</w:t>
      </w:r>
      <w:r>
        <w:rPr>
          <w:b w:val="false"/>
        </w:rPr>
        <w:t>。若基线和最终模型都进行全量对照，则为</w:t>
      </w:r>
      <w:r>
        <w:rPr>
          <w:b w:val="false"/>
        </w:rPr>
        <w:t>20,000</w:t>
      </w:r>
      <w:r>
        <w:rPr>
          <w:b w:val="false"/>
        </w:rPr>
        <w:t>次。假设每个</w:t>
      </w:r>
      <w:r>
        <w:rPr>
          <w:b w:val="false"/>
        </w:rPr>
        <w:t>episode</w:t>
      </w:r>
      <w:r>
        <w:rPr>
          <w:b w:val="false"/>
        </w:rPr>
        <w:t>平均</w:t>
      </w:r>
      <w:r>
        <w:rPr>
          <w:b w:val="false"/>
        </w:rPr>
        <w:t>2</w:t>
      </w:r>
      <w:r>
        <w:rPr>
          <w:b w:val="false"/>
        </w:rPr>
        <w:t>分钟、每路独占</w:t>
      </w:r>
      <w:r>
        <w:rPr>
          <w:b w:val="false"/>
        </w:rPr>
        <w:t>1</w:t>
      </w:r>
      <w:r>
        <w:rPr>
          <w:b w:val="false"/>
        </w:rPr>
        <w:t>张卡，两份模型约需</w:t>
      </w:r>
      <w:r>
        <w:rPr>
          <w:b w:val="false"/>
        </w:rPr>
        <w:t>667</w:t>
      </w:r>
      <w:r>
        <w:rPr>
          <w:b w:val="false"/>
        </w:rPr>
        <w:t>卡时；</w:t>
      </w:r>
      <w:r>
        <w:rPr>
          <w:b w:val="false"/>
        </w:rPr>
        <w:t>800</w:t>
      </w:r>
      <w:r>
        <w:rPr>
          <w:b w:val="false"/>
        </w:rPr>
        <w:t>卡时对应平均约</w:t>
      </w:r>
      <w:r>
        <w:rPr>
          <w:b w:val="false"/>
        </w:rPr>
        <w:t>2.4</w:t>
      </w:r>
      <w:r>
        <w:rPr>
          <w:b w:val="false"/>
        </w:rPr>
        <w:t>分钟，不含额外试验。此为预算情景，须由代表任务实测校准。</w:t>
      </w:r>
    </w:p>
    <w:p>
      <w:pPr>
        <w:pStyle w:val="Normal"/>
        <w:rPr/>
      </w:pPr>
      <w:r>
        <w:rPr>
          <w:b w:val="false"/>
        </w:rPr>
        <w:t>若平均</w:t>
      </w:r>
      <w:r>
        <w:rPr>
          <w:b w:val="false"/>
        </w:rPr>
        <w:t>episode</w:t>
      </w:r>
      <w:r>
        <w:rPr>
          <w:b w:val="false"/>
        </w:rPr>
        <w:t>超过预算假设，先减少重复训练和教师实验，将额度转入最终评测；仍不足时申请扩额或缩小基线对照规模。最终模型优先完成</w:t>
      </w:r>
      <w:r>
        <w:rPr>
          <w:b w:val="false"/>
        </w:rPr>
        <w:t>10,000</w:t>
      </w:r>
      <w:r>
        <w:rPr>
          <w:b w:val="false"/>
        </w:rPr>
        <w:t>次；基线未测满时明确报告样本量，不把不同样本量的差异表述为已证实的提升。</w:t>
      </w:r>
    </w:p>
    <w:p>
      <w:pPr>
        <w:pStyle w:val="2"/>
        <w:rPr/>
      </w:pPr>
      <w:r>
        <w:rPr/>
        <w:t>资源到位条件</w:t>
      </w:r>
    </w:p>
    <w:p>
      <w:pPr>
        <w:pStyle w:val="Normal"/>
        <w:rPr/>
      </w:pPr>
      <w:r>
        <w:rPr>
          <w:b w:val="false"/>
        </w:rPr>
        <w:t>上海节点需确认</w:t>
      </w:r>
      <w:r>
        <w:rPr>
          <w:b w:val="false"/>
        </w:rPr>
        <w:t>8</w:t>
      </w:r>
      <w:r>
        <w:rPr>
          <w:b w:val="false"/>
        </w:rPr>
        <w:t>张</w:t>
      </w:r>
      <w:r>
        <w:rPr>
          <w:b w:val="false"/>
        </w:rPr>
        <w:t>A800</w:t>
      </w:r>
      <w:r>
        <w:rPr>
          <w:b w:val="false"/>
        </w:rPr>
        <w:t>均为</w:t>
      </w:r>
      <w:r>
        <w:rPr>
          <w:b w:val="false"/>
        </w:rPr>
        <w:t>80GB</w:t>
      </w:r>
      <w:r>
        <w:rPr>
          <w:b w:val="false"/>
        </w:rPr>
        <w:t>、实际</w:t>
      </w:r>
      <w:r>
        <w:rPr>
          <w:b w:val="false"/>
        </w:rPr>
        <w:t>NVLink/NVSwitch</w:t>
      </w:r>
      <w:r>
        <w:rPr>
          <w:b w:val="false"/>
        </w:rPr>
        <w:t>拓扑以及可持续使用时段。建议可分配主机内存至少</w:t>
      </w:r>
      <w:r>
        <w:rPr>
          <w:b w:val="false"/>
        </w:rPr>
        <w:t>512GB</w:t>
      </w:r>
      <w:r>
        <w:rPr>
          <w:b w:val="false"/>
        </w:rPr>
        <w:t>、约</w:t>
      </w:r>
      <w:r>
        <w:rPr>
          <w:b w:val="false"/>
        </w:rPr>
        <w:t>64</w:t>
      </w:r>
      <w:r>
        <w:rPr>
          <w:b w:val="false"/>
        </w:rPr>
        <w:t>个</w:t>
      </w:r>
      <w:r>
        <w:rPr>
          <w:b w:val="false"/>
        </w:rPr>
        <w:t>CPU</w:t>
      </w:r>
      <w:r>
        <w:rPr>
          <w:b w:val="false"/>
        </w:rPr>
        <w:t>线程及</w:t>
      </w:r>
      <w:r>
        <w:rPr>
          <w:b w:val="false"/>
        </w:rPr>
        <w:t>1TB</w:t>
      </w:r>
      <w:r>
        <w:rPr>
          <w:b w:val="false"/>
        </w:rPr>
        <w:t>可用高速存储，具体按数据转换体积调整；这些是资源申请建议，尚未核实节点配置。须能运行训练容器，并验证</w:t>
      </w:r>
      <w:r>
        <w:rPr>
          <w:b w:val="false"/>
        </w:rPr>
        <w:t>RoboTwin</w:t>
      </w:r>
      <w:r>
        <w:rPr>
          <w:b w:val="false"/>
        </w:rPr>
        <w:t>的渲染、物理仿真及评测依赖。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rPr/>
      </w:pPr>
      <w:r>
        <w:rPr/>
        <w:t>六 预期效果与验收标准</w:t>
      </w:r>
    </w:p>
    <w:p>
      <w:pPr>
        <w:pStyle w:val="Normal"/>
        <w:rPr/>
      </w:pPr>
      <w:r>
        <w:rPr>
          <w:b w:val="false"/>
        </w:rPr>
        <w:t>本项目以形成可提交、可复现的模型和训练评测方法为最低交付要求，并通过受控实验判断全量微调的价值。成功率提升列为研究目标；在正式基线建立前，不承诺绝对成功率、竞赛名次或全量微调必然胜出。</w:t>
      </w:r>
    </w:p>
    <w:tbl>
      <w:tblPr>
        <w:tblW w:w="9638" w:type="dxa"/>
        <w:jc w:val="center"/>
        <w:tblInd w:w="0" w:type="dxa"/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noHBand="0" w:noVBand="1" w:firstColumn="1" w:lastRow="0" w:lastColumn="0" w:firstRow="1"/>
      </w:tblPr>
      <w:tblGrid>
        <w:gridCol w:w="1473"/>
        <w:gridCol w:w="5216"/>
        <w:gridCol w:w="2949"/>
      </w:tblGrid>
      <w:tr>
        <w:trPr>
          <w:tblHeader w:val="true"/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类别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拟定验收内容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验收证据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数据交付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任务、</w:t>
            </w:r>
            <w:r>
              <w:rPr>
                <w:rFonts w:eastAsia="Noto Sans CJK SC"/>
                <w:b w:val="false"/>
                <w:sz w:val="19"/>
              </w:rPr>
              <w:t>2,500</w:t>
            </w:r>
            <w:r>
              <w:rPr>
                <w:rFonts w:ascii="Calibri" w:hAnsi="Calibri"/>
                <w:b w:val="false"/>
                <w:sz w:val="19"/>
              </w:rPr>
              <w:t>条</w:t>
            </w:r>
            <w:r>
              <w:rPr>
                <w:rFonts w:eastAsia="Noto Sans CJK SC"/>
                <w:b w:val="false"/>
                <w:sz w:val="19"/>
              </w:rPr>
              <w:t>clean</w:t>
            </w:r>
            <w:r>
              <w:rPr>
                <w:rFonts w:ascii="Calibri" w:hAnsi="Calibri"/>
                <w:b w:val="false"/>
                <w:sz w:val="19"/>
              </w:rPr>
              <w:t>示范完成转换；图像、动作对齐、轨迹边界、指令与归一化检查通过。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清单、转换日志、抽检记录和统计文件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训练交付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完成</w:t>
            </w:r>
            <w:r>
              <w:rPr>
                <w:rFonts w:eastAsia="Noto Sans CJK SC"/>
                <w:b w:val="false"/>
                <w:sz w:val="19"/>
              </w:rPr>
              <w:t>1</w:t>
            </w:r>
            <w:r>
              <w:rPr>
                <w:rFonts w:ascii="Calibri" w:hAnsi="Calibri"/>
                <w:b w:val="false"/>
                <w:sz w:val="19"/>
              </w:rPr>
              <w:t>个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基线；至少比较</w:t>
            </w:r>
            <w:r>
              <w:rPr>
                <w:rFonts w:eastAsia="Noto Sans CJK SC"/>
                <w:b w:val="false"/>
                <w:sz w:val="19"/>
              </w:rPr>
              <w:t>1</w:t>
            </w:r>
            <w:r>
              <w:rPr>
                <w:rFonts w:ascii="Calibri" w:hAnsi="Calibri"/>
                <w:b w:val="false"/>
                <w:sz w:val="19"/>
              </w:rPr>
              <w:t>项扩大参数范围的方案；全量实验如受环境阻塞，记录原因及替代结果。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配置、代码版本、</w:t>
            </w:r>
            <w:r>
              <w:rPr>
                <w:rFonts w:eastAsia="Noto Sans CJK SC"/>
                <w:b w:val="false"/>
                <w:sz w:val="19"/>
              </w:rPr>
              <w:t>checkpoint</w:t>
            </w:r>
            <w:r>
              <w:rPr>
                <w:rFonts w:ascii="Calibri" w:hAnsi="Calibri"/>
                <w:b w:val="false"/>
                <w:sz w:val="19"/>
              </w:rPr>
              <w:t>、损失曲线及机时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最终模型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导出</w:t>
            </w:r>
            <w:r>
              <w:rPr>
                <w:rFonts w:eastAsia="Noto Sans CJK SC"/>
                <w:b w:val="false"/>
                <w:sz w:val="19"/>
              </w:rPr>
              <w:t>1</w:t>
            </w:r>
            <w:r>
              <w:rPr>
                <w:rFonts w:ascii="Calibri" w:hAnsi="Calibri"/>
                <w:b w:val="false"/>
                <w:sz w:val="19"/>
              </w:rPr>
              <w:t>套与成绩对应的权重，可重新加载推理；支持按</w:t>
            </w:r>
            <w:r>
              <w:rPr>
                <w:rFonts w:eastAsia="Noto Sans CJK SC"/>
                <w:b w:val="false"/>
                <w:sz w:val="19"/>
              </w:rPr>
              <w:t>README</w:t>
            </w:r>
            <w:r>
              <w:rPr>
                <w:rFonts w:ascii="Calibri" w:hAnsi="Calibri"/>
                <w:b w:val="false"/>
                <w:sz w:val="19"/>
              </w:rPr>
              <w:t>重建环境和运行评测。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重载检查、复现脚本、依赖版本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评测交付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最终模型覆盖</w:t>
            </w: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任务，每任务</w:t>
            </w:r>
            <w:r>
              <w:rPr>
                <w:rFonts w:eastAsia="Noto Sans CJK SC"/>
                <w:b w:val="false"/>
                <w:sz w:val="19"/>
              </w:rPr>
              <w:t>clean</w:t>
            </w:r>
            <w:r>
              <w:rPr>
                <w:rFonts w:ascii="Calibri" w:hAnsi="Calibri"/>
                <w:b w:val="false"/>
                <w:sz w:val="19"/>
              </w:rPr>
              <w:t>与</w:t>
            </w:r>
            <w:r>
              <w:rPr>
                <w:rFonts w:eastAsia="Noto Sans CJK SC"/>
                <w:b w:val="false"/>
                <w:sz w:val="19"/>
              </w:rPr>
              <w:t>randomized</w:t>
            </w:r>
            <w:r>
              <w:rPr>
                <w:rFonts w:ascii="Calibri" w:hAnsi="Calibri"/>
                <w:b w:val="false"/>
                <w:sz w:val="19"/>
              </w:rPr>
              <w:t>各</w:t>
            </w:r>
            <w:r>
              <w:rPr>
                <w:rFonts w:eastAsia="Noto Sans CJK SC"/>
                <w:b w:val="false"/>
                <w:sz w:val="19"/>
              </w:rPr>
              <w:t>100</w:t>
            </w:r>
            <w:r>
              <w:rPr>
                <w:rFonts w:ascii="Calibri" w:hAnsi="Calibri"/>
                <w:b w:val="false"/>
                <w:sz w:val="19"/>
              </w:rPr>
              <w:t>次；逐项记录成功与失败。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官方格式</w:t>
            </w:r>
            <w:r>
              <w:rPr>
                <w:rFonts w:eastAsia="Noto Sans CJK SC"/>
                <w:b w:val="false"/>
                <w:sz w:val="19"/>
              </w:rPr>
              <w:t>JSON</w:t>
            </w:r>
            <w:r>
              <w:rPr>
                <w:rFonts w:ascii="Calibri" w:hAnsi="Calibri"/>
                <w:b w:val="false"/>
                <w:sz w:val="19"/>
              </w:rPr>
              <w:t>、原始日志与失败分类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性能研究目标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相对正式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基线，</w:t>
            </w:r>
            <w:r>
              <w:rPr>
                <w:rFonts w:eastAsia="Noto Sans CJK SC"/>
                <w:b w:val="false"/>
                <w:sz w:val="19"/>
              </w:rPr>
              <w:t>randomized</w:t>
            </w:r>
            <w:r>
              <w:rPr>
                <w:rFonts w:ascii="Calibri" w:hAnsi="Calibri"/>
                <w:b w:val="false"/>
                <w:sz w:val="19"/>
              </w:rPr>
              <w:t>平均成功率争取提高至少</w:t>
            </w:r>
            <w:r>
              <w:rPr>
                <w:rFonts w:eastAsia="Noto Sans CJK SC"/>
                <w:b w:val="false"/>
                <w:sz w:val="19"/>
              </w:rPr>
              <w:t>5</w:t>
            </w:r>
            <w:r>
              <w:rPr>
                <w:rFonts w:ascii="Calibri" w:hAnsi="Calibri"/>
                <w:b w:val="false"/>
                <w:sz w:val="19"/>
              </w:rPr>
              <w:t>个百分点；</w:t>
            </w:r>
            <w:r>
              <w:rPr>
                <w:rFonts w:eastAsia="Noto Sans CJK SC"/>
                <w:b w:val="false"/>
                <w:sz w:val="19"/>
              </w:rPr>
              <w:t>clean</w:t>
            </w:r>
            <w:r>
              <w:rPr>
                <w:rFonts w:ascii="Calibri" w:hAnsi="Calibri"/>
                <w:b w:val="false"/>
                <w:sz w:val="19"/>
              </w:rPr>
              <w:t>下降不超过</w:t>
            </w:r>
            <w:r>
              <w:rPr>
                <w:rFonts w:eastAsia="Noto Sans CJK SC"/>
                <w:b w:val="false"/>
                <w:sz w:val="19"/>
              </w:rPr>
              <w:t>2</w:t>
            </w:r>
            <w:r>
              <w:rPr>
                <w:rFonts w:ascii="Calibri" w:hAnsi="Calibri"/>
                <w:b w:val="false"/>
                <w:sz w:val="19"/>
              </w:rPr>
              <w:t>个百分点。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相同条件的对照表、任务级差值及不确定性分析</w:t>
            </w:r>
          </w:p>
        </w:tc>
      </w:tr>
      <w:tr>
        <w:trPr>
          <w:cantSplit w:val="true"/>
        </w:trPr>
        <w:tc>
          <w:tcPr>
            <w:tcW w:w="14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结果应用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若改进未达目标或稳定性下降，保留更优的已验证模型；照实提交实验结论。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模型选择记录及完整初赛材料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2"/>
        <w:rPr/>
      </w:pPr>
      <w:r>
        <w:rPr/>
        <w:t>对照评测口径</w:t>
      </w:r>
    </w:p>
    <w:p>
      <w:pPr>
        <w:pStyle w:val="Normal"/>
        <w:rPr/>
      </w:pPr>
      <w:r>
        <w:rPr>
          <w:b w:val="false"/>
        </w:rPr>
        <w:t>分别报告</w:t>
      </w:r>
      <w:r>
        <w:rPr>
          <w:b w:val="false"/>
        </w:rPr>
        <w:t>clean</w:t>
      </w:r>
      <w:r>
        <w:rPr>
          <w:b w:val="false"/>
        </w:rPr>
        <w:t>和</w:t>
      </w:r>
      <w:r>
        <w:rPr>
          <w:b w:val="false"/>
        </w:rPr>
        <w:t>randomized</w:t>
      </w:r>
      <w:r>
        <w:rPr>
          <w:b w:val="false"/>
        </w:rPr>
        <w:t>任务平均成功率，不自行假定官方汇总权重。基线与候选模型尽量使用相同任务、</w:t>
      </w:r>
      <w:r>
        <w:rPr>
          <w:b w:val="false"/>
        </w:rPr>
        <w:t>seed</w:t>
      </w:r>
      <w:r>
        <w:rPr>
          <w:b w:val="false"/>
        </w:rPr>
        <w:t>、推理精度、动作执行设置和测试次数；保留所有预定测试结果。开发期筛选结果与最终报告结果分开记录，条件允许时以独立</w:t>
      </w:r>
      <w:r>
        <w:rPr>
          <w:b w:val="false"/>
        </w:rPr>
        <w:t>seed</w:t>
      </w:r>
      <w:r>
        <w:rPr>
          <w:b w:val="false"/>
        </w:rPr>
        <w:t>复核，避免只选择偶然高分。</w:t>
      </w:r>
    </w:p>
    <w:p>
      <w:pPr>
        <w:pStyle w:val="Normal"/>
        <w:rPr/>
      </w:pPr>
      <w:r>
        <w:rPr>
          <w:b w:val="false"/>
        </w:rPr>
        <w:t>百分点指成功率的绝对差值，例如从</w:t>
      </w:r>
      <w:r>
        <w:rPr>
          <w:b w:val="false"/>
        </w:rPr>
        <w:t>40%</w:t>
      </w:r>
      <w:r>
        <w:rPr>
          <w:b w:val="false"/>
        </w:rPr>
        <w:t>提高到</w:t>
      </w:r>
      <w:r>
        <w:rPr>
          <w:b w:val="false"/>
        </w:rPr>
        <w:t>45%</w:t>
      </w:r>
      <w:r>
        <w:rPr>
          <w:b w:val="false"/>
        </w:rPr>
        <w:t>为增加</w:t>
      </w:r>
      <w:r>
        <w:rPr>
          <w:b w:val="false"/>
        </w:rPr>
        <w:t>5</w:t>
      </w:r>
      <w:r>
        <w:rPr>
          <w:b w:val="false"/>
        </w:rPr>
        <w:t>个百分点，此例仅解释指标。采用任务级配对差值及适当置信区间评估波动，防止少数任务或小样本掩盖整体退化。</w:t>
      </w:r>
    </w:p>
    <w:p>
      <w:pPr>
        <w:pStyle w:val="2"/>
        <w:rPr/>
      </w:pPr>
      <w:r>
        <w:rPr/>
        <w:t>训练效果的阶段检查</w:t>
      </w:r>
    </w:p>
    <w:p>
      <w:pPr>
        <w:pStyle w:val="Normal"/>
        <w:rPr/>
      </w:pPr>
      <w:r>
        <w:rPr>
          <w:b w:val="false"/>
        </w:rPr>
        <w:t>到场首日完成稳定前向、反向、保存和恢复测试，并记录至少</w:t>
      </w:r>
      <w:r>
        <w:rPr>
          <w:b w:val="false"/>
        </w:rPr>
        <w:t>200</w:t>
      </w:r>
      <w:r>
        <w:rPr>
          <w:b w:val="false"/>
        </w:rPr>
        <w:t>个预热后的训练更新，计时包含数据加载和梯度累积。先选若干代表任务做小规模闭环测试；若各任务持续零成功，先检查动作映射、归一化和数据管道，再增加训练预算。训练</w:t>
      </w:r>
      <w:r>
        <w:rPr>
          <w:b w:val="false"/>
        </w:rPr>
        <w:t>loss</w:t>
      </w:r>
      <w:r>
        <w:rPr>
          <w:b w:val="false"/>
        </w:rPr>
        <w:t>只作诊断，不能代替闭环成功率。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rPr/>
      </w:pPr>
      <w:r>
        <w:rPr/>
        <w:t>七 行程与实施安排</w:t>
      </w:r>
    </w:p>
    <w:tbl>
      <w:tblPr>
        <w:tblW w:w="9638" w:type="dxa"/>
        <w:jc w:val="center"/>
        <w:tblInd w:w="0" w:type="dxa"/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noHBand="0" w:noVBand="1" w:firstColumn="1" w:lastRow="0" w:lastColumn="0" w:firstRow="1"/>
      </w:tblPr>
      <w:tblGrid>
        <w:gridCol w:w="1757"/>
        <w:gridCol w:w="5046"/>
        <w:gridCol w:w="2835"/>
      </w:tblGrid>
      <w:tr>
        <w:trPr>
          <w:tblHeader w:val="true"/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时间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地点及主要工作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DCE6F1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/>
                <w:sz w:val="19"/>
              </w:rPr>
              <w:t>阶段交付</w:t>
            </w:r>
          </w:p>
        </w:tc>
      </w:tr>
      <w:tr>
        <w:trPr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10</w:t>
            </w:r>
            <w:r>
              <w:rPr>
                <w:rFonts w:ascii="Calibri" w:hAnsi="Calibri"/>
                <w:b w:val="false"/>
                <w:sz w:val="19"/>
              </w:rPr>
              <w:t>月</w:t>
            </w:r>
            <w:r>
              <w:rPr>
                <w:rFonts w:eastAsia="Noto Sans CJK SC"/>
                <w:b w:val="false"/>
                <w:sz w:val="19"/>
              </w:rPr>
              <w:t>12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14</w:t>
            </w:r>
            <w:r>
              <w:rPr>
                <w:rFonts w:ascii="Calibri" w:hAnsi="Calibri"/>
                <w:b w:val="false"/>
                <w:sz w:val="19"/>
              </w:rPr>
              <w:t>日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宁德：完成数据转换、训练脚本与迁移包；确认上海排期。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50</w:t>
            </w:r>
            <w:r>
              <w:rPr>
                <w:rFonts w:ascii="Calibri" w:hAnsi="Calibri"/>
                <w:b w:val="false"/>
                <w:sz w:val="19"/>
              </w:rPr>
              <w:t>任务数据、短训练闭环、环境清单</w:t>
            </w:r>
          </w:p>
        </w:tc>
      </w:tr>
      <w:tr>
        <w:trPr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10</w:t>
            </w:r>
            <w:r>
              <w:rPr>
                <w:rFonts w:ascii="Calibri" w:hAnsi="Calibri"/>
                <w:b w:val="false"/>
                <w:sz w:val="19"/>
              </w:rPr>
              <w:t>月</w:t>
            </w:r>
            <w:r>
              <w:rPr>
                <w:rFonts w:eastAsia="Noto Sans CJK SC"/>
                <w:b w:val="false"/>
                <w:sz w:val="19"/>
              </w:rPr>
              <w:t>14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15</w:t>
            </w:r>
            <w:r>
              <w:rPr>
                <w:rFonts w:ascii="Calibri" w:hAnsi="Calibri"/>
                <w:b w:val="false"/>
                <w:sz w:val="19"/>
              </w:rPr>
              <w:t>日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赴沪及上海：迁移环境，核实互联与仿真兼容性，测吞吐。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资源确认及</w:t>
            </w:r>
            <w:r>
              <w:rPr>
                <w:rFonts w:eastAsia="Noto Sans CJK SC"/>
                <w:b w:val="false"/>
                <w:sz w:val="19"/>
              </w:rPr>
              <w:t>200</w:t>
            </w:r>
            <w:r>
              <w:rPr>
                <w:rFonts w:ascii="Calibri" w:hAnsi="Calibri"/>
                <w:b w:val="false"/>
                <w:sz w:val="19"/>
              </w:rPr>
              <w:t>卡时内阶段报告</w:t>
            </w:r>
          </w:p>
        </w:tc>
      </w:tr>
      <w:tr>
        <w:trPr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10</w:t>
            </w:r>
            <w:r>
              <w:rPr>
                <w:rFonts w:ascii="Calibri" w:hAnsi="Calibri"/>
                <w:b w:val="false"/>
                <w:sz w:val="19"/>
              </w:rPr>
              <w:t>月</w:t>
            </w:r>
            <w:r>
              <w:rPr>
                <w:rFonts w:eastAsia="Noto Sans CJK SC"/>
                <w:b w:val="false"/>
                <w:sz w:val="19"/>
              </w:rPr>
              <w:t>15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19</w:t>
            </w:r>
            <w:r>
              <w:rPr>
                <w:rFonts w:ascii="Calibri" w:hAnsi="Calibri"/>
                <w:b w:val="false"/>
                <w:sz w:val="19"/>
              </w:rPr>
              <w:t>日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上海：</w:t>
            </w:r>
            <w:r>
              <w:rPr>
                <w:rFonts w:eastAsia="Noto Sans CJK SC"/>
                <w:b w:val="false"/>
                <w:sz w:val="19"/>
              </w:rPr>
              <w:t>LoRA</w:t>
            </w:r>
            <w:r>
              <w:rPr>
                <w:rFonts w:ascii="Calibri" w:hAnsi="Calibri"/>
                <w:b w:val="false"/>
                <w:sz w:val="19"/>
              </w:rPr>
              <w:t>与全量微调对照；按结果决定教师实验。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基线与候选权重、初步成功率</w:t>
            </w:r>
          </w:p>
        </w:tc>
      </w:tr>
      <w:tr>
        <w:trPr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10</w:t>
            </w:r>
            <w:r>
              <w:rPr>
                <w:rFonts w:ascii="Calibri" w:hAnsi="Calibri"/>
                <w:b w:val="false"/>
                <w:sz w:val="19"/>
              </w:rPr>
              <w:t>月</w:t>
            </w:r>
            <w:r>
              <w:rPr>
                <w:rFonts w:eastAsia="Noto Sans CJK SC"/>
                <w:b w:val="false"/>
                <w:sz w:val="19"/>
              </w:rPr>
              <w:t>20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23</w:t>
            </w:r>
            <w:r>
              <w:rPr>
                <w:rFonts w:ascii="Calibri" w:hAnsi="Calibri"/>
                <w:b w:val="false"/>
                <w:sz w:val="19"/>
              </w:rPr>
              <w:t>日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上海：扩大评测，完成最终模型及基线的优先对照。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逐任务结果、模型选择记录</w:t>
            </w:r>
          </w:p>
        </w:tc>
      </w:tr>
      <w:tr>
        <w:trPr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10</w:t>
            </w:r>
            <w:r>
              <w:rPr>
                <w:rFonts w:ascii="Calibri" w:hAnsi="Calibri"/>
                <w:b w:val="false"/>
                <w:sz w:val="19"/>
              </w:rPr>
              <w:t>月</w:t>
            </w:r>
            <w:r>
              <w:rPr>
                <w:rFonts w:eastAsia="Noto Sans CJK SC"/>
                <w:b w:val="false"/>
                <w:sz w:val="19"/>
              </w:rPr>
              <w:t>24</w:t>
            </w:r>
            <w:r>
              <w:rPr>
                <w:rFonts w:ascii="Calibri" w:hAnsi="Calibri"/>
                <w:b w:val="false"/>
                <w:sz w:val="19"/>
              </w:rPr>
              <w:t>至</w:t>
            </w:r>
            <w:r>
              <w:rPr>
                <w:rFonts w:eastAsia="Noto Sans CJK SC"/>
                <w:b w:val="false"/>
                <w:sz w:val="19"/>
              </w:rPr>
              <w:t>25</w:t>
            </w:r>
            <w:r>
              <w:rPr>
                <w:rFonts w:ascii="Calibri" w:hAnsi="Calibri"/>
                <w:b w:val="false"/>
                <w:sz w:val="19"/>
              </w:rPr>
              <w:t>日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完成导出、复现和初赛材料提交；驻留结束时间另行确认。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提交包及平台提交记录</w:t>
            </w:r>
          </w:p>
        </w:tc>
      </w:tr>
      <w:tr>
        <w:trPr>
          <w:cantSplit w:val="true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eastAsia="Noto Sans CJK SC"/>
                <w:b w:val="false"/>
                <w:sz w:val="19"/>
              </w:rPr>
              <w:t>10</w:t>
            </w:r>
            <w:r>
              <w:rPr>
                <w:rFonts w:ascii="Calibri" w:hAnsi="Calibri"/>
                <w:b w:val="false"/>
                <w:sz w:val="19"/>
              </w:rPr>
              <w:t>月</w:t>
            </w:r>
            <w:r>
              <w:rPr>
                <w:rFonts w:eastAsia="Noto Sans CJK SC"/>
                <w:b w:val="false"/>
                <w:sz w:val="19"/>
              </w:rPr>
              <w:t>26</w:t>
            </w:r>
            <w:r>
              <w:rPr>
                <w:rFonts w:ascii="Calibri" w:hAnsi="Calibri"/>
                <w:b w:val="false"/>
                <w:sz w:val="19"/>
              </w:rPr>
              <w:t>日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处理上传或复现问题，</w:t>
            </w:r>
            <w:r>
              <w:rPr>
                <w:rFonts w:eastAsia="Noto Sans CJK SC"/>
                <w:b w:val="false"/>
                <w:sz w:val="19"/>
              </w:rPr>
              <w:t>24:00</w:t>
            </w:r>
            <w:r>
              <w:rPr>
                <w:rFonts w:ascii="Calibri" w:hAnsi="Calibri"/>
                <w:b w:val="false"/>
                <w:sz w:val="19"/>
              </w:rPr>
              <w:t>前完成最终提交。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A"/>
            <w:vAlign w:val="center"/>
          </w:tcPr>
          <w:p>
            <w:pPr>
              <w:pStyle w:val="Normal"/>
              <w:widowControl w:val="false"/>
              <w:spacing w:lineRule="exact" w:line="290" w:before="0" w:after="0"/>
              <w:rPr/>
            </w:pPr>
            <w:r>
              <w:rPr>
                <w:rFonts w:ascii="Calibri" w:hAnsi="Calibri"/>
                <w:b w:val="false"/>
                <w:sz w:val="19"/>
              </w:rPr>
              <w:t>截止前复核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 w:val="false"/>
        </w:rPr>
        <w:t>出发条件为上海确认到场后</w:t>
      </w:r>
      <w:r>
        <w:rPr>
          <w:b w:val="false"/>
        </w:rPr>
        <w:t>24</w:t>
      </w:r>
      <w:r>
        <w:rPr>
          <w:b w:val="false"/>
        </w:rPr>
        <w:t>小时内可启动、至少有一段连续</w:t>
      </w:r>
      <w:r>
        <w:rPr>
          <w:b w:val="false"/>
        </w:rPr>
        <w:t>24</w:t>
      </w:r>
      <w:r>
        <w:rPr>
          <w:b w:val="false"/>
        </w:rPr>
        <w:t>小时的</w:t>
      </w:r>
      <w:r>
        <w:rPr>
          <w:b w:val="false"/>
        </w:rPr>
        <w:t>4</w:t>
      </w:r>
      <w:r>
        <w:rPr>
          <w:b w:val="false"/>
        </w:rPr>
        <w:t>卡训练时段，并可在后续安排全量评测。若条件未落实，继续留宁德推进</w:t>
      </w:r>
      <w:r>
        <w:rPr>
          <w:b w:val="false"/>
        </w:rPr>
        <w:t>LoRA</w:t>
      </w:r>
      <w:r>
        <w:rPr>
          <w:b w:val="false"/>
        </w:rPr>
        <w:t>；</w:t>
      </w:r>
      <w:r>
        <w:rPr>
          <w:b w:val="false"/>
        </w:rPr>
        <w:t>10</w:t>
      </w:r>
      <w:r>
        <w:rPr>
          <w:b w:val="false"/>
        </w:rPr>
        <w:t>月</w:t>
      </w:r>
      <w:r>
        <w:rPr>
          <w:b w:val="false"/>
        </w:rPr>
        <w:t>15</w:t>
      </w:r>
      <w:r>
        <w:rPr>
          <w:b w:val="false"/>
        </w:rPr>
        <w:t>日复核排期，仍无可靠窗口时切换为本地完成参赛，避免行程与等待挤占有效实验时间。以上为拟定安排，实际日期随确认的机时调整。</w:t>
      </w:r>
    </w:p>
    <w:p>
      <w:pPr>
        <w:pStyle w:val="2"/>
        <w:rPr/>
      </w:pPr>
      <w:r>
        <w:rPr/>
        <w:t>范围控制与回退</w:t>
      </w:r>
    </w:p>
    <w:p>
      <w:pPr>
        <w:pStyle w:val="Normal"/>
        <w:rPr/>
      </w:pPr>
      <w:r>
        <w:rPr>
          <w:b w:val="false"/>
        </w:rPr>
        <w:t>只使用指定基座与官方</w:t>
      </w:r>
      <w:r>
        <w:rPr>
          <w:b w:val="false"/>
        </w:rPr>
        <w:t>clean</w:t>
      </w:r>
      <w:r>
        <w:rPr>
          <w:b w:val="false"/>
        </w:rPr>
        <w:t>训练监督，训练指令限</w:t>
      </w:r>
      <w:r>
        <w:rPr>
          <w:b w:val="false"/>
        </w:rPr>
        <w:t>seen</w:t>
      </w:r>
      <w:r>
        <w:rPr>
          <w:b w:val="false"/>
        </w:rPr>
        <w:t>池；禁止以</w:t>
      </w:r>
      <w:r>
        <w:rPr>
          <w:b w:val="false"/>
        </w:rPr>
        <w:t>unseen</w:t>
      </w:r>
      <w:r>
        <w:rPr>
          <w:b w:val="false"/>
        </w:rPr>
        <w:t>指令、</w:t>
      </w:r>
      <w:r>
        <w:rPr>
          <w:b w:val="false"/>
        </w:rPr>
        <w:t>randomized</w:t>
      </w:r>
      <w:r>
        <w:rPr>
          <w:b w:val="false"/>
        </w:rPr>
        <w:t>数据、额外仿真采样或被禁的官方</w:t>
      </w:r>
      <w:r>
        <w:rPr>
          <w:b w:val="false"/>
        </w:rPr>
        <w:t>RoboTwin</w:t>
      </w:r>
      <w:r>
        <w:rPr>
          <w:b w:val="false"/>
        </w:rPr>
        <w:t>后训练权重参与训练。评测失败用于诊断，不将环境生成数据回流训练。最终推理遵循单一权重及禁止任务路由等赛事要求。</w:t>
      </w:r>
      <w:r>
        <w:rPr>
          <w:b w:val="false"/>
        </w:rPr>
        <w:t>[2]</w:t>
      </w:r>
    </w:p>
    <w:p>
      <w:pPr>
        <w:pStyle w:val="Normal"/>
        <w:rPr/>
      </w:pPr>
      <w:r>
        <w:rPr>
          <w:b w:val="false"/>
        </w:rPr>
        <w:t>若排队、环境兼容或吞吐不足，依次取消教师扩展、减少候选方案、集中额度保障最终评测和提交。显存不足时减小</w:t>
      </w:r>
      <w:r>
        <w:rPr>
          <w:b w:val="false"/>
        </w:rPr>
        <w:t>micro batch</w:t>
      </w:r>
      <w:r>
        <w:rPr>
          <w:b w:val="false"/>
        </w:rPr>
        <w:t>、启用梯度检查点并调整分片；不以总显存简单相加作为可运行依据。达到阶段预算后先复核效果，再延长训练。</w:t>
      </w:r>
    </w:p>
    <w:p>
      <w:pPr>
        <w:pStyle w:val="2"/>
        <w:rPr/>
      </w:pPr>
      <w:r>
        <w:rPr/>
        <w:t>申请结论</w:t>
      </w:r>
    </w:p>
    <w:p>
      <w:pPr>
        <w:pStyle w:val="Normal"/>
        <w:rPr/>
      </w:pPr>
      <w:r>
        <w:rPr>
          <w:b/>
        </w:rPr>
        <w:t>申请按上述计划开展赴沪训练，先验证再扩大资源使用。上海</w:t>
      </w:r>
      <w:r>
        <w:rPr>
          <w:b/>
        </w:rPr>
        <w:t>GPU</w:t>
      </w:r>
      <w:r>
        <w:rPr>
          <w:b/>
        </w:rPr>
        <w:t>费用为零，拟申请的是可排期的训练评测时段及相应差旅支持。项目完成后交付模型、评测、复现材料及算力使用记录，并形成对</w:t>
      </w:r>
      <w:r>
        <w:rPr>
          <w:b/>
        </w:rPr>
        <w:t>LoRA</w:t>
      </w:r>
      <w:r>
        <w:rPr>
          <w:b/>
        </w:rPr>
        <w:t>与全量微调效果的实证结论。</w:t>
      </w:r>
    </w:p>
    <w:p>
      <w:pPr>
        <w:pStyle w:val="2"/>
        <w:rPr/>
      </w:pPr>
      <w:r>
        <w:rPr/>
        <w:t>依据与记录</w:t>
      </w:r>
    </w:p>
    <w:p>
      <w:pPr>
        <w:pStyle w:val="Normal"/>
        <w:spacing w:before="0" w:after="80"/>
        <w:rPr/>
      </w:pPr>
      <w:hyperlink r:id="rId2">
        <w:r>
          <w:rPr>
            <w:rFonts w:eastAsia="Noto Sans CJK SC"/>
            <w:sz w:val="18"/>
          </w:rPr>
          <w:t xml:space="preserve">[1] </w:t>
        </w:r>
        <w:r>
          <w:rPr>
            <w:sz w:val="18"/>
          </w:rPr>
          <w:t>天池赛事介绍 赛程及组队规则</w:t>
        </w:r>
      </w:hyperlink>
    </w:p>
    <w:p>
      <w:pPr>
        <w:pStyle w:val="Normal"/>
        <w:spacing w:before="0" w:after="80"/>
        <w:rPr/>
      </w:pPr>
      <w:hyperlink r:id="rId3">
        <w:r>
          <w:rPr>
            <w:rFonts w:eastAsia="Noto Sans CJK SC"/>
            <w:sz w:val="18"/>
          </w:rPr>
          <w:t xml:space="preserve">[2] </w:t>
        </w:r>
        <w:r>
          <w:rPr>
            <w:sz w:val="18"/>
          </w:rPr>
          <w:t>天池赛题与数据 另参阅页面链接的初赛规则解读</w:t>
        </w:r>
      </w:hyperlink>
    </w:p>
    <w:p>
      <w:pPr>
        <w:pStyle w:val="Normal"/>
        <w:spacing w:before="0" w:after="80"/>
        <w:rPr/>
      </w:pPr>
      <w:hyperlink r:id="rId4">
        <w:r>
          <w:rPr>
            <w:rFonts w:eastAsia="Noto Sans CJK SC"/>
            <w:sz w:val="18"/>
          </w:rPr>
          <w:t xml:space="preserve">[3] LingBot VLA 2.0 </w:t>
        </w:r>
        <w:r>
          <w:rPr>
            <w:sz w:val="18"/>
          </w:rPr>
          <w:t>官方代码及训练配置</w:t>
        </w:r>
      </w:hyperlink>
    </w:p>
    <w:p>
      <w:pPr>
        <w:pStyle w:val="Normal"/>
        <w:widowControl/>
        <w:bidi w:val="0"/>
        <w:spacing w:lineRule="exact" w:line="330" w:before="0" w:after="120"/>
        <w:jc w:val="left"/>
        <w:rPr/>
      </w:pPr>
      <w:r>
        <w:rPr>
          <w:b w:val="false"/>
          <w:sz w:val="17"/>
        </w:rPr>
        <w:t xml:space="preserve">[4] </w:t>
      </w:r>
      <w:r>
        <w:rPr>
          <w:b w:val="false"/>
          <w:sz w:val="17"/>
        </w:rPr>
        <w:t>项目记录：</w:t>
      </w:r>
      <w:r>
        <w:rPr>
          <w:b w:val="false"/>
          <w:sz w:val="17"/>
        </w:rPr>
        <w:t>reports/environment-acceptance.json</w:t>
      </w:r>
      <w:r>
        <w:rPr>
          <w:b w:val="false"/>
          <w:sz w:val="17"/>
        </w:rPr>
        <w:t>、</w:t>
      </w:r>
      <w:r>
        <w:rPr>
          <w:b w:val="false"/>
          <w:sz w:val="17"/>
        </w:rPr>
        <w:t>click-bell-lora-train.json</w:t>
      </w:r>
      <w:r>
        <w:rPr>
          <w:b w:val="false"/>
          <w:sz w:val="17"/>
        </w:rPr>
        <w:t>及</w:t>
      </w:r>
      <w:r>
        <w:rPr>
          <w:b w:val="false"/>
          <w:sz w:val="17"/>
        </w:rPr>
        <w:t>download-status.json</w:t>
      </w:r>
      <w:r>
        <w:rPr>
          <w:b w:val="false"/>
          <w:sz w:val="17"/>
        </w:rPr>
        <w:t>。验收配置与日期以记录为准。</w:t>
      </w:r>
      <w:r>
        <w:rPr>
          <w:b w:val="false"/>
          <w:sz w:val="17"/>
        </w:rPr>
        <w:br/>
        <w:t xml:space="preserve">[5] </w:t>
      </w:r>
      <w:r>
        <w:rPr>
          <w:b w:val="false"/>
          <w:sz w:val="17"/>
        </w:rPr>
        <w:t>数据时长采用当前提供的全量统计；包数量与</w:t>
      </w:r>
      <w:r>
        <w:rPr>
          <w:b w:val="false"/>
          <w:sz w:val="17"/>
        </w:rPr>
        <w:t>episode</w:t>
      </w:r>
      <w:r>
        <w:rPr>
          <w:b w:val="false"/>
          <w:sz w:val="17"/>
        </w:rPr>
        <w:t>数已检查目录。时长不等同于训练小时，最终训练样本数以转换清单为准。</w:t>
      </w:r>
    </w:p>
    <w:sectPr>
      <w:footerReference w:type="default" r:id="rId5"/>
      <w:type w:val="nextPage"/>
      <w:pgSz w:w="11906" w:h="16838"/>
      <w:pgMar w:left="1134" w:right="1134" w:gutter="0" w:header="0" w:top="1020" w:footer="454" w:bottom="9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center"/>
      <w:rPr/>
    </w:pPr>
    <w:r>
      <w:rPr>
        <w:sz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330" w:before="0" w:after="120"/>
      <w:jc w:val="left"/>
    </w:pPr>
    <w:rPr>
      <w:rFonts w:ascii="Calibri" w:hAnsi="Calibri" w:eastAsia="Noto Sans CJK SC" w:cs=""/>
      <w:color w:val="000000"/>
      <w:kern w:val="0"/>
      <w:sz w:val="21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3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强调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">
    <w:name w:val="Internet 链接"/>
    <w:rPr>
      <w:color w:val="000080"/>
      <w:u w:val="single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keepNext w:val="true"/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6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2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ianchi.aliyun.com/competition/entrance/532514/introduction" TargetMode="External"/><Relationship Id="rId3" Type="http://schemas.openxmlformats.org/officeDocument/2006/relationships/hyperlink" Target="https://tianchi.aliyun.com/competition/entrance/532514/information" TargetMode="External"/><Relationship Id="rId4" Type="http://schemas.openxmlformats.org/officeDocument/2006/relationships/hyperlink" Target="https://github.com/Robbyant/lingbot-vla-v2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Application>LibreOffice/7.3.7.2$Linux_X86_64 LibreOffice_project/30$Build-2</Application>
  <AppVersion>15.0000</AppVersion>
  <Pages>5</Pages>
  <Words>3783</Words>
  <Characters>4497</Characters>
  <CharactersWithSpaces>4549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LingBot VLA A800 训练计划</cp:keywords>
  <dc:language>zh-CN</dc:language>
  <cp:lastModifiedBy/>
  <dcterms:modified xsi:type="dcterms:W3CDTF">2026-10-13T16:09:30Z</dcterms:modified>
  <cp:revision>2</cp:revision>
  <dc:subject>蚂蚁灵波具身大模型挑战赛训练计划及验收目标</dc:subject>
  <dc:title>赴上海训练计划与算力申请报告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