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400"/>
              <w:left w:type="dxa" w:w="400"/>
              <w:bottom w:type="dxa" w:w="400"/>
              <w:right w:type="dxa" w:w="400"/>
            </w:tcMar>
          </w:tcPr>
          <w:p>
            <w:pPr>
              <w:jc w:val="center"/>
            </w:pPr>
            <w:r>
              <w:rPr>
                <w:rFonts w:ascii="Arial" w:cs="Arial" w:eastAsia="Arial" w:hAnsi="Arial"/>
                <w:b/>
                <w:bCs/>
                <w:color w:val="FFFFFF"/>
                <w:sz w:val="72"/>
                <w:szCs w:val="72"/>
              </w:rPr>
              <w:t xml:space="preserve">CirclOS</w:t>
            </w:r>
          </w:p>
          <w:p>
            <w:pPr>
              <w:spacing w:before="120"/>
              <w:jc w:val="center"/>
            </w:pPr>
            <w:r>
              <w:rPr>
                <w:rFonts w:ascii="Arial" w:cs="Arial" w:eastAsia="Arial" w:hAnsi="Arial"/>
                <w:color w:val="B8CCE8"/>
                <w:sz w:val="28"/>
                <w:szCs w:val="28"/>
              </w:rPr>
              <w:t xml:space="preserve">The Operating System for Circular &amp; Compliant Manufacturing SMEs</w:t>
            </w:r>
          </w:p>
          <w:p>
            <w:pPr>
              <w:spacing w:before="120" w:after="0"/>
            </w:pPr>
            <w:r>
              <w:t xml:space="preserve"/>
            </w:r>
          </w:p>
          <w:p>
            <w:pPr>
              <w:jc w:val="center"/>
            </w:pPr>
            <w:r>
              <w:rPr>
                <w:rFonts w:ascii="Arial" w:cs="Arial" w:eastAsia="Arial" w:hAnsi="Arial"/>
                <w:i/>
                <w:iCs/>
                <w:color w:val="B8CCE8"/>
                <w:sz w:val="24"/>
                <w:szCs w:val="24"/>
              </w:rPr>
              <w:t xml:space="preserve">“The platform that turns industrial waste into verified green claims — and revenue.”</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EF7" w:val="clear"/>
            <w:tcMar>
              <w:top w:type="dxa" w:w="100"/>
              <w:left w:type="dxa" w:w="120"/>
              <w:bottom w:type="dxa" w:w="100"/>
              <w:right w:type="dxa" w:w="120"/>
            </w:tcMar>
          </w:tcPr>
          <w:p>
            <w:r>
              <w:rPr>
                <w:rFonts w:ascii="Arial" w:cs="Arial" w:eastAsia="Arial" w:hAnsi="Arial"/>
                <w:b/>
                <w:bCs/>
                <w:color w:val="1B3A6B"/>
                <w:sz w:val="18"/>
                <w:szCs w:val="18"/>
              </w:rPr>
              <w:t xml:space="preserve">Programme</w:t>
            </w:r>
          </w:p>
          <w:p>
            <w:r>
              <w:rPr>
                <w:rFonts w:ascii="Arial" w:cs="Arial" w:eastAsia="Arial" w:hAnsi="Arial"/>
                <w:color w:val="1A1A1A"/>
                <w:sz w:val="18"/>
                <w:szCs w:val="18"/>
              </w:rPr>
              <w:t xml:space="preserve">vor.GRÜNDEN 2026</w:t>
            </w:r>
          </w:p>
        </w:tc>
        <w:tc>
          <w:tcPr>
            <w:tcW w:type="dxa" w:w="2340"/>
            <w:tcBorders>
              <w:top w:val="single" w:color="CCCCCC" w:sz="1"/>
              <w:left w:val="single" w:color="CCCCCC" w:sz="1"/>
              <w:bottom w:val="single" w:color="CCCCCC" w:sz="1"/>
              <w:right w:val="single" w:color="CCCCCC" w:sz="1"/>
            </w:tcBorders>
            <w:shd w:fill="E8EEF7" w:val="clear"/>
            <w:tcMar>
              <w:top w:type="dxa" w:w="100"/>
              <w:left w:type="dxa" w:w="120"/>
              <w:bottom w:type="dxa" w:w="100"/>
              <w:right w:type="dxa" w:w="120"/>
            </w:tcMar>
          </w:tcPr>
          <w:p>
            <w:r>
              <w:rPr>
                <w:rFonts w:ascii="Arial" w:cs="Arial" w:eastAsia="Arial" w:hAnsi="Arial"/>
                <w:b/>
                <w:bCs/>
                <w:color w:val="1B3A6B"/>
                <w:sz w:val="18"/>
                <w:szCs w:val="18"/>
              </w:rPr>
              <w:t xml:space="preserve">Location</w:t>
            </w:r>
          </w:p>
          <w:p>
            <w:r>
              <w:rPr>
                <w:rFonts w:ascii="Arial" w:cs="Arial" w:eastAsia="Arial" w:hAnsi="Arial"/>
                <w:color w:val="1A1A1A"/>
                <w:sz w:val="18"/>
                <w:szCs w:val="18"/>
              </w:rPr>
              <w:t xml:space="preserve">Klagenfurt, Carinthia, Austria</w:t>
            </w:r>
          </w:p>
        </w:tc>
        <w:tc>
          <w:tcPr>
            <w:tcW w:type="dxa" w:w="2340"/>
            <w:tcBorders>
              <w:top w:val="single" w:color="CCCCCC" w:sz="1"/>
              <w:left w:val="single" w:color="CCCCCC" w:sz="1"/>
              <w:bottom w:val="single" w:color="CCCCCC" w:sz="1"/>
              <w:right w:val="single" w:color="CCCCCC" w:sz="1"/>
            </w:tcBorders>
            <w:shd w:fill="E8EEF7" w:val="clear"/>
            <w:tcMar>
              <w:top w:type="dxa" w:w="100"/>
              <w:left w:type="dxa" w:w="120"/>
              <w:bottom w:type="dxa" w:w="100"/>
              <w:right w:type="dxa" w:w="120"/>
            </w:tcMar>
          </w:tcPr>
          <w:p>
            <w:r>
              <w:rPr>
                <w:rFonts w:ascii="Arial" w:cs="Arial" w:eastAsia="Arial" w:hAnsi="Arial"/>
                <w:b/>
                <w:bCs/>
                <w:color w:val="1B3A6B"/>
                <w:sz w:val="18"/>
                <w:szCs w:val="18"/>
              </w:rPr>
              <w:t xml:space="preserve">Sector</w:t>
            </w:r>
          </w:p>
          <w:p>
            <w:r>
              <w:rPr>
                <w:rFonts w:ascii="Arial" w:cs="Arial" w:eastAsia="Arial" w:hAnsi="Arial"/>
                <w:color w:val="1A1A1A"/>
                <w:sz w:val="18"/>
                <w:szCs w:val="18"/>
              </w:rPr>
              <w:t xml:space="preserve">Green Tech / Circular Economy / Legal Tech</w:t>
            </w:r>
          </w:p>
        </w:tc>
        <w:tc>
          <w:tcPr>
            <w:tcW w:type="dxa" w:w="2340"/>
            <w:tcBorders>
              <w:top w:val="single" w:color="CCCCCC" w:sz="1"/>
              <w:left w:val="single" w:color="CCCCCC" w:sz="1"/>
              <w:bottom w:val="single" w:color="CCCCCC" w:sz="1"/>
              <w:right w:val="single" w:color="CCCCCC" w:sz="1"/>
            </w:tcBorders>
            <w:shd w:fill="E8EEF7" w:val="clear"/>
            <w:tcMar>
              <w:top w:type="dxa" w:w="100"/>
              <w:left w:type="dxa" w:w="120"/>
              <w:bottom w:type="dxa" w:w="100"/>
              <w:right w:type="dxa" w:w="120"/>
            </w:tcMar>
          </w:tcPr>
          <w:p>
            <w:r>
              <w:rPr>
                <w:rFonts w:ascii="Arial" w:cs="Arial" w:eastAsia="Arial" w:hAnsi="Arial"/>
                <w:b/>
                <w:bCs/>
                <w:color w:val="1B3A6B"/>
                <w:sz w:val="18"/>
                <w:szCs w:val="18"/>
              </w:rPr>
              <w:t xml:space="preserve">Document Date</w:t>
            </w:r>
          </w:p>
          <w:p>
            <w:r>
              <w:rPr>
                <w:rFonts w:ascii="Arial" w:cs="Arial" w:eastAsia="Arial" w:hAnsi="Arial"/>
                <w:color w:val="1A1A1A"/>
                <w:sz w:val="18"/>
                <w:szCs w:val="18"/>
              </w:rPr>
              <w:t xml:space="preserve">March 2026</w:t>
            </w:r>
          </w:p>
        </w:tc>
      </w:tr>
    </w:tbl>
    <w:p>
      <w:pPr>
        <w:spacing w:before="120" w:after="0"/>
      </w:pPr>
      <w:r>
        <w:t xml:space="preserve"/>
      </w:r>
    </w:p>
    <w:p>
      <w:pPr>
        <w:jc w:val="center"/>
      </w:pPr>
      <w:r>
        <w:rPr>
          <w:rFonts w:ascii="Arial" w:cs="Arial" w:eastAsia="Arial" w:hAnsi="Arial"/>
          <w:i/>
          <w:iCs/>
          <w:color w:val="666666"/>
          <w:sz w:val="18"/>
          <w:szCs w:val="18"/>
        </w:rPr>
        <w:t xml:space="preserve">Hosted by: University of Klagenfurt (AAU)   ·   Funded by: KWF Wirtschaftsförderungs Fonds   ·   Co-financed: European Union</w:t>
      </w:r>
    </w:p>
    <w:p>
      <w:pPr>
        <w:spacing w:before="60"/>
        <w:jc w:val="center"/>
      </w:pPr>
      <w:r>
        <w:rPr>
          <w:rFonts w:ascii="Arial" w:cs="Arial" w:eastAsia="Arial" w:hAnsi="Arial"/>
          <w:color w:val="666666"/>
          <w:sz w:val="18"/>
          <w:szCs w:val="18"/>
        </w:rPr>
        <w:t xml:space="preserve">Confidential — vor.GRÜNDEN 2026 · University of Klagenfurt / KWF</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01</w:t>
            </w:r>
          </w:p>
        </w:tc>
        <w:tc>
          <w:tcPr>
            <w:tcW w:type="dxa" w:w="8160"/>
            <w:tcBorders>
              <w:top w:val="none" w:color="FFFFFF" w:sz="0"/>
              <w:left w:val="none" w:color="FFFFFF" w:sz="0"/>
              <w:bottom w:val="none" w:color="FFFFFF" w:sz="0"/>
              <w:right w:val="none" w:color="FFFFFF" w:sz="0"/>
            </w:tcBorders>
            <w:shd w:fill="E8EEF7" w:val="clear"/>
            <w:tcMar>
              <w:top w:type="dxa" w:w="100"/>
              <w:left w:type="dxa" w:w="200"/>
              <w:bottom w:type="dxa" w:w="100"/>
              <w:right w:type="dxa" w:w="120"/>
            </w:tcMar>
            <w:vAlign w:val="center"/>
          </w:tcPr>
          <w:p>
            <w:r>
              <w:rPr>
                <w:rFonts w:ascii="Arial" w:cs="Arial" w:eastAsia="Arial" w:hAnsi="Arial"/>
                <w:b/>
                <w:bCs/>
                <w:color w:val="1B3A6B"/>
                <w:sz w:val="28"/>
                <w:szCs w:val="28"/>
              </w:rPr>
              <w:t xml:space="preserve">Executive Summary</w:t>
            </w:r>
          </w:p>
        </w:tc>
      </w:tr>
    </w:tbl>
    <w:p>
      <w:pPr>
        <w:spacing w:before="120" w:after="0"/>
      </w:pPr>
      <w:r>
        <w:t xml:space="preserve"/>
      </w:r>
    </w:p>
    <w:p>
      <w:pPr>
        <w:spacing w:before="80" w:after="80"/>
      </w:pPr>
      <w:r>
        <w:rPr>
          <w:rFonts w:ascii="Arial" w:cs="Arial" w:eastAsia="Arial" w:hAnsi="Arial"/>
          <w:color w:val="1A1A1A"/>
          <w:sz w:val="22"/>
          <w:szCs w:val="22"/>
        </w:rPr>
        <w:t xml:space="preserve">CirclOS is a dual-product B2B SaaS platform that solves two of the most urgent problems facing Austrian and European manufacturing SMEs simultaneously: the inefficient, costly disposal of industrial waste byproducts, and the legal compliance risk posed by new EU anti-greenwashing legislation (ECGT Directive, effective September 2026).</w:t>
      </w:r>
    </w:p>
    <w:p>
      <w:pPr>
        <w:spacing w:before="80" w:after="0"/>
      </w:pPr>
      <w:r>
        <w:t xml:space="preserve"/>
      </w:r>
    </w:p>
    <w:p>
      <w:pPr>
        <w:spacing w:before="80" w:after="80"/>
      </w:pPr>
      <w:r>
        <w:rPr>
          <w:rFonts w:ascii="Arial" w:cs="Arial" w:eastAsia="Arial" w:hAnsi="Arial"/>
          <w:color w:val="1A1A1A"/>
          <w:sz w:val="22"/>
          <w:szCs w:val="22"/>
        </w:rPr>
        <w:t xml:space="preserve">The platform operates as two interlocking layers. The first is an AI-powered industrial waste exchange: companies list their byproduct streams (wood offcuts, plastics, metal scrap, electronics components) and are matched by a machine learning engine with other companies that can use those materials as production inputs. Every transaction is timestamped, documented, and stored as a verified evidence record.</w:t>
      </w:r>
    </w:p>
    <w:p>
      <w:pPr>
        <w:spacing w:before="80" w:after="0"/>
      </w:pPr>
      <w:r>
        <w:t xml:space="preserve"/>
      </w:r>
    </w:p>
    <w:p>
      <w:pPr>
        <w:spacing w:before="80" w:after="80"/>
      </w:pPr>
      <w:r>
        <w:rPr>
          <w:rFonts w:ascii="Arial" w:cs="Arial" w:eastAsia="Arial" w:hAnsi="Arial"/>
          <w:color w:val="1A1A1A"/>
          <w:sz w:val="22"/>
          <w:szCs w:val="22"/>
        </w:rPr>
        <w:t xml:space="preserve">The second layer is a Compliance-as-a-Service dashboard that scans a company’s website and marketing materials for green claims, classifies them against EU law, and — crucially — automatically links each sustainability claim to the verified transaction records generated by the waste exchange. The result: legally defensible, evidence-backed green marketing that no competitor can replicate without the same underlying data.</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140"/>
              <w:left w:type="dxa" w:w="120"/>
              <w:bottom w:type="dxa" w:w="140"/>
              <w:right w:type="dxa" w:w="120"/>
            </w:tcMar>
          </w:tcPr>
          <w:p>
            <w:pPr>
              <w:jc w:val="center"/>
            </w:pPr>
            <w:r>
              <w:rPr>
                <w:rFonts w:ascii="Arial" w:cs="Arial" w:eastAsia="Arial" w:hAnsi="Arial"/>
                <w:b/>
                <w:bCs/>
                <w:color w:val="FFFFFF"/>
                <w:sz w:val="36"/>
                <w:szCs w:val="36"/>
              </w:rPr>
              <w:t xml:space="preserve">€2.5T</w:t>
            </w:r>
          </w:p>
          <w:p>
            <w:pPr>
              <w:jc w:val="center"/>
            </w:pPr>
            <w:r>
              <w:rPr>
                <w:rFonts w:ascii="Arial" w:cs="Arial" w:eastAsia="Arial" w:hAnsi="Arial"/>
                <w:color w:val="B8CCE8"/>
                <w:sz w:val="18"/>
                <w:szCs w:val="18"/>
              </w:rPr>
              <w:t xml:space="preserve">EU waste economy annual value</w:t>
            </w:r>
          </w:p>
        </w:tc>
        <w:tc>
          <w:tcPr>
            <w:tcW w:type="dxa" w:w="2340"/>
            <w:tcBorders>
              <w:top w:val="single" w:color="CCCCCC" w:sz="1"/>
              <w:left w:val="single" w:color="CCCCCC" w:sz="1"/>
              <w:bottom w:val="single" w:color="CCCCCC" w:sz="1"/>
              <w:right w:val="single" w:color="CCCCCC" w:sz="1"/>
            </w:tcBorders>
            <w:shd w:fill="1B3A6B" w:val="clear"/>
            <w:tcMar>
              <w:top w:type="dxa" w:w="140"/>
              <w:left w:type="dxa" w:w="120"/>
              <w:bottom w:type="dxa" w:w="140"/>
              <w:right w:type="dxa" w:w="120"/>
            </w:tcMar>
          </w:tcPr>
          <w:p>
            <w:pPr>
              <w:jc w:val="center"/>
            </w:pPr>
            <w:r>
              <w:rPr>
                <w:rFonts w:ascii="Arial" w:cs="Arial" w:eastAsia="Arial" w:hAnsi="Arial"/>
                <w:b/>
                <w:bCs/>
                <w:color w:val="FFFFFF"/>
                <w:sz w:val="36"/>
                <w:szCs w:val="36"/>
              </w:rPr>
              <w:t xml:space="preserve">€12B</w:t>
            </w:r>
          </w:p>
          <w:p>
            <w:pPr>
              <w:jc w:val="center"/>
            </w:pPr>
            <w:r>
              <w:rPr>
                <w:rFonts w:ascii="Arial" w:cs="Arial" w:eastAsia="Arial" w:hAnsi="Arial"/>
                <w:color w:val="B8CCE8"/>
                <w:sz w:val="18"/>
                <w:szCs w:val="18"/>
              </w:rPr>
              <w:t xml:space="preserve">EU circular economy platform opportunity</w:t>
            </w:r>
          </w:p>
        </w:tc>
        <w:tc>
          <w:tcPr>
            <w:tcW w:type="dxa" w:w="2340"/>
            <w:tcBorders>
              <w:top w:val="single" w:color="CCCCCC" w:sz="1"/>
              <w:left w:val="single" w:color="CCCCCC" w:sz="1"/>
              <w:bottom w:val="single" w:color="CCCCCC" w:sz="1"/>
              <w:right w:val="single" w:color="CCCCCC" w:sz="1"/>
            </w:tcBorders>
            <w:shd w:fill="1B3A6B" w:val="clear"/>
            <w:tcMar>
              <w:top w:type="dxa" w:w="140"/>
              <w:left w:type="dxa" w:w="120"/>
              <w:bottom w:type="dxa" w:w="140"/>
              <w:right w:type="dxa" w:w="120"/>
            </w:tcMar>
          </w:tcPr>
          <w:p>
            <w:pPr>
              <w:jc w:val="center"/>
            </w:pPr>
            <w:r>
              <w:rPr>
                <w:rFonts w:ascii="Arial" w:cs="Arial" w:eastAsia="Arial" w:hAnsi="Arial"/>
                <w:b/>
                <w:bCs/>
                <w:color w:val="FFFFFF"/>
                <w:sz w:val="36"/>
                <w:szCs w:val="36"/>
              </w:rPr>
              <w:t xml:space="preserve">43,000+</w:t>
            </w:r>
          </w:p>
          <w:p>
            <w:pPr>
              <w:jc w:val="center"/>
            </w:pPr>
            <w:r>
              <w:rPr>
                <w:rFonts w:ascii="Arial" w:cs="Arial" w:eastAsia="Arial" w:hAnsi="Arial"/>
                <w:color w:val="B8CCE8"/>
                <w:sz w:val="18"/>
                <w:szCs w:val="18"/>
              </w:rPr>
              <w:t xml:space="preserve">SMEs in Austria alone</w:t>
            </w:r>
          </w:p>
        </w:tc>
        <w:tc>
          <w:tcPr>
            <w:tcW w:type="dxa" w:w="2340"/>
            <w:tcBorders>
              <w:top w:val="single" w:color="CCCCCC" w:sz="1"/>
              <w:left w:val="single" w:color="CCCCCC" w:sz="1"/>
              <w:bottom w:val="single" w:color="CCCCCC" w:sz="1"/>
              <w:right w:val="single" w:color="CCCCCC" w:sz="1"/>
            </w:tcBorders>
            <w:shd w:fill="1B3A6B" w:val="clear"/>
            <w:tcMar>
              <w:top w:type="dxa" w:w="140"/>
              <w:left w:type="dxa" w:w="120"/>
              <w:bottom w:type="dxa" w:w="140"/>
              <w:right w:type="dxa" w:w="120"/>
            </w:tcMar>
          </w:tcPr>
          <w:p>
            <w:pPr>
              <w:jc w:val="center"/>
            </w:pPr>
            <w:r>
              <w:rPr>
                <w:rFonts w:ascii="Arial" w:cs="Arial" w:eastAsia="Arial" w:hAnsi="Arial"/>
                <w:b/>
                <w:bCs/>
                <w:color w:val="FFFFFF"/>
                <w:sz w:val="36"/>
                <w:szCs w:val="36"/>
              </w:rPr>
              <w:t xml:space="preserve">Sept 2026</w:t>
            </w:r>
          </w:p>
          <w:p>
            <w:pPr>
              <w:jc w:val="center"/>
            </w:pPr>
            <w:r>
              <w:rPr>
                <w:rFonts w:ascii="Arial" w:cs="Arial" w:eastAsia="Arial" w:hAnsi="Arial"/>
                <w:color w:val="B8CCE8"/>
                <w:sz w:val="18"/>
                <w:szCs w:val="18"/>
              </w:rPr>
              <w:t xml:space="preserve">ECGT compliance deadline</w:t>
            </w:r>
          </w:p>
        </w:tc>
      </w:tr>
    </w:tbl>
    <w:p>
      <w:pPr>
        <w:spacing w:before="160" w:after="0"/>
      </w:pPr>
      <w:r>
        <w:t xml:space="preserve"/>
      </w:r>
    </w:p>
    <w:p>
      <w:pPr>
        <w:pStyle w:val="Heading2"/>
        <w:spacing w:before="280" w:after="120"/>
      </w:pPr>
      <w:r>
        <w:rPr>
          <w:rFonts w:ascii="Arial" w:cs="Arial" w:eastAsia="Arial" w:hAnsi="Arial"/>
          <w:b/>
          <w:bCs/>
          <w:color w:val="1B3A6B"/>
          <w:sz w:val="28"/>
          <w:szCs w:val="28"/>
        </w:rPr>
        <w:t xml:space="preserve">Why Now, Why Here</w:t>
      </w:r>
    </w:p>
    <w:p>
      <w:pPr>
        <w:spacing w:before="80" w:after="80"/>
      </w:pPr>
      <w:r>
        <w:rPr>
          <w:rFonts w:ascii="Arial" w:cs="Arial" w:eastAsia="Arial" w:hAnsi="Arial"/>
          <w:color w:val="1A1A1A"/>
          <w:sz w:val="22"/>
          <w:szCs w:val="22"/>
        </w:rPr>
        <w:t xml:space="preserve">The September 2026 ECGT compliance deadline creates acute, time-bound demand for the compliance product. Carinthia’s Green Tech Valley — home to 260+ companies already committed to circular economy principles — provides a ready-made, receptive first market. The University of Klagenfurt provides academic credibility, AI/ML expertise, and programme support through vor.GRÜNDEN. The combination of regulatory tailwind, local ecosystem density, and institutional backing makes this the ideal moment and location to build CirclOS.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02</w:t>
            </w:r>
          </w:p>
        </w:tc>
        <w:tc>
          <w:tcPr>
            <w:tcW w:type="dxa" w:w="8160"/>
            <w:tcBorders>
              <w:top w:val="none" w:color="FFFFFF" w:sz="0"/>
              <w:left w:val="none" w:color="FFFFFF" w:sz="0"/>
              <w:bottom w:val="none" w:color="FFFFFF" w:sz="0"/>
              <w:right w:val="none" w:color="FFFFFF" w:sz="0"/>
            </w:tcBorders>
            <w:shd w:fill="E8EEF7" w:val="clear"/>
            <w:tcMar>
              <w:top w:type="dxa" w:w="100"/>
              <w:left w:type="dxa" w:w="200"/>
              <w:bottom w:type="dxa" w:w="100"/>
              <w:right w:type="dxa" w:w="120"/>
            </w:tcMar>
            <w:vAlign w:val="center"/>
          </w:tcPr>
          <w:p>
            <w:r>
              <w:rPr>
                <w:rFonts w:ascii="Arial" w:cs="Arial" w:eastAsia="Arial" w:hAnsi="Arial"/>
                <w:b/>
                <w:bCs/>
                <w:color w:val="1B3A6B"/>
                <w:sz w:val="28"/>
                <w:szCs w:val="28"/>
              </w:rPr>
              <w:t xml:space="preserve">The Problem We Solve</w:t>
            </w:r>
          </w:p>
        </w:tc>
      </w:tr>
    </w:tbl>
    <w:p>
      <w:pPr>
        <w:spacing w:before="80" w:after="0"/>
      </w:pPr>
      <w:r>
        <w:t xml:space="preserve"/>
      </w:r>
    </w:p>
    <w:p>
      <w:pPr>
        <w:spacing w:before="80" w:after="80"/>
      </w:pPr>
      <w:r>
        <w:rPr>
          <w:rFonts w:ascii="Arial" w:cs="Arial" w:eastAsia="Arial" w:hAnsi="Arial"/>
          <w:b/>
          <w:bCs/>
          <w:i/>
          <w:iCs/>
          <w:color w:val="1A1A1A"/>
          <w:sz w:val="22"/>
          <w:szCs w:val="22"/>
        </w:rPr>
        <w:t xml:space="preserve">Two crises, one platform — and why they belong together.</w:t>
      </w:r>
    </w:p>
    <w:p>
      <w:pPr>
        <w:spacing w:before="120" w:after="0"/>
      </w:pPr>
      <w:r>
        <w:t xml:space="preserve"/>
      </w:r>
    </w:p>
    <w:p>
      <w:pPr>
        <w:pStyle w:val="Heading2"/>
        <w:spacing w:before="280" w:after="120"/>
      </w:pPr>
      <w:r>
        <w:rPr>
          <w:rFonts w:ascii="Arial" w:cs="Arial" w:eastAsia="Arial" w:hAnsi="Arial"/>
          <w:b/>
          <w:bCs/>
          <w:color w:val="1B3A6B"/>
          <w:sz w:val="28"/>
          <w:szCs w:val="28"/>
        </w:rPr>
        <w:t xml:space="preserve">Problem 1 — Industrial Waste: A Hidden Economic Drain</w:t>
      </w:r>
    </w:p>
    <w:p>
      <w:pPr>
        <w:spacing w:before="80" w:after="80"/>
      </w:pPr>
      <w:r>
        <w:rPr>
          <w:rFonts w:ascii="Arial" w:cs="Arial" w:eastAsia="Arial" w:hAnsi="Arial"/>
          <w:color w:val="1A1A1A"/>
          <w:sz w:val="22"/>
          <w:szCs w:val="22"/>
        </w:rPr>
        <w:t xml:space="preserve">Carinthian and Austrian manufacturing SMEs generate enormous volumes of material byproducts every month: wood offcuts, sawdust and bark from the forestry sector; post-industrial plastic waste from packaging and component manufacturers; electronics scrap and rare earth materials from the Silicon Alps semiconductor cluster; metal offcuts, gypsum, and concrete rubble from the construction sector. The problem is not that these materials lack value — in many cases they are raw materials for other industries. The problem is that no efficient mechanism exists to connect producers and potential users.</w:t>
      </w:r>
    </w:p>
    <w:p>
      <w:pPr>
        <w:spacing w:before="80" w:after="0"/>
      </w:pPr>
      <w:r>
        <w:t xml:space="preserve"/>
      </w:r>
    </w:p>
    <w:p>
      <w:pPr>
        <w:spacing w:before="80" w:after="80"/>
      </w:pPr>
      <w:r>
        <w:rPr>
          <w:rFonts w:ascii="Arial" w:cs="Arial" w:eastAsia="Arial" w:hAnsi="Arial"/>
          <w:color w:val="1A1A1A"/>
          <w:sz w:val="22"/>
          <w:szCs w:val="22"/>
        </w:rPr>
        <w:t xml:space="preserve">Current disposal methods are expensive, environmentally damaging, and economically irrational. Companies pay €80–450 per tonne for waste disposal depending on material type. The Austrian Abfallwirtschaftsgesetz imposes reporting obligations. And the EU Circular Economy Action Plan mandates measurable reductions in industrial landfill. Existing waste exchanges — national Recycling Börsen, regional portals — are classified-ad boards with no intelligence, no matching, and no predictive capability. They have not changed materially in 20 years.</w:t>
      </w:r>
    </w:p>
    <w:p>
      <w:pPr>
        <w:spacing w:before="80" w:after="0"/>
      </w:pPr>
      <w:r>
        <w:t xml:space="preserve"/>
      </w:r>
    </w:p>
    <w:p>
      <w:pPr>
        <w:spacing w:before="80" w:after="80"/>
      </w:pPr>
      <w:r>
        <w:rPr>
          <w:rFonts w:ascii="Arial" w:cs="Arial" w:eastAsia="Arial" w:hAnsi="Arial"/>
          <w:color w:val="1A1A1A"/>
          <w:sz w:val="22"/>
          <w:szCs w:val="22"/>
        </w:rPr>
        <w:t xml:space="preserve">Critically, waste management has the lowest level of digitalisation of all economic sectors in the EU (European Commission, 2023). This is not a saturated market with entrenched incumbents. It is a vacuum waiting to be filled by a well-designed digital platform.</w:t>
      </w:r>
    </w:p>
    <w:p>
      <w:pPr>
        <w:spacing w:before="160" w:after="0"/>
      </w:pPr>
      <w:r>
        <w:t xml:space="preserve"/>
      </w:r>
    </w:p>
    <w:p>
      <w:pPr>
        <w:pStyle w:val="Heading2"/>
        <w:spacing w:before="280" w:after="120"/>
      </w:pPr>
      <w:r>
        <w:rPr>
          <w:rFonts w:ascii="Arial" w:cs="Arial" w:eastAsia="Arial" w:hAnsi="Arial"/>
          <w:b/>
          <w:bCs/>
          <w:color w:val="1B3A6B"/>
          <w:sz w:val="28"/>
          <w:szCs w:val="28"/>
        </w:rPr>
        <w:t xml:space="preserve">Problem 2 — The Greenwashing Compliance Crisis</w:t>
      </w:r>
    </w:p>
    <w:p>
      <w:pPr>
        <w:spacing w:before="80" w:after="80"/>
      </w:pPr>
      <w:r>
        <w:rPr>
          <w:rFonts w:ascii="Arial" w:cs="Arial" w:eastAsia="Arial" w:hAnsi="Arial"/>
          <w:color w:val="1A1A1A"/>
          <w:sz w:val="22"/>
          <w:szCs w:val="22"/>
        </w:rPr>
        <w:t xml:space="preserve">The EU’s Empowering Consumers for the Green Transition Directive (ECGT, Directive 2024/825) became law in early 2024 and must be transposed into Austrian national law by March 2026. Enforcement begins September 2026. The directive bans generic, unsubstantiated environmental claims: ‘eco-friendly’, ‘sustainable’, ‘green’, ‘climate neutral’, ‘nature’s friend’, ‘environmentally responsible’. These terms are prohibited unless backed by specific, verifiable, third-party-verified evidence.</w:t>
      </w:r>
    </w:p>
    <w:p>
      <w:pPr>
        <w:spacing w:before="80" w:after="0"/>
      </w:pPr>
      <w:r>
        <w:t xml:space="preserve"/>
      </w:r>
    </w:p>
    <w:p>
      <w:pPr>
        <w:spacing w:before="80" w:after="80"/>
      </w:pPr>
      <w:r>
        <w:rPr>
          <w:rFonts w:ascii="Arial" w:cs="Arial" w:eastAsia="Arial" w:hAnsi="Arial"/>
          <w:color w:val="1A1A1A"/>
          <w:sz w:val="22"/>
          <w:szCs w:val="22"/>
        </w:rPr>
        <w:t xml:space="preserve">Austrian and German courts are already enforcing strict standards independently, regularly striking down vague ‘klimaneutral’ claims. From September 2026, Austrian enforcement authorities gain explicit mandate to fine non-compliant businesses. The market reaction: thousands of Austrian SMEs who use green language in their marketing face a compliance problem they do not know how to solve.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6"/>
              <w:left w:val="single" w:color="F9A825" w:sz="18"/>
              <w:bottom w:val="single" w:color="F9A825" w:sz="6"/>
              <w:right w:val="single" w:color="F9A825" w:sz="6"/>
            </w:tcBorders>
            <w:shd w:fill="FFF8E1" w:val="clear"/>
            <w:tcMar>
              <w:top w:type="dxa" w:w="120"/>
              <w:left w:type="dxa" w:w="180"/>
              <w:bottom w:type="dxa" w:w="120"/>
              <w:right w:type="dxa" w:w="180"/>
            </w:tcMar>
          </w:tcPr>
          <w:p>
            <w:r>
              <w:rPr>
                <w:rFonts w:ascii="Arial" w:cs="Arial" w:eastAsia="Arial" w:hAnsi="Arial"/>
                <w:b/>
                <w:bCs/>
                <w:color w:val="B45309"/>
                <w:sz w:val="22"/>
                <w:szCs w:val="22"/>
              </w:rPr>
              <w:t xml:space="preserve">Important scope clarification — ECGT applies primarily to B2C:</w:t>
            </w:r>
          </w:p>
          <w:p>
            <w:pPr>
              <w:spacing w:before="40" w:after="0"/>
            </w:pPr>
            <w:r>
              <w:t xml:space="preserve"/>
            </w:r>
          </w:p>
          <w:p>
            <w:r>
              <w:rPr>
                <w:rFonts w:ascii="Arial" w:cs="Arial" w:eastAsia="Arial" w:hAnsi="Arial"/>
                <w:color w:val="1A1A1A"/>
                <w:sz w:val="21"/>
                <w:szCs w:val="21"/>
              </w:rPr>
              <w:t xml:space="preserve">The ECGT’s strictest provisions apply to business-to-consumer (B2C) commercial practices. For SMEs that sell exclusively to other businesses (B2B), the directive’s direct requirements are less prescriptive — B2B green claims fall under general unfair competition law. This means CirclOS must validate, as a Week 1 priority, what proportion of target Carinthian SMEs have consumer-facing green marketing. For B2B-only SMEs, the compliance driver is indirect but still real: their large customers who ARE subject to CSRD will request verified sustainability data from them as supply chain evidence.</w:t>
            </w:r>
          </w:p>
        </w:tc>
      </w:tr>
    </w:tbl>
    <w:p>
      <w:pPr>
        <w:spacing w:before="80" w:after="0"/>
      </w:pPr>
      <w:r>
        <w:t xml:space="preserve"/>
      </w:r>
    </w:p>
    <w:p>
      <w:pPr>
        <w:spacing w:before="80" w:after="80"/>
      </w:pPr>
      <w:r>
        <w:rPr>
          <w:rFonts w:ascii="Arial" w:cs="Arial" w:eastAsia="Arial" w:hAnsi="Arial"/>
          <w:color w:val="1A1A1A"/>
          <w:sz w:val="22"/>
          <w:szCs w:val="22"/>
        </w:rPr>
        <w:t xml:space="preserve">The available solutions are inadequate. Hiring a sustainability consultant costs €150–300 per hour. Existing SaaS tools (Greenly, Watershed, EcoVadis) focus on carbon footprinting, not legal marketing claim compliance. None are calibrated for Austrian law. None are available in German. None are accessible at the price point that SMEs can afford (€49–149/month). There is no tool that combines claim scanning with verified evidence generation.</w:t>
      </w:r>
    </w:p>
    <w:p>
      <w:pPr>
        <w:spacing w:before="80" w:after="0"/>
      </w:pPr>
      <w:r>
        <w:t xml:space="preserve"/>
      </w:r>
    </w:p>
    <w:p>
      <w:pPr>
        <w:spacing w:before="80" w:after="80"/>
      </w:pPr>
      <w:r>
        <w:rPr>
          <w:rFonts w:ascii="Arial" w:cs="Arial" w:eastAsia="Arial" w:hAnsi="Arial"/>
          <w:color w:val="1A1A1A"/>
          <w:sz w:val="22"/>
          <w:szCs w:val="22"/>
        </w:rPr>
        <w:t xml:space="preserve">The structural insight that makes CirclOS possible: the companies diverting waste on the marketplace are simultaneously generating the exact evidence base required by EU green claims law. Each product makes the other more valuable, more defensible, and more sticky. This is a genuine data network effect.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03</w:t>
            </w:r>
          </w:p>
        </w:tc>
        <w:tc>
          <w:tcPr>
            <w:tcW w:type="dxa" w:w="8160"/>
            <w:tcBorders>
              <w:top w:val="none" w:color="FFFFFF" w:sz="0"/>
              <w:left w:val="none" w:color="FFFFFF" w:sz="0"/>
              <w:bottom w:val="none" w:color="FFFFFF" w:sz="0"/>
              <w:right w:val="none" w:color="FFFFFF" w:sz="0"/>
            </w:tcBorders>
            <w:shd w:fill="E8EEF7" w:val="clear"/>
            <w:tcMar>
              <w:top w:type="dxa" w:w="100"/>
              <w:left w:type="dxa" w:w="200"/>
              <w:bottom w:type="dxa" w:w="100"/>
              <w:right w:type="dxa" w:w="120"/>
            </w:tcMar>
            <w:vAlign w:val="center"/>
          </w:tcPr>
          <w:p>
            <w:r>
              <w:rPr>
                <w:rFonts w:ascii="Arial" w:cs="Arial" w:eastAsia="Arial" w:hAnsi="Arial"/>
                <w:b/>
                <w:bCs/>
                <w:color w:val="1B3A6B"/>
                <w:sz w:val="28"/>
                <w:szCs w:val="28"/>
              </w:rPr>
              <w:t xml:space="preserve">The Solution: CirclOS</w:t>
            </w:r>
          </w:p>
        </w:tc>
      </w:tr>
    </w:tbl>
    <w:p>
      <w:pPr>
        <w:spacing w:before="80" w:after="0"/>
      </w:pPr>
      <w:r>
        <w:t xml:space="preserve"/>
      </w:r>
    </w:p>
    <w:p>
      <w:pPr>
        <w:spacing w:before="80" w:after="80"/>
      </w:pPr>
      <w:r>
        <w:rPr>
          <w:rFonts w:ascii="Arial" w:cs="Arial" w:eastAsia="Arial" w:hAnsi="Arial"/>
          <w:b/>
          <w:bCs/>
          <w:i/>
          <w:iCs/>
          <w:color w:val="1A1A1A"/>
          <w:sz w:val="22"/>
          <w:szCs w:val="22"/>
        </w:rPr>
        <w:t xml:space="preserve">Two products, one platform, one data flywheel.</w:t>
      </w:r>
    </w:p>
    <w:p>
      <w:pPr>
        <w:spacing w:before="120" w:after="0"/>
      </w:pPr>
      <w:r>
        <w:t xml:space="preserve"/>
      </w:r>
    </w:p>
    <w:p>
      <w:pPr>
        <w:pStyle w:val="Heading2"/>
        <w:spacing w:before="280" w:after="120"/>
      </w:pPr>
      <w:r>
        <w:rPr>
          <w:rFonts w:ascii="Arial" w:cs="Arial" w:eastAsia="Arial" w:hAnsi="Arial"/>
          <w:b/>
          <w:bCs/>
          <w:color w:val="1B3A6B"/>
          <w:sz w:val="28"/>
          <w:szCs w:val="28"/>
        </w:rPr>
        <w:t xml:space="preserve">Core Concept</w:t>
      </w:r>
    </w:p>
    <w:p>
      <w:pPr>
        <w:spacing w:before="80" w:after="80"/>
      </w:pPr>
      <w:r>
        <w:rPr>
          <w:rFonts w:ascii="Arial" w:cs="Arial" w:eastAsia="Arial" w:hAnsi="Arial"/>
          <w:color w:val="1A1A1A"/>
          <w:sz w:val="22"/>
          <w:szCs w:val="22"/>
        </w:rPr>
        <w:t xml:space="preserve">CirclOS — the name derives from ‘Circular Operating System’ — is the digital infrastructure layer that Carinthian and Austrian manufacturing SMEs need to participate fully in the circular economy and to comply with evolving EU environmental marketing law. It is not an app. It is not a marketplace in the traditional sense. It is an operating system: the foundational layer on which a company’s circular economy activity runs and from which compliance documentation flows automatically.</w:t>
      </w:r>
    </w:p>
    <w:p>
      <w:pPr>
        <w:spacing w:before="160" w:after="0"/>
      </w:pPr>
      <w:r>
        <w:t xml:space="preserve"/>
      </w:r>
    </w:p>
    <w:p>
      <w:pPr>
        <w:pStyle w:val="Heading2"/>
        <w:spacing w:before="280" w:after="120"/>
      </w:pPr>
      <w:r>
        <w:rPr>
          <w:rFonts w:ascii="Arial" w:cs="Arial" w:eastAsia="Arial" w:hAnsi="Arial"/>
          <w:b/>
          <w:bCs/>
          <w:color w:val="1B3A6B"/>
          <w:sz w:val="28"/>
          <w:szCs w:val="28"/>
        </w:rPr>
        <w:t xml:space="preserve">The Four Product Layers</w:t>
      </w:r>
    </w:p>
    <w:p>
      <w:pPr>
        <w:spacing w:before="80" w:after="0"/>
      </w:pPr>
      <w:r>
        <w:t xml:space="preserve"/>
      </w:r>
    </w:p>
    <w:p>
      <w:pPr>
        <w:spacing w:before="80" w:after="80"/>
      </w:pPr>
      <w:r>
        <w:rPr>
          <w:rFonts w:ascii="Arial" w:cs="Arial" w:eastAsia="Arial" w:hAnsi="Arial"/>
          <w:b/>
          <w:bCs/>
          <w:color w:val="1A1A1A"/>
          <w:sz w:val="22"/>
          <w:szCs w:val="22"/>
        </w:rPr>
        <w:t xml:space="preserve">Layer 1 — Waste Exchange (Acquisition)</w:t>
      </w:r>
    </w:p>
    <w:p>
      <w:pPr>
        <w:spacing w:before="80" w:after="80"/>
      </w:pPr>
      <w:r>
        <w:rPr>
          <w:rFonts w:ascii="Arial" w:cs="Arial" w:eastAsia="Arial" w:hAnsi="Arial"/>
          <w:color w:val="1A1A1A"/>
          <w:sz w:val="22"/>
          <w:szCs w:val="22"/>
        </w:rPr>
        <w:t xml:space="preserve">Free or subsidised entry tier. Companies create profiles and list their byproduct streams. Low friction onboarding. This populates the core database and creates immediate network value. Revenue: none at this layer — it is the acquisition engine.</w:t>
      </w:r>
    </w:p>
    <w:p>
      <w:pPr>
        <w:spacing w:before="80" w:after="0"/>
      </w:pPr>
      <w:r>
        <w:t xml:space="preserve"/>
      </w:r>
    </w:p>
    <w:p>
      <w:pPr>
        <w:spacing w:before="80" w:after="80"/>
      </w:pPr>
      <w:r>
        <w:rPr>
          <w:rFonts w:ascii="Arial" w:cs="Arial" w:eastAsia="Arial" w:hAnsi="Arial"/>
          <w:b/>
          <w:bCs/>
          <w:color w:val="1A1A1A"/>
          <w:sz w:val="22"/>
          <w:szCs w:val="22"/>
        </w:rPr>
        <w:t xml:space="preserve">Layer 2 — AI Matching Engine (Core Product)</w:t>
      </w:r>
    </w:p>
    <w:p>
      <w:pPr>
        <w:spacing w:before="80" w:after="80"/>
      </w:pPr>
      <w:r>
        <w:rPr>
          <w:rFonts w:ascii="Arial" w:cs="Arial" w:eastAsia="Arial" w:hAnsi="Arial"/>
          <w:color w:val="1A1A1A"/>
          <w:sz w:val="22"/>
          <w:szCs w:val="22"/>
        </w:rPr>
        <w:t xml:space="preserve">Paid subscription tier. Intelligent matching of waste streams to potential users, using ML ranking based on material compatibility, geographic proximity, volume fit, and transaction history. Predictive availability modelling alerts buyers before waste is generated. Auto-generated transaction evidence records. Revenue: transaction fees (1–3%) + subscription.</w:t>
      </w:r>
    </w:p>
    <w:p>
      <w:pPr>
        <w:spacing w:before="80" w:after="0"/>
      </w:pPr>
      <w:r>
        <w:t xml:space="preserve"/>
      </w:r>
    </w:p>
    <w:p>
      <w:pPr>
        <w:spacing w:before="80" w:after="80"/>
      </w:pPr>
      <w:r>
        <w:rPr>
          <w:rFonts w:ascii="Arial" w:cs="Arial" w:eastAsia="Arial" w:hAnsi="Arial"/>
          <w:b/>
          <w:bCs/>
          <w:color w:val="1A1A1A"/>
          <w:sz w:val="22"/>
          <w:szCs w:val="22"/>
        </w:rPr>
        <w:t xml:space="preserve">Layer 3 — Compliance Dashboard (High-Margin SaaS)</w:t>
      </w:r>
    </w:p>
    <w:p>
      <w:pPr>
        <w:spacing w:before="80" w:after="80"/>
      </w:pPr>
      <w:r>
        <w:rPr>
          <w:rFonts w:ascii="Arial" w:cs="Arial" w:eastAsia="Arial" w:hAnsi="Arial"/>
          <w:color w:val="1A1A1A"/>
          <w:sz w:val="22"/>
          <w:szCs w:val="22"/>
        </w:rPr>
        <w:t xml:space="preserve">Premium subscription tier (€79–149/month). Website scanner identifies green claims using fine-tuned German NLP. Claims classified against ECGT blacklist. Evidence linked automatically to Layer 2 transaction records. Compliance certificates exported as PDF. Monitoring mode scans for new unsubstantiated claims weekly. Revenue: subscription MRR.</w:t>
      </w:r>
    </w:p>
    <w:p>
      <w:pPr>
        <w:spacing w:before="80" w:after="0"/>
      </w:pPr>
      <w:r>
        <w:t xml:space="preserve"/>
      </w:r>
    </w:p>
    <w:p>
      <w:pPr>
        <w:spacing w:before="80" w:after="80"/>
      </w:pPr>
      <w:r>
        <w:rPr>
          <w:rFonts w:ascii="Arial" w:cs="Arial" w:eastAsia="Arial" w:hAnsi="Arial"/>
          <w:b/>
          <w:bCs/>
          <w:color w:val="1A1A1A"/>
          <w:sz w:val="22"/>
          <w:szCs w:val="22"/>
        </w:rPr>
        <w:t xml:space="preserve">Layer 4 — Regulatory Reporting API (Enterprise/B2G)</w:t>
      </w:r>
    </w:p>
    <w:p>
      <w:pPr>
        <w:spacing w:before="80" w:after="80"/>
      </w:pPr>
      <w:r>
        <w:rPr>
          <w:rFonts w:ascii="Arial" w:cs="Arial" w:eastAsia="Arial" w:hAnsi="Arial"/>
          <w:color w:val="1A1A1A"/>
          <w:sz w:val="22"/>
          <w:szCs w:val="22"/>
        </w:rPr>
        <w:t xml:space="preserve">Enterprise and government tier. CirclOS’s verified transaction records are the supply chain data that large CSRD-obligated manufacturers (1,000+ employees) need from their SME suppliers for Scope 3 reporting. CirclOS acts as the data pipe between SME suppliers and their large customers’ CSRD reports. Additionally, SMEs can use CirclOS transaction data to auto-populate VSME (Voluntary SME Sustainability Reporting Standard) reports for customer and bank requests. Revenue: API licensing fees + custom reports. Note: CirclOS does not issue CSRD certificates to SMEs — SMEs are legally exempt from mandatory CSRD under the EU Omnibus reform. The value here is verified supply chain data for large companies and voluntary reporting tools for SMEs.</w:t>
      </w:r>
    </w:p>
    <w:p>
      <w:pPr>
        <w:spacing w:before="160" w:after="0"/>
      </w:pPr>
      <w:r>
        <w:t xml:space="preserve"/>
      </w:r>
    </w:p>
    <w:p>
      <w:pPr>
        <w:pStyle w:val="Heading2"/>
        <w:spacing w:before="280" w:after="120"/>
      </w:pPr>
      <w:r>
        <w:rPr>
          <w:rFonts w:ascii="Arial" w:cs="Arial" w:eastAsia="Arial" w:hAnsi="Arial"/>
          <w:b/>
          <w:bCs/>
          <w:color w:val="1B3A6B"/>
          <w:sz w:val="28"/>
          <w:szCs w:val="28"/>
        </w:rPr>
        <w:t xml:space="preserve">The Data Flywheel</w:t>
      </w:r>
    </w:p>
    <w:p>
      <w:pPr>
        <w:spacing w:before="80" w:after="80"/>
      </w:pPr>
      <w:r>
        <w:rPr>
          <w:rFonts w:ascii="Arial" w:cs="Arial" w:eastAsia="Arial" w:hAnsi="Arial"/>
          <w:color w:val="1A1A1A"/>
          <w:sz w:val="22"/>
          <w:szCs w:val="22"/>
        </w:rPr>
        <w:t xml:space="preserve">More waste listings generate better AI matching results, which drives more transactions, which creates more compliance evidence, which enables stronger verified green claims, which strengthens companies’ competitive positioning and their pitch to customers and investors, which attracts more companies to the network. Simultaneously, compliance users create pressure on their suppliers to also document material flows — drawing more companies into the waste exchange. Each new participant makes the platform more valuable for all existing participants. This is a genuine industrial data network effect — not a social media network effect that is fragile and volatile, but a supply chain integration effect that becomes harder to reverse with every transaction processed.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04</w:t>
            </w:r>
          </w:p>
        </w:tc>
        <w:tc>
          <w:tcPr>
            <w:tcW w:type="dxa" w:w="8160"/>
            <w:tcBorders>
              <w:top w:val="none" w:color="FFFFFF" w:sz="0"/>
              <w:left w:val="none" w:color="FFFFFF" w:sz="0"/>
              <w:bottom w:val="none" w:color="FFFFFF" w:sz="0"/>
              <w:right w:val="none" w:color="FFFFFF" w:sz="0"/>
            </w:tcBorders>
            <w:shd w:fill="E8EEF7" w:val="clear"/>
            <w:tcMar>
              <w:top w:type="dxa" w:w="100"/>
              <w:left w:type="dxa" w:w="200"/>
              <w:bottom w:type="dxa" w:w="100"/>
              <w:right w:type="dxa" w:w="120"/>
            </w:tcMar>
            <w:vAlign w:val="center"/>
          </w:tcPr>
          <w:p>
            <w:r>
              <w:rPr>
                <w:rFonts w:ascii="Arial" w:cs="Arial" w:eastAsia="Arial" w:hAnsi="Arial"/>
                <w:b/>
                <w:bCs/>
                <w:color w:val="1B3A6B"/>
                <w:sz w:val="28"/>
                <w:szCs w:val="28"/>
              </w:rPr>
              <w:t xml:space="preserve">Market Analysis</w:t>
            </w:r>
          </w:p>
        </w:tc>
      </w:tr>
    </w:tbl>
    <w:p>
      <w:pPr>
        <w:spacing w:before="80" w:after="0"/>
      </w:pPr>
      <w:r>
        <w:t xml:space="preserve"/>
      </w:r>
    </w:p>
    <w:p>
      <w:pPr>
        <w:spacing w:before="80" w:after="80"/>
      </w:pPr>
      <w:r>
        <w:rPr>
          <w:rFonts w:ascii="Arial" w:cs="Arial" w:eastAsia="Arial" w:hAnsi="Arial"/>
          <w:b/>
          <w:bCs/>
          <w:i/>
          <w:iCs/>
          <w:color w:val="1A1A1A"/>
          <w:sz w:val="22"/>
          <w:szCs w:val="22"/>
        </w:rPr>
        <w:t xml:space="preserve">Local roots, European scale — a real TAM backed by regulatory mandates.</w:t>
      </w:r>
    </w:p>
    <w:p>
      <w:pPr>
        <w:spacing w:before="120" w:after="0"/>
      </w:pPr>
      <w:r>
        <w:t xml:space="preserve"/>
      </w:r>
    </w:p>
    <w:p>
      <w:pPr>
        <w:pStyle w:val="Heading2"/>
        <w:spacing w:before="280" w:after="120"/>
      </w:pPr>
      <w:r>
        <w:rPr>
          <w:rFonts w:ascii="Arial" w:cs="Arial" w:eastAsia="Arial" w:hAnsi="Arial"/>
          <w:b/>
          <w:bCs/>
          <w:color w:val="1B3A6B"/>
          <w:sz w:val="28"/>
          <w:szCs w:val="28"/>
        </w:rPr>
        <w:t xml:space="preserve">Market 1 — Industrial Circular Economy Platform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8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Market Segment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Size</w:t>
            </w:r>
          </w:p>
        </w:tc>
        <w:tc>
          <w:tcPr>
            <w:tcW w:type="dxa" w:w="23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Growth</w:t>
            </w:r>
          </w:p>
        </w:tc>
        <w:tc>
          <w:tcPr>
            <w:tcW w:type="dxa" w:w="28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CirclOS Addressable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EU industrial waste exchange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€9.5B</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14% CAGR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SME segment (€2.1B)</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Austrian SME waste disposal cost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€2.8B/yr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Rising with regulation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20% potential shift = €560M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Green Tech Valley Carinthia/Styria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260+ companies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Active cluster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Year 1 beachhead</w:t>
            </w:r>
          </w:p>
        </w:tc>
      </w:tr>
    </w:tbl>
    <w:p>
      <w:pPr>
        <w:spacing w:before="160" w:after="0"/>
      </w:pPr>
      <w:r>
        <w:t xml:space="preserve"/>
      </w:r>
    </w:p>
    <w:p>
      <w:pPr>
        <w:pStyle w:val="Heading2"/>
        <w:spacing w:before="280" w:after="120"/>
      </w:pPr>
      <w:r>
        <w:rPr>
          <w:rFonts w:ascii="Arial" w:cs="Arial" w:eastAsia="Arial" w:hAnsi="Arial"/>
          <w:b/>
          <w:bCs/>
          <w:color w:val="1B3A6B"/>
          <w:sz w:val="28"/>
          <w:szCs w:val="28"/>
        </w:rPr>
        <w:t xml:space="preserve">Market 2 — EU Green Claims Compliance SaaS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8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Segment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Size</w:t>
            </w:r>
          </w:p>
        </w:tc>
        <w:tc>
          <w:tcPr>
            <w:tcW w:type="dxa" w:w="23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Key Driver</w:t>
            </w:r>
          </w:p>
        </w:tc>
        <w:tc>
          <w:tcPr>
            <w:tcW w:type="dxa" w:w="28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Timeline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EU SME green compliance tools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€1.8B</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ECGT Directive enforcement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Sept 2026+</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DACH legal compliance SaaS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€4B</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German court enforcement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Now ongoing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Austrian SMEs using green claims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~280,000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€99/month avg ticket = €330M TAM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Year 2–3</w:t>
            </w:r>
          </w:p>
        </w:tc>
      </w:tr>
    </w:tbl>
    <w:p>
      <w:pPr>
        <w:spacing w:before="160" w:after="0"/>
      </w:pPr>
      <w:r>
        <w:t xml:space="preserve"/>
      </w:r>
    </w:p>
    <w:p>
      <w:pPr>
        <w:pStyle w:val="Heading2"/>
        <w:spacing w:before="280" w:after="120"/>
      </w:pPr>
      <w:r>
        <w:rPr>
          <w:rFonts w:ascii="Arial" w:cs="Arial" w:eastAsia="Arial" w:hAnsi="Arial"/>
          <w:b/>
          <w:bCs/>
          <w:color w:val="1B3A6B"/>
          <w:sz w:val="28"/>
          <w:szCs w:val="28"/>
        </w:rPr>
        <w:t xml:space="preserve">Carinthia as the Perfect Beachhead</w:t>
      </w:r>
    </w:p>
    <w:p>
      <w:pPr>
        <w:spacing w:before="80" w:after="80"/>
      </w:pPr>
      <w:r>
        <w:rPr>
          <w:rFonts w:ascii="Arial" w:cs="Arial" w:eastAsia="Arial" w:hAnsi="Arial"/>
          <w:color w:val="1A1A1A"/>
          <w:sz w:val="22"/>
          <w:szCs w:val="22"/>
        </w:rPr>
        <w:t xml:space="preserve">Carinthia is not chosen for reasons of convenience — it is genuinely the optimal starting point for this concept. The Green Tech Valley, spanning Carinthia and Styria, is an internationally recognised cluster with 260+ companies already committed to circular economy principles. Wood K plus in St. Veit conducts applied wood waste research. The Silicon Alps cluster (Infineon Villach, SAL, Lam Research) generates high-value electronics byproducts. SteinBeis Polyvert and Lindner operate plastics recycling facilities that actively need feedstock — they are natural buyers on the platform. KWF funding provides institutional backing and government credibility.</w:t>
      </w:r>
    </w:p>
    <w:p>
      <w:pPr>
        <w:spacing w:before="80" w:after="0"/>
      </w:pPr>
      <w:r>
        <w:t xml:space="preserve"/>
      </w:r>
    </w:p>
    <w:p>
      <w:pPr>
        <w:spacing w:before="80" w:after="80"/>
      </w:pPr>
      <w:r>
        <w:rPr>
          <w:rFonts w:ascii="Arial" w:cs="Arial" w:eastAsia="Arial" w:hAnsi="Arial"/>
          <w:color w:val="1A1A1A"/>
          <w:sz w:val="22"/>
          <w:szCs w:val="22"/>
        </w:rPr>
        <w:t xml:space="preserve">The geographic proximity to Slovenia and northern Italy is also strategically important: both regions share identical waste regulatory frameworks (EU Waste Framework Directive), similar industrial profiles, and similar language of business. Geographic expansion from Carinthia to these regions requires minimal adaptation.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05</w:t>
            </w:r>
          </w:p>
        </w:tc>
        <w:tc>
          <w:tcPr>
            <w:tcW w:type="dxa" w:w="8160"/>
            <w:tcBorders>
              <w:top w:val="none" w:color="FFFFFF" w:sz="0"/>
              <w:left w:val="none" w:color="FFFFFF" w:sz="0"/>
              <w:bottom w:val="none" w:color="FFFFFF" w:sz="0"/>
              <w:right w:val="none" w:color="FFFFFF" w:sz="0"/>
            </w:tcBorders>
            <w:shd w:fill="E8EEF7" w:val="clear"/>
            <w:tcMar>
              <w:top w:type="dxa" w:w="100"/>
              <w:left w:type="dxa" w:w="200"/>
              <w:bottom w:type="dxa" w:w="100"/>
              <w:right w:type="dxa" w:w="120"/>
            </w:tcMar>
            <w:vAlign w:val="center"/>
          </w:tcPr>
          <w:p>
            <w:r>
              <w:rPr>
                <w:rFonts w:ascii="Arial" w:cs="Arial" w:eastAsia="Arial" w:hAnsi="Arial"/>
                <w:b/>
                <w:bCs/>
                <w:color w:val="1B3A6B"/>
                <w:sz w:val="28"/>
                <w:szCs w:val="28"/>
              </w:rPr>
              <w:t xml:space="preserve">Product Deep Dive</w:t>
            </w:r>
          </w:p>
        </w:tc>
      </w:tr>
    </w:tbl>
    <w:p>
      <w:pPr>
        <w:spacing w:before="80" w:after="0"/>
      </w:pPr>
      <w:r>
        <w:t xml:space="preserve"/>
      </w:r>
    </w:p>
    <w:p>
      <w:pPr>
        <w:spacing w:before="80" w:after="80"/>
      </w:pPr>
      <w:r>
        <w:rPr>
          <w:rFonts w:ascii="Arial" w:cs="Arial" w:eastAsia="Arial" w:hAnsi="Arial"/>
          <w:b/>
          <w:bCs/>
          <w:i/>
          <w:iCs/>
          <w:color w:val="1A1A1A"/>
          <w:sz w:val="22"/>
          <w:szCs w:val="22"/>
        </w:rPr>
        <w:t xml:space="preserve">How each component works in technical and operational detail.</w:t>
      </w:r>
    </w:p>
    <w:p>
      <w:pPr>
        <w:spacing w:before="120" w:after="0"/>
      </w:pPr>
      <w:r>
        <w:t xml:space="preserve"/>
      </w:r>
    </w:p>
    <w:p>
      <w:pPr>
        <w:pStyle w:val="Heading2"/>
        <w:spacing w:before="280" w:after="120"/>
      </w:pPr>
      <w:r>
        <w:rPr>
          <w:rFonts w:ascii="Arial" w:cs="Arial" w:eastAsia="Arial" w:hAnsi="Arial"/>
          <w:b/>
          <w:bCs/>
          <w:color w:val="1B3A6B"/>
          <w:sz w:val="28"/>
          <w:szCs w:val="28"/>
        </w:rPr>
        <w:t xml:space="preserve">Waste Exchange — The Mechanics</w:t>
      </w:r>
    </w:p>
    <w:p>
      <w:pPr>
        <w:spacing w:before="80" w:after="80"/>
      </w:pPr>
      <w:r>
        <w:rPr>
          <w:rFonts w:ascii="Arial" w:cs="Arial" w:eastAsia="Arial" w:hAnsi="Arial"/>
          <w:color w:val="1A1A1A"/>
          <w:sz w:val="22"/>
          <w:szCs w:val="22"/>
        </w:rPr>
        <w:t xml:space="preserve">A manufacturing SME creates a company profile (sector, location, certifications, size). They list a material stream: material category (from the CirclOS waste taxonomy, legally grounded in Austrian AWG 2002 classifications), approximate monthly volume, unit, availability schedule, condition (post-industrial clean, contaminated, hazardous), desired outcome (sell/trade/donate), minimum order quantity, geographic range for pickup/delivery.</w:t>
      </w:r>
    </w:p>
    <w:p>
      <w:pPr>
        <w:spacing w:before="80" w:after="0"/>
      </w:pPr>
      <w:r>
        <w:t xml:space="preserve"/>
      </w:r>
    </w:p>
    <w:p>
      <w:pPr>
        <w:spacing w:before="80" w:after="80"/>
      </w:pPr>
      <w:r>
        <w:rPr>
          <w:rFonts w:ascii="Arial" w:cs="Arial" w:eastAsia="Arial" w:hAnsi="Arial"/>
          <w:color w:val="1A1A1A"/>
          <w:sz w:val="22"/>
          <w:szCs w:val="22"/>
        </w:rPr>
        <w:t xml:space="preserve">The listing is reviewed against the legal framework: materials classified as hazardous waste under AWG require an additional compliance step before appearing in the marketplace. Upon submission, the AI matching engine runs and sends the listing company a ranked list of potential recipients. Both parties are notified. If they agree to connect, CirclOS facilitates introduction — it does not manage logistics, which is explicitly out of scope for the MVP. When a transaction is confirmed, both parties sign off digitally, and the evidence record is automatically created and stored.</w:t>
      </w:r>
    </w:p>
    <w:p>
      <w:pPr>
        <w:spacing w:before="160" w:after="0"/>
      </w:pPr>
      <w:r>
        <w:t xml:space="preserve"/>
      </w:r>
    </w:p>
    <w:p>
      <w:pPr>
        <w:pStyle w:val="Heading2"/>
        <w:spacing w:before="280" w:after="120"/>
      </w:pPr>
      <w:r>
        <w:rPr>
          <w:rFonts w:ascii="Arial" w:cs="Arial" w:eastAsia="Arial" w:hAnsi="Arial"/>
          <w:b/>
          <w:bCs/>
          <w:color w:val="1B3A6B"/>
          <w:sz w:val="28"/>
          <w:szCs w:val="28"/>
        </w:rPr>
        <w:t xml:space="preserve">AI Matching Engine — Technical Approach</w:t>
      </w:r>
    </w:p>
    <w:p>
      <w:pPr>
        <w:spacing w:before="80" w:after="80"/>
      </w:pPr>
      <w:r>
        <w:rPr>
          <w:rFonts w:ascii="Arial" w:cs="Arial" w:eastAsia="Arial" w:hAnsi="Arial"/>
          <w:color w:val="1A1A1A"/>
          <w:sz w:val="22"/>
          <w:szCs w:val="22"/>
        </w:rPr>
        <w:t xml:space="preserve">The matching algorithm operates in three stages:</w:t>
      </w:r>
    </w:p>
    <w:p>
      <w:pPr>
        <w:spacing w:before="60" w:after="0"/>
      </w:pPr>
      <w:r>
        <w:t xml:space="preserve"/>
      </w:r>
    </w:p>
    <w:p>
      <w:pPr>
        <w:spacing w:before="80" w:after="80"/>
      </w:pPr>
      <w:r>
        <w:rPr>
          <w:rFonts w:ascii="Arial" w:cs="Arial" w:eastAsia="Arial" w:hAnsi="Arial"/>
          <w:color w:val="1A1A1A"/>
          <w:sz w:val="22"/>
          <w:szCs w:val="22"/>
        </w:rPr>
        <w:t xml:space="preserve">Stage 1 — Rule-based compatibility: a material compatibility matrix defines which waste stream types are usable as inputs for which industry categories (e.g. wood offcuts → acoustic panel manufacturers, composite material producers, biomass fuel processors).</w:t>
      </w:r>
    </w:p>
    <w:p>
      <w:pPr>
        <w:spacing w:before="60" w:after="0"/>
      </w:pPr>
      <w:r>
        <w:t xml:space="preserve"/>
      </w:r>
    </w:p>
    <w:p>
      <w:pPr>
        <w:spacing w:before="80" w:after="80"/>
      </w:pPr>
      <w:r>
        <w:rPr>
          <w:rFonts w:ascii="Arial" w:cs="Arial" w:eastAsia="Arial" w:hAnsi="Arial"/>
          <w:color w:val="1A1A1A"/>
          <w:sz w:val="22"/>
          <w:szCs w:val="22"/>
        </w:rPr>
        <w:t xml:space="preserve">Stage 2 — Vector similarity: company material descriptions and listing details are encoded into a vector space using a fine-tuned sentence embedding model, stored in pgvector (a PostgreSQL extension). Semantic similarity retrieval finds matches that rule-based logic would miss.</w:t>
      </w:r>
    </w:p>
    <w:p>
      <w:pPr>
        <w:spacing w:before="60" w:after="0"/>
      </w:pPr>
      <w:r>
        <w:t xml:space="preserve"/>
      </w:r>
    </w:p>
    <w:p>
      <w:pPr>
        <w:spacing w:before="80" w:after="80"/>
      </w:pPr>
      <w:r>
        <w:rPr>
          <w:rFonts w:ascii="Arial" w:cs="Arial" w:eastAsia="Arial" w:hAnsi="Arial"/>
          <w:color w:val="1A1A1A"/>
          <w:sz w:val="22"/>
          <w:szCs w:val="22"/>
        </w:rPr>
        <w:t xml:space="preserve">Stage 3 — ML ranking: a gradient boosting ranker (LightGBM) scores each candidate match on a composite of material compatibility score, geographic distance (penalised above 150km), volume fit, and historical transaction success rate. The ranker is trained on founding member transaction history and improves continuously.</w:t>
      </w:r>
    </w:p>
    <w:p>
      <w:pPr>
        <w:spacing w:before="160" w:after="0"/>
      </w:pPr>
      <w:r>
        <w:t xml:space="preserve"/>
      </w:r>
    </w:p>
    <w:p>
      <w:pPr>
        <w:pStyle w:val="Heading2"/>
        <w:spacing w:before="280" w:after="120"/>
      </w:pPr>
      <w:r>
        <w:rPr>
          <w:rFonts w:ascii="Arial" w:cs="Arial" w:eastAsia="Arial" w:hAnsi="Arial"/>
          <w:b/>
          <w:bCs/>
          <w:color w:val="1B3A6B"/>
          <w:sz w:val="28"/>
          <w:szCs w:val="28"/>
        </w:rPr>
        <w:t xml:space="preserve">Compliance Dashboard — How Green Claims Become Legally Defensible</w:t>
      </w:r>
    </w:p>
    <w:p>
      <w:pPr>
        <w:spacing w:before="80" w:after="80"/>
      </w:pPr>
      <w:r>
        <w:rPr>
          <w:rFonts w:ascii="Arial" w:cs="Arial" w:eastAsia="Arial" w:hAnsi="Arial"/>
          <w:color w:val="1A1A1A"/>
          <w:sz w:val="22"/>
          <w:szCs w:val="22"/>
        </w:rPr>
        <w:t xml:space="preserve">The compliance tool’s web crawler visits every page of a company’s domain and extracts text content. A fine-tuned German BERT model (deepset/gbert-large base, fine-tuned on labelled Austrian sustainability marketing corpus) identifies environmental claim sentences and phrases. Each detected claim is classified: (1) Compliant — specific and substantiated, (2) Needs evidence — claim is legitimate but lacks documented proof, (3) Prohibited — falls on the ECGT Article 6 blacklist of generic unsubstantiated claims.</w:t>
      </w:r>
    </w:p>
    <w:p>
      <w:pPr>
        <w:spacing w:before="80" w:after="0"/>
      </w:pPr>
      <w:r>
        <w:t xml:space="preserve"/>
      </w:r>
    </w:p>
    <w:p>
      <w:pPr>
        <w:spacing w:before="80" w:after="80"/>
      </w:pPr>
      <w:r>
        <w:rPr>
          <w:rFonts w:ascii="Arial" w:cs="Arial" w:eastAsia="Arial" w:hAnsi="Arial"/>
          <w:color w:val="1A1A1A"/>
          <w:sz w:val="22"/>
          <w:szCs w:val="22"/>
        </w:rPr>
        <w:t xml:space="preserve">For claims in category (2), the tool generates an evidence checklist: exactly what proof is required under the relevant legal provision. For claims related to material circularity (diversion from landfill, recycled content, circular process), the tool automatically queries the company’s CirclOS transaction history and surfaces relevant evidence records. ‘We divert 30% of production waste to circular uses’ becomes: Supported by 14 verified transactions, 8.4 tonnes documented, most recent: 14 March 2027. This is the unique, unreplicable feature of the combined platform.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6"/>
              <w:left w:val="single" w:color="F9A825" w:sz="18"/>
              <w:bottom w:val="single" w:color="F9A825" w:sz="6"/>
              <w:right w:val="single" w:color="F9A825" w:sz="6"/>
            </w:tcBorders>
            <w:shd w:fill="FFF8E1" w:val="clear"/>
            <w:tcMar>
              <w:top w:type="dxa" w:w="120"/>
              <w:left w:type="dxa" w:w="180"/>
              <w:bottom w:type="dxa" w:w="120"/>
              <w:right w:type="dxa" w:w="180"/>
            </w:tcMar>
          </w:tcPr>
          <w:p>
            <w:r>
              <w:rPr>
                <w:rFonts w:ascii="Arial" w:cs="Arial" w:eastAsia="Arial" w:hAnsi="Arial"/>
                <w:b/>
                <w:bCs/>
                <w:color w:val="B45309"/>
                <w:sz w:val="22"/>
                <w:szCs w:val="22"/>
              </w:rPr>
              <w:t xml:space="preserve">Important clarification on compliance certificates:</w:t>
            </w:r>
          </w:p>
          <w:p>
            <w:pPr>
              <w:spacing w:before="40" w:after="0"/>
            </w:pPr>
            <w:r>
              <w:t xml:space="preserve"/>
            </w:r>
          </w:p>
          <w:p>
            <w:r>
              <w:rPr>
                <w:rFonts w:ascii="Arial" w:cs="Arial" w:eastAsia="Arial" w:hAnsi="Arial"/>
                <w:color w:val="1A1A1A"/>
                <w:sz w:val="21"/>
                <w:szCs w:val="21"/>
              </w:rPr>
              <w:t xml:space="preserve">The compliance certificate CirclOS issues at launch is a good-faith documentation record — not yet a third-party verified sustainability label under ECGT Article 8. Under ECGT, sustainability labels must be verified by an accredited independent third party (ISO 17065). CirclOS’s certificate is genuinely valuable: it demonstrates a company’s compliance effort and provides an evidence trail that substantially reduces regulatory risk. The path to full ISO 17065 accreditation is a Year 2–3 strategic milestone — see Section 10 (Regulatory Framework) for the detailed roadmap.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06</w:t>
            </w:r>
          </w:p>
        </w:tc>
        <w:tc>
          <w:tcPr>
            <w:tcW w:type="dxa" w:w="8160"/>
            <w:tcBorders>
              <w:top w:val="none" w:color="FFFFFF" w:sz="0"/>
              <w:left w:val="none" w:color="FFFFFF" w:sz="0"/>
              <w:bottom w:val="none" w:color="FFFFFF" w:sz="0"/>
              <w:right w:val="none" w:color="FFFFFF" w:sz="0"/>
            </w:tcBorders>
            <w:shd w:fill="E8EEF7" w:val="clear"/>
            <w:tcMar>
              <w:top w:type="dxa" w:w="100"/>
              <w:left w:type="dxa" w:w="200"/>
              <w:bottom w:type="dxa" w:w="100"/>
              <w:right w:type="dxa" w:w="120"/>
            </w:tcMar>
            <w:vAlign w:val="center"/>
          </w:tcPr>
          <w:p>
            <w:r>
              <w:rPr>
                <w:rFonts w:ascii="Arial" w:cs="Arial" w:eastAsia="Arial" w:hAnsi="Arial"/>
                <w:b/>
                <w:bCs/>
                <w:color w:val="1B3A6B"/>
                <w:sz w:val="28"/>
                <w:szCs w:val="28"/>
              </w:rPr>
              <w:t xml:space="preserve">Target Audience &amp; Customer Profiles</w:t>
            </w:r>
          </w:p>
        </w:tc>
      </w:tr>
    </w:tbl>
    <w:p>
      <w:pPr>
        <w:spacing w:before="80" w:after="0"/>
      </w:pPr>
      <w:r>
        <w:t xml:space="preserve"/>
      </w:r>
    </w:p>
    <w:p>
      <w:pPr>
        <w:spacing w:before="80" w:after="80"/>
      </w:pPr>
      <w:r>
        <w:rPr>
          <w:rFonts w:ascii="Arial" w:cs="Arial" w:eastAsia="Arial" w:hAnsi="Arial"/>
          <w:b/>
          <w:bCs/>
          <w:i/>
          <w:iCs/>
          <w:color w:val="1A1A1A"/>
          <w:sz w:val="22"/>
          <w:szCs w:val="22"/>
        </w:rPr>
        <w:t xml:space="preserve">Who uses CirclOS, why, and what value they extract.</w:t>
      </w:r>
    </w:p>
    <w:p>
      <w:pPr>
        <w:spacing w:before="120" w:after="0"/>
      </w:pPr>
      <w:r>
        <w:t xml:space="preserve"/>
      </w:r>
    </w:p>
    <w:p>
      <w:pPr>
        <w:pStyle w:val="Heading2"/>
        <w:spacing w:before="280" w:after="120"/>
      </w:pPr>
      <w:r>
        <w:rPr>
          <w:rFonts w:ascii="Arial" w:cs="Arial" w:eastAsia="Arial" w:hAnsi="Arial"/>
          <w:b/>
          <w:bCs/>
          <w:color w:val="1B3A6B"/>
          <w:sz w:val="28"/>
          <w:szCs w:val="28"/>
        </w:rPr>
        <w:t xml:space="preserve">Primary Customers — Tier 1 (Year 1 Focus)</w:t>
      </w:r>
    </w:p>
    <w:p>
      <w:pPr>
        <w:spacing w:before="80" w:after="0"/>
      </w:pPr>
      <w:r>
        <w:t xml:space="preserve"/>
      </w:r>
    </w:p>
    <w:p>
      <w:pPr>
        <w:spacing w:before="80" w:after="80"/>
      </w:pPr>
      <w:r>
        <w:rPr>
          <w:rFonts w:ascii="Arial" w:cs="Arial" w:eastAsia="Arial" w:hAnsi="Arial"/>
          <w:b/>
          <w:bCs/>
          <w:color w:val="1A1A1A"/>
          <w:sz w:val="22"/>
          <w:szCs w:val="22"/>
        </w:rPr>
        <w:t xml:space="preserve">Carinthian wood processor (10–100 employees)</w:t>
      </w:r>
    </w:p>
    <w:p>
      <w:pPr>
        <w:spacing w:before="80" w:after="80"/>
      </w:pPr>
      <w:r>
        <w:rPr>
          <w:rFonts w:ascii="Arial" w:cs="Arial" w:eastAsia="Arial" w:hAnsi="Arial"/>
          <w:color w:val="1A1A1A"/>
          <w:sz w:val="22"/>
          <w:szCs w:val="22"/>
        </w:rPr>
        <w:t xml:space="preserve">Generates 5–50 tonnes of wood offcuts/sawdust monthly. Currently pays €80–120/tonne for disposal. Uses terms like ‘sustainable wood sourcing’ and ‘eco-responsible production’ in marketing. Pain: disposal cost, ECGT compliance risk. Value: sell waste at €20–40/tonne instead of paying disposal, auto-generate compliance documentation.</w:t>
      </w:r>
    </w:p>
    <w:p>
      <w:pPr>
        <w:spacing w:before="80" w:after="0"/>
      </w:pPr>
      <w:r>
        <w:t xml:space="preserve"/>
      </w:r>
    </w:p>
    <w:p>
      <w:pPr>
        <w:spacing w:before="80" w:after="80"/>
      </w:pPr>
      <w:r>
        <w:rPr>
          <w:rFonts w:ascii="Arial" w:cs="Arial" w:eastAsia="Arial" w:hAnsi="Arial"/>
          <w:b/>
          <w:bCs/>
          <w:color w:val="1A1A1A"/>
          <w:sz w:val="22"/>
          <w:szCs w:val="22"/>
        </w:rPr>
        <w:t xml:space="preserve">Silicon Alps electronics manufacturer (50–500 employees)</w:t>
      </w:r>
    </w:p>
    <w:p>
      <w:pPr>
        <w:spacing w:before="80" w:after="80"/>
      </w:pPr>
      <w:r>
        <w:rPr>
          <w:rFonts w:ascii="Arial" w:cs="Arial" w:eastAsia="Arial" w:hAnsi="Arial"/>
          <w:color w:val="1A1A1A"/>
          <w:sz w:val="22"/>
          <w:szCs w:val="22"/>
        </w:rPr>
        <w:t xml:space="preserve">Generates electronics scrap, rare earth process residues, chemical byproducts. Currently handled by specialist hazardous waste contractors. Marketing uses ‘responsible manufacturing’ and ‘sustainable supply chain’ language. Pain: high disposal costs, supplier compliance audits from large OEM customers. Value: find certified recyclers, generate Scope 3 supply chain evidence for large customer requests.</w:t>
      </w:r>
    </w:p>
    <w:p>
      <w:pPr>
        <w:spacing w:before="80" w:after="0"/>
      </w:pPr>
      <w:r>
        <w:t xml:space="preserve"/>
      </w:r>
    </w:p>
    <w:p>
      <w:pPr>
        <w:spacing w:before="80" w:after="80"/>
      </w:pPr>
      <w:r>
        <w:rPr>
          <w:rFonts w:ascii="Arial" w:cs="Arial" w:eastAsia="Arial" w:hAnsi="Arial"/>
          <w:b/>
          <w:bCs/>
          <w:color w:val="1A1A1A"/>
          <w:sz w:val="22"/>
          <w:szCs w:val="22"/>
        </w:rPr>
        <w:t xml:space="preserve">Austrian plastics or packaging SME (20–200 employees)</w:t>
      </w:r>
    </w:p>
    <w:p>
      <w:pPr>
        <w:spacing w:before="80" w:after="80"/>
      </w:pPr>
      <w:r>
        <w:rPr>
          <w:rFonts w:ascii="Arial" w:cs="Arial" w:eastAsia="Arial" w:hAnsi="Arial"/>
          <w:color w:val="1A1A1A"/>
          <w:sz w:val="22"/>
          <w:szCs w:val="22"/>
        </w:rPr>
        <w:t xml:space="preserve">Post-industrial plastic offcuts are clean, consistent, and valuable as feedstock for recyclers. Currently bundled with general waste due to lack of connection to recyclers. Marketing emphasises ‘recyclable packaging’. Pain: cannot substantiate recyclability claims end-to-end. Value: direct connection to SteinBeis Polyvert/Lindner feedstock procurement.</w:t>
      </w:r>
    </w:p>
    <w:p>
      <w:pPr>
        <w:spacing w:before="160" w:after="0"/>
      </w:pPr>
      <w:r>
        <w:t xml:space="preserve"/>
      </w:r>
    </w:p>
    <w:p>
      <w:pPr>
        <w:pStyle w:val="Heading2"/>
        <w:spacing w:before="280" w:after="120"/>
      </w:pPr>
      <w:r>
        <w:rPr>
          <w:rFonts w:ascii="Arial" w:cs="Arial" w:eastAsia="Arial" w:hAnsi="Arial"/>
          <w:b/>
          <w:bCs/>
          <w:color w:val="1B3A6B"/>
          <w:sz w:val="28"/>
          <w:szCs w:val="28"/>
        </w:rPr>
        <w:t xml:space="preserve">Secondary Customers — Tier 2 (Year 2+)</w:t>
      </w:r>
    </w:p>
    <w:p>
      <w:pPr>
        <w:pStyle w:val="ListParagraph"/>
        <w:numPr>
          <w:ilvl w:val="0"/>
          <w:numId w:val="2"/>
        </w:numPr>
        <w:spacing w:before="60" w:after="60"/>
      </w:pPr>
      <w:r>
        <w:rPr>
          <w:rFonts w:ascii="Arial" w:cs="Arial" w:eastAsia="Arial" w:hAnsi="Arial"/>
          <w:b w:val="false"/>
          <w:bCs w:val="false"/>
          <w:color w:val="1A1A1A"/>
          <w:sz w:val="22"/>
          <w:szCs w:val="22"/>
        </w:rPr>
        <w:t xml:space="preserve">Recycling and material recovery companies (Lindner, SteinBeis) — need predictable, quality-assured feedstock. CirclOS becomes their digital procurement channel.</w:t>
      </w:r>
    </w:p>
    <w:p>
      <w:pPr>
        <w:pStyle w:val="ListParagraph"/>
        <w:numPr>
          <w:ilvl w:val="0"/>
          <w:numId w:val="2"/>
        </w:numPr>
        <w:spacing w:before="60" w:after="60"/>
      </w:pPr>
      <w:r>
        <w:rPr>
          <w:rFonts w:ascii="Arial" w:cs="Arial" w:eastAsia="Arial" w:hAnsi="Arial"/>
          <w:b w:val="false"/>
          <w:bCs w:val="false"/>
          <w:color w:val="1A1A1A"/>
          <w:sz w:val="22"/>
          <w:szCs w:val="22"/>
        </w:rPr>
        <w:t xml:space="preserve">Large Austrian manufacturers (1,000+ employees, CSRD-obligated) needing verified Scope 3 supply chain data from their SME suppliers. Willing to pay premium for verified data via the Layer 4 API.</w:t>
      </w:r>
    </w:p>
    <w:p>
      <w:pPr>
        <w:pStyle w:val="ListParagraph"/>
        <w:numPr>
          <w:ilvl w:val="0"/>
          <w:numId w:val="2"/>
        </w:numPr>
        <w:spacing w:before="60" w:after="60"/>
      </w:pPr>
      <w:r>
        <w:rPr>
          <w:rFonts w:ascii="Arial" w:cs="Arial" w:eastAsia="Arial" w:hAnsi="Arial"/>
          <w:b w:val="false"/>
          <w:bCs w:val="false"/>
          <w:color w:val="1A1A1A"/>
          <w:sz w:val="22"/>
          <w:szCs w:val="22"/>
        </w:rPr>
        <w:t xml:space="preserve">Wirtschaftskammer Kärnten / WKO Austria — institutional partner and distribution channel providing access to all 43,000+ Austrian SMEs.</w:t>
      </w:r>
    </w:p>
    <w:p>
      <w:pPr>
        <w:pStyle w:val="ListParagraph"/>
        <w:numPr>
          <w:ilvl w:val="0"/>
          <w:numId w:val="2"/>
        </w:numPr>
        <w:spacing w:before="60" w:after="60"/>
      </w:pPr>
      <w:r>
        <w:rPr>
          <w:rFonts w:ascii="Arial" w:cs="Arial" w:eastAsia="Arial" w:hAnsi="Arial"/>
          <w:b w:val="false"/>
          <w:bCs w:val="false"/>
          <w:color w:val="1A1A1A"/>
          <w:sz w:val="22"/>
          <w:szCs w:val="22"/>
        </w:rPr>
        <w:t xml:space="preserve">Regional and national governments — buyers of aggregated circular economy flow data for policy reporting. EU KPIs require measurement of industrial symbiosis.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07</w:t>
            </w:r>
          </w:p>
        </w:tc>
        <w:tc>
          <w:tcPr>
            <w:tcW w:type="dxa" w:w="8160"/>
            <w:tcBorders>
              <w:top w:val="none" w:color="FFFFFF" w:sz="0"/>
              <w:left w:val="none" w:color="FFFFFF" w:sz="0"/>
              <w:bottom w:val="none" w:color="FFFFFF" w:sz="0"/>
              <w:right w:val="none" w:color="FFFFFF" w:sz="0"/>
            </w:tcBorders>
            <w:shd w:fill="E8EEF7" w:val="clear"/>
            <w:tcMar>
              <w:top w:type="dxa" w:w="100"/>
              <w:left w:type="dxa" w:w="200"/>
              <w:bottom w:type="dxa" w:w="100"/>
              <w:right w:type="dxa" w:w="120"/>
            </w:tcMar>
            <w:vAlign w:val="center"/>
          </w:tcPr>
          <w:p>
            <w:r>
              <w:rPr>
                <w:rFonts w:ascii="Arial" w:cs="Arial" w:eastAsia="Arial" w:hAnsi="Arial"/>
                <w:b/>
                <w:bCs/>
                <w:color w:val="1B3A6B"/>
                <w:sz w:val="28"/>
                <w:szCs w:val="28"/>
              </w:rPr>
              <w:t xml:space="preserve">Business Model &amp; Revenue</w:t>
            </w:r>
          </w:p>
        </w:tc>
      </w:tr>
    </w:tbl>
    <w:p>
      <w:pPr>
        <w:spacing w:before="80" w:after="0"/>
      </w:pPr>
      <w:r>
        <w:t xml:space="preserve"/>
      </w:r>
    </w:p>
    <w:p>
      <w:pPr>
        <w:spacing w:before="80" w:after="80"/>
      </w:pPr>
      <w:r>
        <w:rPr>
          <w:rFonts w:ascii="Arial" w:cs="Arial" w:eastAsia="Arial" w:hAnsi="Arial"/>
          <w:b/>
          <w:bCs/>
          <w:i/>
          <w:iCs/>
          <w:color w:val="1A1A1A"/>
          <w:sz w:val="22"/>
          <w:szCs w:val="22"/>
        </w:rPr>
        <w:t xml:space="preserve">How CirclOS generates recurring, compounding revenue from day one.</w:t>
      </w:r>
    </w:p>
    <w:p>
      <w:pPr>
        <w:spacing w:before="120" w:after="0"/>
      </w:pPr>
      <w:r>
        <w:t xml:space="preserve"/>
      </w:r>
    </w:p>
    <w:p>
      <w:pPr>
        <w:pStyle w:val="Heading2"/>
        <w:spacing w:before="280" w:after="120"/>
      </w:pPr>
      <w:r>
        <w:rPr>
          <w:rFonts w:ascii="Arial" w:cs="Arial" w:eastAsia="Arial" w:hAnsi="Arial"/>
          <w:b/>
          <w:bCs/>
          <w:color w:val="1B3A6B"/>
          <w:sz w:val="28"/>
          <w:szCs w:val="28"/>
        </w:rPr>
        <w:t xml:space="preserve">Pricing Tiers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8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Tier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Price</w:t>
            </w:r>
          </w:p>
        </w:tc>
        <w:tc>
          <w:tcPr>
            <w:tcW w:type="dxa" w:w="23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Includes</w:t>
            </w:r>
          </w:p>
        </w:tc>
        <w:tc>
          <w:tcPr>
            <w:tcW w:type="dxa" w:w="28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Target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Starter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€49/month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Waste marketplace, basic listings, email matching, standard evidence records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Small producers, trial entry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Growth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€129/month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All Starter + AI matching dashboard, compliance scanner (5 pages), monthly certificate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Core SME customer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€299/month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All Growth + unlimited compliance scans, monitoring mode, regulatory reporting exports, API access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Mid-size, export-focused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Enterprise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Custom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White-label, Scope 3 supply chain data API, VSME voluntary reporting module, custom reporting, dedicated support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Large manufacturers, public bodies</w:t>
            </w:r>
          </w:p>
        </w:tc>
      </w:tr>
    </w:tbl>
    <w:p>
      <w:pPr>
        <w:spacing w:before="160" w:after="0"/>
      </w:pPr>
      <w:r>
        <w:t xml:space="preserve"/>
      </w:r>
    </w:p>
    <w:p>
      <w:pPr>
        <w:pStyle w:val="Heading2"/>
        <w:spacing w:before="280" w:after="120"/>
      </w:pPr>
      <w:r>
        <w:rPr>
          <w:rFonts w:ascii="Arial" w:cs="Arial" w:eastAsia="Arial" w:hAnsi="Arial"/>
          <w:b/>
          <w:bCs/>
          <w:color w:val="1B3A6B"/>
          <w:sz w:val="28"/>
          <w:szCs w:val="28"/>
        </w:rPr>
        <w:t xml:space="preserve">Revenue Projections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8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Metric</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End of 9-Month Programme (Jun 2027)</w:t>
            </w:r>
          </w:p>
        </w:tc>
        <w:tc>
          <w:tcPr>
            <w:tcW w:type="dxa" w:w="23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Year 2 (Dec 2027)</w:t>
            </w:r>
          </w:p>
        </w:tc>
        <w:tc>
          <w:tcPr>
            <w:tcW w:type="dxa" w:w="28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Year 3 (Dec 2028)</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Paying customers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15–25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80–120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300–500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Monthly Recurring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€1,500–€3,000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€10,000–€18,000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€40,000–€70,000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Annual Recurring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€18K–€36K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€120K–€216K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€480K–€840K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Companies on platform (incl. 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30–50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200–300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1,000+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Gross margin (SaaS layers)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70%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75%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80%</w:t>
            </w:r>
          </w:p>
        </w:tc>
      </w:tr>
    </w:tbl>
    <w:p>
      <w:pPr>
        <w:spacing w:before="160" w:after="0"/>
      </w:pPr>
      <w:r>
        <w:t xml:space="preserve"/>
      </w:r>
    </w:p>
    <w:p>
      <w:pPr>
        <w:pStyle w:val="Heading2"/>
        <w:spacing w:before="280" w:after="120"/>
      </w:pPr>
      <w:r>
        <w:rPr>
          <w:rFonts w:ascii="Arial" w:cs="Arial" w:eastAsia="Arial" w:hAnsi="Arial"/>
          <w:b/>
          <w:bCs/>
          <w:color w:val="1B3A6B"/>
          <w:sz w:val="28"/>
          <w:szCs w:val="28"/>
        </w:rPr>
        <w:t xml:space="preserve">Additional Revenue Streams</w:t>
      </w:r>
    </w:p>
    <w:p>
      <w:pPr>
        <w:spacing w:before="80" w:after="80"/>
      </w:pPr>
      <w:r>
        <w:rPr>
          <w:rFonts w:ascii="Arial" w:cs="Arial" w:eastAsia="Arial" w:hAnsi="Arial"/>
          <w:color w:val="1A1A1A"/>
          <w:sz w:val="22"/>
          <w:szCs w:val="22"/>
        </w:rPr>
        <w:t xml:space="preserve">Alongside subscriptions: transaction fees on marketplace exchanges (1–3% of agreed deal value, applicable to paid tiers), compliance certificate annual renewals, Scope 3 supply chain data licensing to large CSRD-obligated manufacturers, VSME voluntary reporting module for SMEs, and enterprise API licensing for regional governments tracking circular economy KPIs. The founding member discount (permanent 50%) creates an initial cohort of loyal ambassadors at low cost while establishing the MRR baseline.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08</w:t>
            </w:r>
          </w:p>
        </w:tc>
        <w:tc>
          <w:tcPr>
            <w:tcW w:type="dxa" w:w="8160"/>
            <w:tcBorders>
              <w:top w:val="none" w:color="FFFFFF" w:sz="0"/>
              <w:left w:val="none" w:color="FFFFFF" w:sz="0"/>
              <w:bottom w:val="none" w:color="FFFFFF" w:sz="0"/>
              <w:right w:val="none" w:color="FFFFFF" w:sz="0"/>
            </w:tcBorders>
            <w:shd w:fill="E8EEF7" w:val="clear"/>
            <w:tcMar>
              <w:top w:type="dxa" w:w="100"/>
              <w:left w:type="dxa" w:w="200"/>
              <w:bottom w:type="dxa" w:w="100"/>
              <w:right w:type="dxa" w:w="120"/>
            </w:tcMar>
            <w:vAlign w:val="center"/>
          </w:tcPr>
          <w:p>
            <w:r>
              <w:rPr>
                <w:rFonts w:ascii="Arial" w:cs="Arial" w:eastAsia="Arial" w:hAnsi="Arial"/>
                <w:b/>
                <w:bCs/>
                <w:color w:val="1B3A6B"/>
                <w:sz w:val="28"/>
                <w:szCs w:val="28"/>
              </w:rPr>
              <w:t xml:space="preserve">Competitive Landscape</w:t>
            </w:r>
          </w:p>
        </w:tc>
      </w:tr>
    </w:tbl>
    <w:p>
      <w:pPr>
        <w:spacing w:before="80" w:after="0"/>
      </w:pPr>
      <w:r>
        <w:t xml:space="preserve"/>
      </w:r>
    </w:p>
    <w:p>
      <w:pPr>
        <w:spacing w:before="80" w:after="80"/>
      </w:pPr>
      <w:r>
        <w:rPr>
          <w:rFonts w:ascii="Arial" w:cs="Arial" w:eastAsia="Arial" w:hAnsi="Arial"/>
          <w:b/>
          <w:bCs/>
          <w:i/>
          <w:iCs/>
          <w:color w:val="1A1A1A"/>
          <w:sz w:val="22"/>
          <w:szCs w:val="22"/>
        </w:rPr>
        <w:t xml:space="preserve">Where the gaps are and why CirclOS occupies a defensible position.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1400"/>
        <w:gridCol w:w="11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Competitor</w:t>
            </w:r>
          </w:p>
        </w:tc>
        <w:tc>
          <w:tcPr>
            <w:tcW w:type="dxa" w:w="1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Gap vs CirclOS</w:t>
            </w:r>
          </w:p>
        </w:tc>
        <w:tc>
          <w:tcPr>
            <w:tcW w:type="dxa" w:w="1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Threat Level</w:t>
            </w:r>
          </w:p>
        </w:tc>
        <w:tc>
          <w:tcPr>
            <w:tcW w:type="dxa" w:w="11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Recy.net / Recycling Börsen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Waste exchange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Manual listings, no AI matching, no compliance, no SME UX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Low</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Scraphero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Waste exchange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Metal-specific only, no compliance layer, no Austrian focus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Low</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Greenly / Watershed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Carbon SaaS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Carbon footprint focused, NOT claim compliance. English-only, enterprise pricing (€500+/mo)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Medium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EcoVadis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ESG rating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Annual audit model, not SaaS, no marketing claim scanning, no waste exchange link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Low</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SAP Sustainability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Enterprise ERP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Enterprise only, €50K+ implementation, not accessible to SMEs, no compliance scanning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Low short-term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Austrian legal consultants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Professional services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€150–300/hr, no software, no evidence generation, no marketplace integration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Substitute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
            </w:r>
          </w:p>
        </w:tc>
      </w:tr>
    </w:tbl>
    <w:p>
      <w:pPr>
        <w:spacing w:before="160" w:after="0"/>
      </w:pPr>
      <w:r>
        <w:t xml:space="preserve"/>
      </w:r>
    </w:p>
    <w:p>
      <w:pPr>
        <w:pStyle w:val="Heading2"/>
        <w:spacing w:before="280" w:after="120"/>
      </w:pPr>
      <w:r>
        <w:rPr>
          <w:rFonts w:ascii="Arial" w:cs="Arial" w:eastAsia="Arial" w:hAnsi="Arial"/>
          <w:b/>
          <w:bCs/>
          <w:color w:val="1B3A6B"/>
          <w:sz w:val="28"/>
          <w:szCs w:val="28"/>
        </w:rPr>
        <w:t xml:space="preserve">The Moat: Why No One Can Easily Copy This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100"/>
              <w:left w:type="dxa" w:w="140"/>
              <w:bottom w:type="dxa" w:w="80"/>
              <w:right w:type="dxa" w:w="140"/>
            </w:tcMar>
          </w:tcPr>
          <w:p>
            <w:r>
              <w:rPr>
                <w:rFonts w:ascii="Arial" w:cs="Arial" w:eastAsia="Arial" w:hAnsi="Arial"/>
                <w:b/>
                <w:bCs/>
                <w:color w:val="2E7D32"/>
                <w:sz w:val="22"/>
                <w:szCs w:val="22"/>
              </w:rPr>
              <w:t xml:space="preserve">Strengths</w:t>
            </w:r>
          </w:p>
        </w:tc>
        <w:tc>
          <w:tcPr>
            <w:tcW w:type="dxa" w:w="4680"/>
            <w:tcBorders>
              <w:top w:val="single" w:color="CCCCCC" w:sz="1"/>
              <w:left w:val="single" w:color="CCCCCC" w:sz="1"/>
              <w:bottom w:val="single" w:color="CCCCCC" w:sz="1"/>
              <w:right w:val="single" w:color="CCCCCC" w:sz="1"/>
            </w:tcBorders>
            <w:shd w:fill="FFF8E1" w:val="clear"/>
            <w:tcMar>
              <w:top w:type="dxa" w:w="100"/>
              <w:left w:type="dxa" w:w="140"/>
              <w:bottom w:type="dxa" w:w="80"/>
              <w:right w:type="dxa" w:w="140"/>
            </w:tcMar>
          </w:tcPr>
          <w:p>
            <w:r>
              <w:rPr>
                <w:rFonts w:ascii="Arial" w:cs="Arial" w:eastAsia="Arial" w:hAnsi="Arial"/>
                <w:b/>
                <w:bCs/>
                <w:color w:val="B45309"/>
                <w:sz w:val="22"/>
                <w:szCs w:val="22"/>
              </w:rPr>
              <w:t xml:space="preserve">Weaknesses / Risks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pStyle w:val="ListParagraph"/>
              <w:numPr>
                <w:ilvl w:val="0"/>
                <w:numId w:val="2"/>
              </w:numPr>
              <w:spacing w:before="60" w:after="60"/>
            </w:pPr>
            <w:r>
              <w:rPr>
                <w:rFonts w:ascii="Arial" w:cs="Arial" w:eastAsia="Arial" w:hAnsi="Arial"/>
                <w:sz w:val="20"/>
                <w:szCs w:val="20"/>
              </w:rPr>
              <w:t xml:space="preserve">+ Data network effect: every transaction makes matching better for all participants. This compounding asset is time-locked — cannot be bootstrapped by a new entrant without years of transaction history.</w:t>
            </w:r>
          </w:p>
          <w:p>
            <w:pPr>
              <w:pStyle w:val="ListParagraph"/>
              <w:numPr>
                <w:ilvl w:val="0"/>
                <w:numId w:val="2"/>
              </w:numPr>
              <w:spacing w:before="60" w:after="60"/>
            </w:pPr>
            <w:r>
              <w:rPr>
                <w:rFonts w:ascii="Arial" w:cs="Arial" w:eastAsia="Arial" w:hAnsi="Arial"/>
                <w:sz w:val="20"/>
                <w:szCs w:val="20"/>
              </w:rPr>
              <w:t xml:space="preserve">+ Compliance evidence linkage is technically possible only with the underlying marketplace data. Pure compliance tools cannot replicate this without building a marketplace first.</w:t>
            </w:r>
          </w:p>
          <w:p>
            <w:pPr>
              <w:pStyle w:val="ListParagraph"/>
              <w:numPr>
                <w:ilvl w:val="0"/>
                <w:numId w:val="2"/>
              </w:numPr>
              <w:spacing w:before="60" w:after="60"/>
            </w:pPr>
            <w:r>
              <w:rPr>
                <w:rFonts w:ascii="Arial" w:cs="Arial" w:eastAsia="Arial" w:hAnsi="Arial"/>
                <w:sz w:val="20"/>
                <w:szCs w:val="20"/>
              </w:rPr>
              <w:t xml:space="preserve">+ Austrian legal calibration: German BERT model fine-tuned on Austrian waste and marketing law corpus. This is a 6-month investment competitors must replicate from scratch.</w:t>
            </w:r>
          </w:p>
          <w:p>
            <w:pPr>
              <w:pStyle w:val="ListParagraph"/>
              <w:numPr>
                <w:ilvl w:val="0"/>
                <w:numId w:val="2"/>
              </w:numPr>
              <w:spacing w:before="60" w:after="60"/>
            </w:pPr>
            <w:r>
              <w:rPr>
                <w:rFonts w:ascii="Arial" w:cs="Arial" w:eastAsia="Arial" w:hAnsi="Arial"/>
                <w:sz w:val="20"/>
                <w:szCs w:val="20"/>
              </w:rPr>
              <w:t xml:space="preserve">+ Green Tech Valley / WKO relationships: trust-based B2B relationships in Austria that take years to build and cannot be purchased.</w:t>
            </w:r>
          </w:p>
          <w:p>
            <w:pPr>
              <w:pStyle w:val="ListParagraph"/>
              <w:numPr>
                <w:ilvl w:val="0"/>
                <w:numId w:val="2"/>
              </w:numPr>
              <w:spacing w:before="60" w:after="60"/>
            </w:pPr>
            <w:r>
              <w:rPr>
                <w:rFonts w:ascii="Arial" w:cs="Arial" w:eastAsia="Arial" w:hAnsi="Arial"/>
                <w:sz w:val="20"/>
                <w:szCs w:val="20"/>
              </w:rPr>
              <w:t xml:space="preserve">+ First-mover advantage in an underserved niche: every month of operation adds transaction data that trains the matching AI and builds the compliance evidence corpus.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pStyle w:val="ListParagraph"/>
              <w:numPr>
                <w:ilvl w:val="0"/>
                <w:numId w:val="2"/>
              </w:numPr>
              <w:spacing w:before="60" w:after="60"/>
            </w:pPr>
            <w:r>
              <w:rPr>
                <w:rFonts w:ascii="Arial" w:cs="Arial" w:eastAsia="Arial" w:hAnsi="Arial"/>
                <w:sz w:val="20"/>
                <w:szCs w:val="20"/>
              </w:rPr>
              <w:t xml:space="preserve">- A well-funded startup (€2M+ seed) could build a credible competing product within 18–24 months. The window to establish dominance is the next 12 months.</w:t>
            </w:r>
          </w:p>
          <w:p>
            <w:pPr>
              <w:pStyle w:val="ListParagraph"/>
              <w:numPr>
                <w:ilvl w:val="0"/>
                <w:numId w:val="2"/>
              </w:numPr>
              <w:spacing w:before="60" w:after="60"/>
            </w:pPr>
            <w:r>
              <w:rPr>
                <w:rFonts w:ascii="Arial" w:cs="Arial" w:eastAsia="Arial" w:hAnsi="Arial"/>
                <w:sz w:val="20"/>
                <w:szCs w:val="20"/>
              </w:rPr>
              <w:t xml:space="preserve">- SAP could acquire or build into the SME market if the opportunity becomes obvious — but their SME track record is poor and their price point incompatible.</w:t>
            </w:r>
          </w:p>
          <w:p>
            <w:pPr>
              <w:pStyle w:val="ListParagraph"/>
              <w:numPr>
                <w:ilvl w:val="0"/>
                <w:numId w:val="2"/>
              </w:numPr>
              <w:spacing w:before="60" w:after="60"/>
            </w:pPr>
            <w:r>
              <w:rPr>
                <w:rFonts w:ascii="Arial" w:cs="Arial" w:eastAsia="Arial" w:hAnsi="Arial"/>
                <w:sz w:val="20"/>
                <w:szCs w:val="20"/>
              </w:rPr>
              <w:t xml:space="preserve">- If ECGT enforcement is weak in Year 1, compliance urgency fades. Mitigant: marketplace standalone value is independent.</w:t>
            </w:r>
          </w:p>
          <w:p>
            <w:pPr>
              <w:pStyle w:val="ListParagraph"/>
              <w:numPr>
                <w:ilvl w:val="0"/>
                <w:numId w:val="2"/>
              </w:numPr>
              <w:spacing w:before="60" w:after="60"/>
            </w:pPr>
            <w:r>
              <w:rPr>
                <w:rFonts w:ascii="Arial" w:cs="Arial" w:eastAsia="Arial" w:hAnsi="Arial"/>
                <w:sz w:val="20"/>
                <w:szCs w:val="20"/>
              </w:rPr>
              <w:t xml:space="preserve">- B2C vs B2B scope: if the majority of target SMEs are B2B-only, the direct ECGT urgency narrative requires reframing toward supply chain data and VSME reporting.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09</w:t>
            </w:r>
          </w:p>
        </w:tc>
        <w:tc>
          <w:tcPr>
            <w:tcW w:type="dxa" w:w="8160"/>
            <w:tcBorders>
              <w:top w:val="none" w:color="FFFFFF" w:sz="0"/>
              <w:left w:val="none" w:color="FFFFFF" w:sz="0"/>
              <w:bottom w:val="none" w:color="FFFFFF" w:sz="0"/>
              <w:right w:val="none" w:color="FFFFFF" w:sz="0"/>
            </w:tcBorders>
            <w:shd w:fill="E8EEF7" w:val="clear"/>
            <w:tcMar>
              <w:top w:type="dxa" w:w="100"/>
              <w:left w:type="dxa" w:w="200"/>
              <w:bottom w:type="dxa" w:w="100"/>
              <w:right w:type="dxa" w:w="120"/>
            </w:tcMar>
            <w:vAlign w:val="center"/>
          </w:tcPr>
          <w:p>
            <w:r>
              <w:rPr>
                <w:rFonts w:ascii="Arial" w:cs="Arial" w:eastAsia="Arial" w:hAnsi="Arial"/>
                <w:b/>
                <w:bCs/>
                <w:color w:val="1B3A6B"/>
                <w:sz w:val="28"/>
                <w:szCs w:val="28"/>
              </w:rPr>
              <w:t xml:space="preserve">Technology Architecture</w:t>
            </w:r>
          </w:p>
        </w:tc>
      </w:tr>
    </w:tbl>
    <w:p>
      <w:pPr>
        <w:spacing w:before="80" w:after="0"/>
      </w:pPr>
      <w:r>
        <w:t xml:space="preserve"/>
      </w:r>
    </w:p>
    <w:p>
      <w:pPr>
        <w:spacing w:before="80" w:after="80"/>
      </w:pPr>
      <w:r>
        <w:rPr>
          <w:rFonts w:ascii="Arial" w:cs="Arial" w:eastAsia="Arial" w:hAnsi="Arial"/>
          <w:b/>
          <w:bCs/>
          <w:i/>
          <w:iCs/>
          <w:color w:val="1A1A1A"/>
          <w:sz w:val="22"/>
          <w:szCs w:val="22"/>
        </w:rPr>
        <w:t xml:space="preserve">The technical decisions and why they were made.</w:t>
      </w:r>
    </w:p>
    <w:p>
      <w:pPr>
        <w:spacing w:before="120" w:after="0"/>
      </w:pPr>
      <w:r>
        <w:t xml:space="preserve"/>
      </w:r>
    </w:p>
    <w:p>
      <w:pPr>
        <w:pStyle w:val="Heading2"/>
        <w:spacing w:before="280" w:after="120"/>
      </w:pPr>
      <w:r>
        <w:rPr>
          <w:rFonts w:ascii="Arial" w:cs="Arial" w:eastAsia="Arial" w:hAnsi="Arial"/>
          <w:b/>
          <w:bCs/>
          <w:color w:val="1B3A6B"/>
          <w:sz w:val="28"/>
          <w:szCs w:val="28"/>
        </w:rPr>
        <w:t xml:space="preserve">Tech Stack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Layer</w:t>
            </w:r>
          </w:p>
        </w:tc>
        <w:tc>
          <w:tcPr>
            <w:tcW w:type="dxa" w:w="2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Technology</w:t>
            </w:r>
          </w:p>
        </w:tc>
        <w:tc>
          <w:tcPr>
            <w:tcW w:type="dxa" w:w="49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Rationale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Backend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Python 3.12 + FastAPI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Unified language with AI layer; async performance; auto-generated OpenAPI docs; large Austrian/DACH developer pool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React 18 + TypeScript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Component reusability for complex dashboard UIs; type safety; large hiring pool; Vite for fast development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Primary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PostgreSQL 16 + pgvector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pgvector enables semantic similarity matching without separate vector DB; ACID compliance for transaction records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AI matching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sentence-transformers + LightGBM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sentence-transformers for material description encoding; LightGBM for ranking (fast, interpretable, works with small datasets)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NLP (compliance)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deepset/gbert-large (fine-tuned)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Best available German BERT model; fine-tuned on Austrian green marketing corpus; runs on single GPU instance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Hosting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AWS eu-central-1 (Frankfurt)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GDPR-compliant EU data residency; enterprise customers require this; proximity to Carinthia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Auth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Supabase Auth (MVP)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Rapid implementation; built-in email/password + OAuth; replace with custom OIDC post-Series 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Payments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Stripe + Austrian VAT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Standard SaaS billing; handles Austrian 20% VAT, B2B reverse charge; subscription management</w:t>
            </w:r>
          </w:p>
        </w:tc>
      </w:tr>
    </w:tbl>
    <w:p>
      <w:pPr>
        <w:spacing w:before="160" w:after="0"/>
      </w:pPr>
      <w:r>
        <w:t xml:space="preserve"/>
      </w:r>
    </w:p>
    <w:p>
      <w:pPr>
        <w:pStyle w:val="Heading2"/>
        <w:spacing w:before="280" w:after="120"/>
      </w:pPr>
      <w:r>
        <w:rPr>
          <w:rFonts w:ascii="Arial" w:cs="Arial" w:eastAsia="Arial" w:hAnsi="Arial"/>
          <w:b/>
          <w:bCs/>
          <w:color w:val="1B3A6B"/>
          <w:sz w:val="28"/>
          <w:szCs w:val="28"/>
        </w:rPr>
        <w:t xml:space="preserve">Privacy &amp; Data Architecture</w:t>
      </w:r>
    </w:p>
    <w:p>
      <w:pPr>
        <w:spacing w:before="80" w:after="80"/>
      </w:pPr>
      <w:r>
        <w:rPr>
          <w:rFonts w:ascii="Arial" w:cs="Arial" w:eastAsia="Arial" w:hAnsi="Arial"/>
          <w:color w:val="1A1A1A"/>
          <w:sz w:val="22"/>
          <w:szCs w:val="22"/>
        </w:rPr>
        <w:t xml:space="preserve">The privacy model is fundamental to adoption. Austrian manufacturing SMEs will not share production volumes with a platform if competitors can see that data. CirclOS uses a three-tier data visibility model: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Visibility Tier</w:t>
            </w:r>
          </w:p>
        </w:tc>
        <w:tc>
          <w:tcPr>
            <w:tcW w:type="dxa" w:w="63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What It Contains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Private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Exact production schedules, partner names, pricing details — visible only to the company itself</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Anonymised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Aggregate sector flows, volume ranges, regional availability patterns — used internally by the matching algorithm and for regulatory reporting API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Public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Material category, approximate volume range, location zone, availability period — shown to matched companies after AI scoring</w:t>
            </w:r>
          </w:p>
        </w:tc>
      </w:tr>
    </w:tbl>
    <w:p>
      <w:pPr>
        <w:spacing w:before="80" w:after="0"/>
      </w:pPr>
      <w:r>
        <w:t xml:space="preserve"/>
      </w:r>
    </w:p>
    <w:p>
      <w:pPr>
        <w:spacing w:before="80" w:after="80"/>
      </w:pPr>
      <w:r>
        <w:rPr>
          <w:rFonts w:ascii="Arial" w:cs="Arial" w:eastAsia="Arial" w:hAnsi="Arial"/>
          <w:color w:val="1A1A1A"/>
          <w:sz w:val="22"/>
          <w:szCs w:val="22"/>
        </w:rPr>
        <w:t xml:space="preserve">GDPR processor agreements are signed with all customers. The evidence record is company-owned: CirclOS stores it but the company controls export and sharing.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10</w:t>
            </w:r>
          </w:p>
        </w:tc>
        <w:tc>
          <w:tcPr>
            <w:tcW w:type="dxa" w:w="8160"/>
            <w:tcBorders>
              <w:top w:val="none" w:color="FFFFFF" w:sz="0"/>
              <w:left w:val="none" w:color="FFFFFF" w:sz="0"/>
              <w:bottom w:val="none" w:color="FFFFFF" w:sz="0"/>
              <w:right w:val="none" w:color="FFFFFF" w:sz="0"/>
            </w:tcBorders>
            <w:shd w:fill="E8EEF7" w:val="clear"/>
            <w:tcMar>
              <w:top w:type="dxa" w:w="100"/>
              <w:left w:type="dxa" w:w="200"/>
              <w:bottom w:type="dxa" w:w="100"/>
              <w:right w:type="dxa" w:w="120"/>
            </w:tcMar>
            <w:vAlign w:val="center"/>
          </w:tcPr>
          <w:p>
            <w:r>
              <w:rPr>
                <w:rFonts w:ascii="Arial" w:cs="Arial" w:eastAsia="Arial" w:hAnsi="Arial"/>
                <w:b/>
                <w:bCs/>
                <w:color w:val="1B3A6B"/>
                <w:sz w:val="28"/>
                <w:szCs w:val="28"/>
              </w:rPr>
              <w:t xml:space="preserve">Regulatory Framework</w:t>
            </w:r>
          </w:p>
        </w:tc>
      </w:tr>
    </w:tbl>
    <w:p>
      <w:pPr>
        <w:spacing w:before="80" w:after="0"/>
      </w:pPr>
      <w:r>
        <w:t xml:space="preserve"/>
      </w:r>
    </w:p>
    <w:p>
      <w:pPr>
        <w:spacing w:before="80" w:after="80"/>
      </w:pPr>
      <w:r>
        <w:rPr>
          <w:rFonts w:ascii="Arial" w:cs="Arial" w:eastAsia="Arial" w:hAnsi="Arial"/>
          <w:b/>
          <w:bCs/>
          <w:i/>
          <w:iCs/>
          <w:color w:val="1A1A1A"/>
          <w:sz w:val="22"/>
          <w:szCs w:val="22"/>
        </w:rPr>
        <w:t xml:space="preserve">The legal landscape that creates the market — and the constraints to design around.</w:t>
      </w:r>
    </w:p>
    <w:p>
      <w:pPr>
        <w:spacing w:before="120" w:after="0"/>
      </w:pPr>
      <w:r>
        <w:t xml:space="preserve"/>
      </w:r>
    </w:p>
    <w:p>
      <w:pPr>
        <w:pStyle w:val="Heading2"/>
        <w:spacing w:before="280" w:after="120"/>
      </w:pPr>
      <w:r>
        <w:rPr>
          <w:rFonts w:ascii="Arial" w:cs="Arial" w:eastAsia="Arial" w:hAnsi="Arial"/>
          <w:b/>
          <w:bCs/>
          <w:color w:val="1B3A6B"/>
          <w:sz w:val="28"/>
          <w:szCs w:val="28"/>
        </w:rPr>
        <w:t xml:space="preserve">EU ECGT Directive 2024/825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18"/>
              <w:bottom w:val="single" w:color="1B3A6B" w:sz="6"/>
              <w:right w:val="single" w:color="1B3A6B" w:sz="6"/>
            </w:tcBorders>
            <w:shd w:fill="E8EEF7" w:val="clear"/>
            <w:tcMar>
              <w:top w:type="dxa" w:w="120"/>
              <w:left w:type="dxa" w:w="180"/>
              <w:bottom w:type="dxa" w:w="120"/>
              <w:right w:type="dxa" w:w="180"/>
            </w:tcMar>
          </w:tcPr>
          <w:p>
            <w:r>
              <w:rPr>
                <w:rFonts w:ascii="Arial" w:cs="Arial" w:eastAsia="Arial" w:hAnsi="Arial"/>
                <w:color w:val="1A1A1A"/>
                <w:sz w:val="21"/>
                <w:szCs w:val="21"/>
              </w:rPr>
              <w:t xml:space="preserve">Status: Binding law. Enforcement from September 2026. Austria must transpose by March 2026.</w:t>
            </w:r>
          </w:p>
        </w:tc>
      </w:tr>
    </w:tbl>
    <w:p>
      <w:pPr>
        <w:spacing w:before="80" w:after="0"/>
      </w:pPr>
      <w:r>
        <w:t xml:space="preserve"/>
      </w:r>
    </w:p>
    <w:p>
      <w:pPr>
        <w:spacing w:before="80" w:after="80"/>
      </w:pPr>
      <w:r>
        <w:rPr>
          <w:rFonts w:ascii="Arial" w:cs="Arial" w:eastAsia="Arial" w:hAnsi="Arial"/>
          <w:color w:val="1A1A1A"/>
          <w:sz w:val="22"/>
          <w:szCs w:val="22"/>
        </w:rPr>
        <w:t xml:space="preserve">Bans generic unsubstantiated environmental claims including: ‘eco-friendly’, ‘green’, ‘sustainable’, ‘nature’s friend’, ‘environmentally responsible’, ‘climate neutral’ (unless based on verified lifecycle reductions, not offsets). Sustainability labels must be based on certified schemes or public authority. Businesses must review evidence every 5 years. Microenterprises (&lt;10 employees, &lt;€2M turnover) exempt from strictest requirements.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6"/>
              <w:left w:val="single" w:color="F9A825" w:sz="18"/>
              <w:bottom w:val="single" w:color="F9A825" w:sz="6"/>
              <w:right w:val="single" w:color="F9A825" w:sz="6"/>
            </w:tcBorders>
            <w:shd w:fill="FFF8E1" w:val="clear"/>
            <w:tcMar>
              <w:top w:type="dxa" w:w="120"/>
              <w:left w:type="dxa" w:w="180"/>
              <w:bottom w:type="dxa" w:w="120"/>
              <w:right w:type="dxa" w:w="180"/>
            </w:tcMar>
          </w:tcPr>
          <w:p>
            <w:r>
              <w:rPr>
                <w:rFonts w:ascii="Arial" w:cs="Arial" w:eastAsia="Arial" w:hAnsi="Arial"/>
                <w:b/>
                <w:bCs/>
                <w:color w:val="B45309"/>
                <w:sz w:val="22"/>
                <w:szCs w:val="22"/>
              </w:rPr>
              <w:t xml:space="preserve">B2C scope clarification:</w:t>
            </w:r>
          </w:p>
          <w:p>
            <w:pPr>
              <w:spacing w:before="40" w:after="0"/>
            </w:pPr>
            <w:r>
              <w:t xml:space="preserve"/>
            </w:r>
          </w:p>
          <w:p>
            <w:r>
              <w:rPr>
                <w:rFonts w:ascii="Arial" w:cs="Arial" w:eastAsia="Arial" w:hAnsi="Arial"/>
                <w:color w:val="1A1A1A"/>
                <w:sz w:val="21"/>
                <w:szCs w:val="21"/>
              </w:rPr>
              <w:t xml:space="preserve">The ECGT’s strictest provisions apply to business-to-consumer commercial practices. B2B green claims fall under general unfair competition law (UWG), which is less prescriptive. Validating what proportion of CirclOS’s target customers have consumer-facing marketing is a Week 1 priority before building compliance urgency into the sales narrative.</w:t>
            </w:r>
          </w:p>
        </w:tc>
      </w:tr>
    </w:tbl>
    <w:p>
      <w:pPr>
        <w:spacing w:before="160" w:after="0"/>
      </w:pPr>
      <w:r>
        <w:t xml:space="preserve"/>
      </w:r>
    </w:p>
    <w:p>
      <w:pPr>
        <w:pStyle w:val="Heading2"/>
        <w:spacing w:before="280" w:after="120"/>
      </w:pPr>
      <w:r>
        <w:rPr>
          <w:rFonts w:ascii="Arial" w:cs="Arial" w:eastAsia="Arial" w:hAnsi="Arial"/>
          <w:b/>
          <w:bCs/>
          <w:color w:val="1B3A6B"/>
          <w:sz w:val="28"/>
          <w:szCs w:val="28"/>
        </w:rPr>
        <w:t xml:space="preserve">EU Green Claims Directive (Proposed — Currently Withdrawn)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18"/>
              <w:bottom w:val="single" w:color="CCCCCC" w:sz="6"/>
              <w:right w:val="single" w:color="CCCCCC" w:sz="6"/>
            </w:tcBorders>
            <w:shd w:fill="F5F5F5" w:val="clear"/>
            <w:tcMar>
              <w:top w:type="dxa" w:w="120"/>
              <w:left w:type="dxa" w:w="180"/>
              <w:bottom w:type="dxa" w:w="120"/>
              <w:right w:type="dxa" w:w="180"/>
            </w:tcMar>
          </w:tcPr>
          <w:p>
            <w:r>
              <w:rPr>
                <w:rFonts w:ascii="Arial" w:cs="Arial" w:eastAsia="Arial" w:hAnsi="Arial"/>
                <w:color w:val="1A1A1A"/>
                <w:sz w:val="21"/>
                <w:szCs w:val="21"/>
              </w:rPr>
              <w:t xml:space="preserve">Status: Withdrawn June 2025 — re-proposal expected, but uncertain timeline.</w:t>
            </w:r>
          </w:p>
        </w:tc>
      </w:tr>
    </w:tbl>
    <w:p>
      <w:pPr>
        <w:spacing w:before="80" w:after="0"/>
      </w:pPr>
      <w:r>
        <w:t xml:space="preserve"/>
      </w:r>
    </w:p>
    <w:p>
      <w:pPr>
        <w:spacing w:before="80" w:after="80"/>
      </w:pPr>
      <w:r>
        <w:rPr>
          <w:rFonts w:ascii="Arial" w:cs="Arial" w:eastAsia="Arial" w:hAnsi="Arial"/>
          <w:color w:val="1A1A1A"/>
          <w:sz w:val="22"/>
          <w:szCs w:val="22"/>
        </w:rPr>
        <w:t xml:space="preserve">Would have required pre-approval of environmental claims by national authorities. Withdrawn due to EPP and Italian opposition citing SME burden. However, its withdrawal does not reduce the ECGT’s force, and political pressure for stricter standards continues. The compliance market exists and is urgent regardless of GCD status.</w:t>
      </w:r>
    </w:p>
    <w:p>
      <w:pPr>
        <w:spacing w:before="160" w:after="0"/>
      </w:pPr>
      <w:r>
        <w:t xml:space="preserve"/>
      </w:r>
    </w:p>
    <w:p>
      <w:pPr>
        <w:pStyle w:val="Heading2"/>
        <w:spacing w:before="280" w:after="120"/>
      </w:pPr>
      <w:r>
        <w:rPr>
          <w:rFonts w:ascii="Arial" w:cs="Arial" w:eastAsia="Arial" w:hAnsi="Arial"/>
          <w:b/>
          <w:bCs/>
          <w:color w:val="1B3A6B"/>
          <w:sz w:val="28"/>
          <w:szCs w:val="28"/>
        </w:rPr>
        <w:t xml:space="preserve">CSRD &amp; Scope 3 — Precise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18"/>
              <w:bottom w:val="single" w:color="1B3A6B" w:sz="6"/>
              <w:right w:val="single" w:color="1B3A6B" w:sz="6"/>
            </w:tcBorders>
            <w:shd w:fill="E8EEF7" w:val="clear"/>
            <w:tcMar>
              <w:top w:type="dxa" w:w="120"/>
              <w:left w:type="dxa" w:w="180"/>
              <w:bottom w:type="dxa" w:w="120"/>
              <w:right w:type="dxa" w:w="180"/>
            </w:tcMar>
          </w:tcPr>
          <w:p>
            <w:r>
              <w:rPr>
                <w:rFonts w:ascii="Arial" w:cs="Arial" w:eastAsia="Arial" w:hAnsi="Arial"/>
                <w:color w:val="1A1A1A"/>
                <w:sz w:val="21"/>
                <w:szCs w:val="21"/>
              </w:rPr>
              <w:t xml:space="preserve">Status: Under EU Omnibus reform (2025), CSRD now applies only to companies with 1,000+ employees and €450M+ turnover. All SMEs are out of mandatory CSRD scope.</w:t>
            </w:r>
          </w:p>
        </w:tc>
      </w:tr>
    </w:tbl>
    <w:p>
      <w:pPr>
        <w:spacing w:before="80" w:after="0"/>
      </w:pPr>
      <w:r>
        <w:t xml:space="preserve"/>
      </w:r>
    </w:p>
    <w:p>
      <w:pPr>
        <w:spacing w:before="80" w:after="80"/>
      </w:pPr>
      <w:r>
        <w:rPr>
          <w:rFonts w:ascii="Arial" w:cs="Arial" w:eastAsia="Arial" w:hAnsi="Arial"/>
          <w:color w:val="1A1A1A"/>
          <w:sz w:val="22"/>
          <w:szCs w:val="22"/>
        </w:rPr>
        <w:t xml:space="preserve">CirclOS does not issue CSRD certificates to SMEs — SMEs are legally exempt from mandatory CSRD. The correct positioning for CirclOS in this space is threefold:</w:t>
      </w:r>
    </w:p>
    <w:p>
      <w:pPr>
        <w:spacing w:before="6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Scope 3 data supplier: CirclOS’s verified transaction records are exactly the supply chain data that large CSRD-obligated manufacturers need from their SME suppliers. CirclOS becomes the verified data pipe between SME suppliers and large customers’ CSRD reports.</w:t>
      </w:r>
    </w:p>
    <w:p>
      <w:pPr>
        <w:pStyle w:val="ListParagraph"/>
        <w:numPr>
          <w:ilvl w:val="0"/>
          <w:numId w:val="2"/>
        </w:numPr>
        <w:spacing w:before="60" w:after="60"/>
      </w:pPr>
      <w:r>
        <w:rPr>
          <w:rFonts w:ascii="Arial" w:cs="Arial" w:eastAsia="Arial" w:hAnsi="Arial"/>
          <w:b w:val="false"/>
          <w:bCs w:val="false"/>
          <w:color w:val="1A1A1A"/>
          <w:sz w:val="22"/>
          <w:szCs w:val="22"/>
        </w:rPr>
        <w:t xml:space="preserve">VSME voluntary reporting: The EU’s Voluntary SME Sustainability Reporting Standard (July 2026 Commission publication deadline) allows SMEs to voluntarily report sustainability data to satisfy customer and bank requests. CirclOS can auto-populate VSME reports from transaction data.</w:t>
      </w:r>
    </w:p>
    <w:p>
      <w:pPr>
        <w:pStyle w:val="ListParagraph"/>
        <w:numPr>
          <w:ilvl w:val="0"/>
          <w:numId w:val="2"/>
        </w:numPr>
        <w:spacing w:before="60" w:after="60"/>
      </w:pPr>
      <w:r>
        <w:rPr>
          <w:rFonts w:ascii="Arial" w:cs="Arial" w:eastAsia="Arial" w:hAnsi="Arial"/>
          <w:b w:val="false"/>
          <w:bCs w:val="false"/>
          <w:color w:val="1A1A1A"/>
          <w:sz w:val="22"/>
          <w:szCs w:val="22"/>
        </w:rPr>
        <w:t xml:space="preserve">Evidence partner, not auditor: CirclOS generates the verified evidence; accredited statutory auditors provide the legally required assurance sign-off. CirclOS earns integration fees, not audit fees.</w:t>
      </w:r>
    </w:p>
    <w:p>
      <w:pPr>
        <w:spacing w:before="160" w:after="0"/>
      </w:pPr>
      <w:r>
        <w:t xml:space="preserve"/>
      </w:r>
    </w:p>
    <w:p>
      <w:pPr>
        <w:pStyle w:val="Heading2"/>
        <w:spacing w:before="280" w:after="120"/>
      </w:pPr>
      <w:r>
        <w:rPr>
          <w:rFonts w:ascii="Arial" w:cs="Arial" w:eastAsia="Arial" w:hAnsi="Arial"/>
          <w:b/>
          <w:bCs/>
          <w:color w:val="1B3A6B"/>
          <w:sz w:val="28"/>
          <w:szCs w:val="28"/>
        </w:rPr>
        <w:t xml:space="preserve">Third-Party Certification Roadmap — ISO 17065</w:t>
      </w:r>
    </w:p>
    <w:p>
      <w:pPr>
        <w:spacing w:before="80" w:after="80"/>
      </w:pPr>
      <w:r>
        <w:rPr>
          <w:rFonts w:ascii="Arial" w:cs="Arial" w:eastAsia="Arial" w:hAnsi="Arial"/>
          <w:color w:val="1A1A1A"/>
          <w:sz w:val="22"/>
          <w:szCs w:val="22"/>
        </w:rPr>
        <w:t xml:space="preserve">Under ECGT, sustainability labels must be independently verified by a third party accredited under ISO 17065. CirclOS’s current compliance certificate is a good-faith documentation record. The path to certified label status: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Phase</w:t>
            </w:r>
          </w:p>
        </w:tc>
        <w:tc>
          <w:tcPr>
            <w:tcW w:type="dxa" w:w="63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Year 2 (2027)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Define the ‘CirclOS Circular Claim Standard’ — a documented methodology co-signed by Austrian law firm. This constitutes a certification scheme.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Year 2–3 (2027–2028)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Partner with an existing ISO 17065-accredited body (DAkkS or Akkreditierung Austria) to independently verify companies against the CirclOS standard. CirclOS certificates become legally valid ECGT sustainability labels.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Year 4+ (2028–2029)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Apply for own ISO 17065 accreditation for a structurally separate certification arm. Legal requirement: CirclOS SaaS arm and certification arm must be independent entities — ECGT demands certifier independence from the trader.</w:t>
            </w:r>
          </w:p>
        </w:tc>
      </w:tr>
    </w:tbl>
    <w:p>
      <w:pPr>
        <w:spacing w:before="160" w:after="0"/>
      </w:pPr>
      <w:r>
        <w:t xml:space="preserve"/>
      </w:r>
    </w:p>
    <w:p>
      <w:pPr>
        <w:pStyle w:val="Heading2"/>
        <w:spacing w:before="280" w:after="120"/>
      </w:pPr>
      <w:r>
        <w:rPr>
          <w:rFonts w:ascii="Arial" w:cs="Arial" w:eastAsia="Arial" w:hAnsi="Arial"/>
          <w:b/>
          <w:bCs/>
          <w:color w:val="1B3A6B"/>
          <w:sz w:val="28"/>
          <w:szCs w:val="28"/>
        </w:rPr>
        <w:t xml:space="preserve">Austrian Abfallwirtschaftsgesetz (AWG 2002)</w:t>
      </w:r>
    </w:p>
    <w:p>
      <w:pPr>
        <w:spacing w:before="80" w:after="80"/>
      </w:pPr>
      <w:r>
        <w:rPr>
          <w:rFonts w:ascii="Arial" w:cs="Arial" w:eastAsia="Arial" w:hAnsi="Arial"/>
          <w:color w:val="1A1A1A"/>
          <w:sz w:val="22"/>
          <w:szCs w:val="22"/>
        </w:rPr>
        <w:t xml:space="preserve">National law governing all waste handling in Austria. Distinguishes legally between Abfall (waste) and Sekundrärohstoff (secondary raw material). Materials qualifying as secondary raw materials can be traded freely; those classified as waste require licensed waste treatment facilities as recipients. The CirclOS legal framework defines which material categories fall into each classification at onboarding. Week 1 priority: 2-hour consultation with Austrian environmental law firm.</w:t>
      </w:r>
    </w:p>
    <w:p>
      <w:pPr>
        <w:spacing w:before="160" w:after="0"/>
      </w:pPr>
      <w:r>
        <w:t xml:space="preserve"/>
      </w:r>
    </w:p>
    <w:p>
      <w:pPr>
        <w:pStyle w:val="Heading2"/>
        <w:spacing w:before="280" w:after="120"/>
      </w:pPr>
      <w:r>
        <w:rPr>
          <w:rFonts w:ascii="Arial" w:cs="Arial" w:eastAsia="Arial" w:hAnsi="Arial"/>
          <w:b/>
          <w:bCs/>
          <w:color w:val="1B3A6B"/>
          <w:sz w:val="28"/>
          <w:szCs w:val="28"/>
        </w:rPr>
        <w:t xml:space="preserve">EU Waste Framework Directive 2008/98/EC</w:t>
      </w:r>
    </w:p>
    <w:p>
      <w:pPr>
        <w:spacing w:before="80" w:after="80"/>
      </w:pPr>
      <w:r>
        <w:rPr>
          <w:rFonts w:ascii="Arial" w:cs="Arial" w:eastAsia="Arial" w:hAnsi="Arial"/>
          <w:color w:val="1A1A1A"/>
          <w:sz w:val="22"/>
          <w:szCs w:val="22"/>
        </w:rPr>
        <w:t xml:space="preserve">Establishes the waste hierarchy (prevention, reuse, recycling, recovery, disposal). Defines ‘end-of-waste’ criteria — the point at which a material ceases to be waste and becomes a product. CirclOS transactions that facilitate material reuse or recycling contribute to measurable progress on this hierarchy, which is reportable to EU bodies and valuable to customers for supply chain sustainability documentation.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11</w:t>
            </w:r>
          </w:p>
        </w:tc>
        <w:tc>
          <w:tcPr>
            <w:tcW w:type="dxa" w:w="8160"/>
            <w:tcBorders>
              <w:top w:val="none" w:color="FFFFFF" w:sz="0"/>
              <w:left w:val="none" w:color="FFFFFF" w:sz="0"/>
              <w:bottom w:val="none" w:color="FFFFFF" w:sz="0"/>
              <w:right w:val="none" w:color="FFFFFF" w:sz="0"/>
            </w:tcBorders>
            <w:shd w:fill="E8EEF7" w:val="clear"/>
            <w:tcMar>
              <w:top w:type="dxa" w:w="100"/>
              <w:left w:type="dxa" w:w="200"/>
              <w:bottom w:type="dxa" w:w="100"/>
              <w:right w:type="dxa" w:w="120"/>
            </w:tcMar>
            <w:vAlign w:val="center"/>
          </w:tcPr>
          <w:p>
            <w:r>
              <w:rPr>
                <w:rFonts w:ascii="Arial" w:cs="Arial" w:eastAsia="Arial" w:hAnsi="Arial"/>
                <w:b/>
                <w:bCs/>
                <w:color w:val="1B3A6B"/>
                <w:sz w:val="28"/>
                <w:szCs w:val="28"/>
              </w:rPr>
              <w:t xml:space="preserve">9-Month Execution Plan — Week by Week</w:t>
            </w:r>
          </w:p>
        </w:tc>
      </w:tr>
    </w:tbl>
    <w:p>
      <w:pPr>
        <w:spacing w:before="80" w:after="0"/>
      </w:pPr>
      <w:r>
        <w:t xml:space="preserve"/>
      </w:r>
    </w:p>
    <w:p>
      <w:pPr>
        <w:spacing w:before="80" w:after="80"/>
      </w:pPr>
      <w:r>
        <w:rPr>
          <w:rFonts w:ascii="Arial" w:cs="Arial" w:eastAsia="Arial" w:hAnsi="Arial"/>
          <w:b/>
          <w:bCs/>
          <w:i/>
          <w:iCs/>
          <w:color w:val="1A1A1A"/>
          <w:sz w:val="22"/>
          <w:szCs w:val="22"/>
        </w:rPr>
        <w:t xml:space="preserve">October 2026 to June 2027: the exact sequence and why the order is non-negotiable.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18"/>
              <w:bottom w:val="single" w:color="1B3A6B" w:sz="6"/>
              <w:right w:val="single" w:color="1B3A6B" w:sz="6"/>
            </w:tcBorders>
            <w:shd w:fill="E8EEF7" w:val="clear"/>
            <w:tcMar>
              <w:top w:type="dxa" w:w="120"/>
              <w:left w:type="dxa" w:w="180"/>
              <w:bottom w:type="dxa" w:w="120"/>
              <w:right w:type="dxa" w:w="180"/>
            </w:tcMar>
          </w:tcPr>
          <w:p>
            <w:r>
              <w:rPr>
                <w:rFonts w:ascii="Arial" w:cs="Arial" w:eastAsia="Arial" w:hAnsi="Arial"/>
                <w:color w:val="1A1A1A"/>
                <w:sz w:val="21"/>
                <w:szCs w:val="21"/>
              </w:rPr>
              <w:t xml:space="preserve">Each phase only unlocks the tools that the next phase requires. Legal framework must precede data model design. Real transaction data must precede the compliance tool launch. No shortcuts — the dependency chain is structural, not stylistic.</w:t>
            </w:r>
          </w:p>
        </w:tc>
      </w:tr>
    </w:tbl>
    <w:p>
      <w:pPr>
        <w:spacing w:before="160" w:after="0"/>
      </w:pPr>
      <w:r>
        <w:t xml:space="preserve"/>
      </w:r>
    </w:p>
    <w:p>
      <w:pPr>
        <w:pStyle w:val="Heading2"/>
        <w:spacing w:before="280" w:after="120"/>
      </w:pPr>
      <w:r>
        <w:rPr>
          <w:rFonts w:ascii="Arial" w:cs="Arial" w:eastAsia="Arial" w:hAnsi="Arial"/>
          <w:b/>
          <w:bCs/>
          <w:color w:val="1B3A6B"/>
          <w:sz w:val="28"/>
          <w:szCs w:val="28"/>
        </w:rPr>
        <w:t xml:space="preserve">Phase 1 — Weeks 1–4 (October 2026): Foundation</w:t>
      </w:r>
    </w:p>
    <w:p>
      <w:pPr>
        <w:spacing w:before="80" w:after="0"/>
      </w:pPr>
      <w:r>
        <w:t xml:space="preserve"/>
      </w:r>
    </w:p>
    <w:p>
      <w:pPr>
        <w:spacing w:before="80" w:after="80"/>
      </w:pPr>
      <w:r>
        <w:rPr>
          <w:rFonts w:ascii="Arial" w:cs="Arial" w:eastAsia="Arial" w:hAnsi="Arial"/>
          <w:b/>
          <w:bCs/>
          <w:color w:val="1A1A1A"/>
          <w:sz w:val="22"/>
          <w:szCs w:val="22"/>
        </w:rPr>
        <w:t xml:space="preserve">Week 1 — Waste taxonomy &amp; legal audit</w:t>
      </w:r>
    </w:p>
    <w:p>
      <w:pPr>
        <w:pStyle w:val="ListParagraph"/>
        <w:numPr>
          <w:ilvl w:val="0"/>
          <w:numId w:val="2"/>
        </w:numPr>
        <w:spacing w:before="60" w:after="60"/>
      </w:pPr>
      <w:r>
        <w:rPr>
          <w:rFonts w:ascii="Arial" w:cs="Arial" w:eastAsia="Arial" w:hAnsi="Arial"/>
          <w:b w:val="false"/>
          <w:bCs w:val="false"/>
          <w:color w:val="1A1A1A"/>
          <w:sz w:val="22"/>
          <w:szCs w:val="22"/>
        </w:rPr>
        <w:t xml:space="preserve">Map 6–8 Carinthian waste streams with legal classification (AWG 2002)</w:t>
      </w:r>
    </w:p>
    <w:p>
      <w:pPr>
        <w:pStyle w:val="ListParagraph"/>
        <w:numPr>
          <w:ilvl w:val="0"/>
          <w:numId w:val="2"/>
        </w:numPr>
        <w:spacing w:before="60" w:after="60"/>
      </w:pPr>
      <w:r>
        <w:rPr>
          <w:rFonts w:ascii="Arial" w:cs="Arial" w:eastAsia="Arial" w:hAnsi="Arial"/>
          <w:b w:val="false"/>
          <w:bCs w:val="false"/>
          <w:color w:val="1A1A1A"/>
          <w:sz w:val="22"/>
          <w:szCs w:val="22"/>
        </w:rPr>
        <w:t xml:space="preserve">Identify which streams require hazardous waste licences (out of scope at launch)</w:t>
      </w:r>
    </w:p>
    <w:p>
      <w:pPr>
        <w:pStyle w:val="ListParagraph"/>
        <w:numPr>
          <w:ilvl w:val="0"/>
          <w:numId w:val="2"/>
        </w:numPr>
        <w:spacing w:before="60" w:after="60"/>
      </w:pPr>
      <w:r>
        <w:rPr>
          <w:rFonts w:ascii="Arial" w:cs="Arial" w:eastAsia="Arial" w:hAnsi="Arial"/>
          <w:b w:val="false"/>
          <w:bCs w:val="false"/>
          <w:color w:val="1A1A1A"/>
          <w:sz w:val="22"/>
          <w:szCs w:val="22"/>
        </w:rPr>
        <w:t xml:space="preserve">Commission 2-hour consultation with Austrian environmental law firm</w:t>
      </w:r>
    </w:p>
    <w:p>
      <w:pPr>
        <w:pStyle w:val="ListParagraph"/>
        <w:numPr>
          <w:ilvl w:val="0"/>
          <w:numId w:val="2"/>
        </w:numPr>
        <w:spacing w:before="60" w:after="60"/>
      </w:pPr>
      <w:r>
        <w:rPr>
          <w:rFonts w:ascii="Arial" w:cs="Arial" w:eastAsia="Arial" w:hAnsi="Arial"/>
          <w:b w:val="false"/>
          <w:bCs w:val="false"/>
          <w:color w:val="1A1A1A"/>
          <w:sz w:val="22"/>
          <w:szCs w:val="22"/>
        </w:rPr>
        <w:t xml:space="preserve">Draft legal framework memo: what CirclOS can and cannot facilitate at MVP</w:t>
      </w:r>
    </w:p>
    <w:p>
      <w:pPr>
        <w:pStyle w:val="ListParagraph"/>
        <w:numPr>
          <w:ilvl w:val="0"/>
          <w:numId w:val="2"/>
        </w:numPr>
        <w:spacing w:before="60" w:after="60"/>
      </w:pPr>
      <w:r>
        <w:rPr>
          <w:rFonts w:ascii="Arial" w:cs="Arial" w:eastAsia="Arial" w:hAnsi="Arial"/>
          <w:b w:val="false"/>
          <w:bCs w:val="false"/>
          <w:color w:val="1A1A1A"/>
          <w:sz w:val="22"/>
          <w:szCs w:val="22"/>
        </w:rPr>
        <w:t xml:space="preserve">Deliverable: Legal framework memo + approved waste taxonomy</w:t>
      </w:r>
    </w:p>
    <w:p>
      <w:pPr>
        <w:spacing w:before="80" w:after="0"/>
      </w:pPr>
      <w:r>
        <w:t xml:space="preserve"/>
      </w:r>
    </w:p>
    <w:p>
      <w:pPr>
        <w:spacing w:before="80" w:after="80"/>
      </w:pPr>
      <w:r>
        <w:rPr>
          <w:rFonts w:ascii="Arial" w:cs="Arial" w:eastAsia="Arial" w:hAnsi="Arial"/>
          <w:b/>
          <w:bCs/>
          <w:color w:val="1A1A1A"/>
          <w:sz w:val="22"/>
          <w:szCs w:val="22"/>
        </w:rPr>
        <w:t xml:space="preserve">Week 2 — Data model design &amp; privacy architecture</w:t>
      </w:r>
    </w:p>
    <w:p>
      <w:pPr>
        <w:pStyle w:val="ListParagraph"/>
        <w:numPr>
          <w:ilvl w:val="0"/>
          <w:numId w:val="2"/>
        </w:numPr>
        <w:spacing w:before="60" w:after="60"/>
      </w:pPr>
      <w:r>
        <w:rPr>
          <w:rFonts w:ascii="Arial" w:cs="Arial" w:eastAsia="Arial" w:hAnsi="Arial"/>
          <w:b w:val="false"/>
          <w:bCs w:val="false"/>
          <w:color w:val="1A1A1A"/>
          <w:sz w:val="22"/>
          <w:szCs w:val="22"/>
        </w:rPr>
        <w:t xml:space="preserve">Design core entity schema: Company, MaterialStream, Listing, Transaction, ComplianceClaim, EvidenceRecord</w:t>
      </w:r>
    </w:p>
    <w:p>
      <w:pPr>
        <w:pStyle w:val="ListParagraph"/>
        <w:numPr>
          <w:ilvl w:val="0"/>
          <w:numId w:val="2"/>
        </w:numPr>
        <w:spacing w:before="60" w:after="60"/>
      </w:pPr>
      <w:r>
        <w:rPr>
          <w:rFonts w:ascii="Arial" w:cs="Arial" w:eastAsia="Arial" w:hAnsi="Arial"/>
          <w:b w:val="false"/>
          <w:bCs w:val="false"/>
          <w:color w:val="1A1A1A"/>
          <w:sz w:val="22"/>
          <w:szCs w:val="22"/>
        </w:rPr>
        <w:t xml:space="preserve">Define 3-tier data visibility: Private / Anonymised / Public</w:t>
      </w:r>
    </w:p>
    <w:p>
      <w:pPr>
        <w:pStyle w:val="ListParagraph"/>
        <w:numPr>
          <w:ilvl w:val="0"/>
          <w:numId w:val="2"/>
        </w:numPr>
        <w:spacing w:before="60" w:after="60"/>
      </w:pPr>
      <w:r>
        <w:rPr>
          <w:rFonts w:ascii="Arial" w:cs="Arial" w:eastAsia="Arial" w:hAnsi="Arial"/>
          <w:b w:val="false"/>
          <w:bCs w:val="false"/>
          <w:color w:val="1A1A1A"/>
          <w:sz w:val="22"/>
          <w:szCs w:val="22"/>
        </w:rPr>
        <w:t xml:space="preserve">Design evidence record schema (immutable, timestamped) — this serves the compliance tool later</w:t>
      </w:r>
    </w:p>
    <w:p>
      <w:pPr>
        <w:pStyle w:val="ListParagraph"/>
        <w:numPr>
          <w:ilvl w:val="0"/>
          <w:numId w:val="2"/>
        </w:numPr>
        <w:spacing w:before="60" w:after="60"/>
      </w:pPr>
      <w:r>
        <w:rPr>
          <w:rFonts w:ascii="Arial" w:cs="Arial" w:eastAsia="Arial" w:hAnsi="Arial"/>
          <w:b w:val="false"/>
          <w:bCs w:val="false"/>
          <w:color w:val="1A1A1A"/>
          <w:sz w:val="22"/>
          <w:szCs w:val="22"/>
        </w:rPr>
        <w:t xml:space="preserve">Document GDPR data flows for B2B processor agreements</w:t>
      </w:r>
    </w:p>
    <w:p>
      <w:pPr>
        <w:pStyle w:val="ListParagraph"/>
        <w:numPr>
          <w:ilvl w:val="0"/>
          <w:numId w:val="2"/>
        </w:numPr>
        <w:spacing w:before="60" w:after="60"/>
      </w:pPr>
      <w:r>
        <w:rPr>
          <w:rFonts w:ascii="Arial" w:cs="Arial" w:eastAsia="Arial" w:hAnsi="Arial"/>
          <w:b w:val="false"/>
          <w:bCs w:val="false"/>
          <w:color w:val="1A1A1A"/>
          <w:sz w:val="22"/>
          <w:szCs w:val="22"/>
        </w:rPr>
        <w:t xml:space="preserve">Deliverable: Entity-relationship diagram + data privacy map</w:t>
      </w:r>
    </w:p>
    <w:p>
      <w:pPr>
        <w:spacing w:before="80" w:after="0"/>
      </w:pPr>
      <w:r>
        <w:t xml:space="preserve"/>
      </w:r>
    </w:p>
    <w:p>
      <w:pPr>
        <w:spacing w:before="80" w:after="80"/>
      </w:pPr>
      <w:r>
        <w:rPr>
          <w:rFonts w:ascii="Arial" w:cs="Arial" w:eastAsia="Arial" w:hAnsi="Arial"/>
          <w:b/>
          <w:bCs/>
          <w:color w:val="1A1A1A"/>
          <w:sz w:val="22"/>
          <w:szCs w:val="22"/>
        </w:rPr>
        <w:t xml:space="preserve">Week 3 — Tech stack decision &amp; team roles</w:t>
      </w:r>
    </w:p>
    <w:p>
      <w:pPr>
        <w:pStyle w:val="ListParagraph"/>
        <w:numPr>
          <w:ilvl w:val="0"/>
          <w:numId w:val="2"/>
        </w:numPr>
        <w:spacing w:before="60" w:after="60"/>
      </w:pPr>
      <w:r>
        <w:rPr>
          <w:rFonts w:ascii="Arial" w:cs="Arial" w:eastAsia="Arial" w:hAnsi="Arial"/>
          <w:b w:val="false"/>
          <w:bCs w:val="false"/>
          <w:color w:val="1A1A1A"/>
          <w:sz w:val="22"/>
          <w:szCs w:val="22"/>
        </w:rPr>
        <w:t xml:space="preserve">Commit to Python/FastAPI + React + PostgreSQL+pgvector + AWS Frankfurt</w:t>
      </w:r>
    </w:p>
    <w:p>
      <w:pPr>
        <w:pStyle w:val="ListParagraph"/>
        <w:numPr>
          <w:ilvl w:val="0"/>
          <w:numId w:val="2"/>
        </w:numPr>
        <w:spacing w:before="60" w:after="60"/>
      </w:pPr>
      <w:r>
        <w:rPr>
          <w:rFonts w:ascii="Arial" w:cs="Arial" w:eastAsia="Arial" w:hAnsi="Arial"/>
          <w:b w:val="false"/>
          <w:bCs w:val="false"/>
          <w:color w:val="1A1A1A"/>
          <w:sz w:val="22"/>
          <w:szCs w:val="22"/>
        </w:rPr>
        <w:t xml:space="preserve">Set up GitHub repository, CI/CD pipeline, Linear for project management</w:t>
      </w:r>
    </w:p>
    <w:p>
      <w:pPr>
        <w:pStyle w:val="ListParagraph"/>
        <w:numPr>
          <w:ilvl w:val="0"/>
          <w:numId w:val="2"/>
        </w:numPr>
        <w:spacing w:before="60" w:after="60"/>
      </w:pPr>
      <w:r>
        <w:rPr>
          <w:rFonts w:ascii="Arial" w:cs="Arial" w:eastAsia="Arial" w:hAnsi="Arial"/>
          <w:b w:val="false"/>
          <w:bCs w:val="false"/>
          <w:color w:val="1A1A1A"/>
          <w:sz w:val="22"/>
          <w:szCs w:val="22"/>
        </w:rPr>
        <w:t xml:space="preserve">Define team role matrix: who builds, who sells, who handles legal/compliance research</w:t>
      </w:r>
    </w:p>
    <w:p>
      <w:pPr>
        <w:pStyle w:val="ListParagraph"/>
        <w:numPr>
          <w:ilvl w:val="0"/>
          <w:numId w:val="2"/>
        </w:numPr>
        <w:spacing w:before="60" w:after="60"/>
      </w:pPr>
      <w:r>
        <w:rPr>
          <w:rFonts w:ascii="Arial" w:cs="Arial" w:eastAsia="Arial" w:hAnsi="Arial"/>
          <w:b w:val="false"/>
          <w:bCs w:val="false"/>
          <w:color w:val="1A1A1A"/>
          <w:sz w:val="22"/>
          <w:szCs w:val="22"/>
        </w:rPr>
        <w:t xml:space="preserve">Agree explicit weekly time allocations — e.g. 60% build / 40% partner outreach</w:t>
      </w:r>
    </w:p>
    <w:p>
      <w:pPr>
        <w:pStyle w:val="ListParagraph"/>
        <w:numPr>
          <w:ilvl w:val="0"/>
          <w:numId w:val="2"/>
        </w:numPr>
        <w:spacing w:before="60" w:after="60"/>
      </w:pPr>
      <w:r>
        <w:rPr>
          <w:rFonts w:ascii="Arial" w:cs="Arial" w:eastAsia="Arial" w:hAnsi="Arial"/>
          <w:b w:val="false"/>
          <w:bCs w:val="false"/>
          <w:color w:val="1A1A1A"/>
          <w:sz w:val="22"/>
          <w:szCs w:val="22"/>
        </w:rPr>
        <w:t xml:space="preserve">Deliverable: Architecture decision record + team role matrix</w:t>
      </w:r>
    </w:p>
    <w:p>
      <w:pPr>
        <w:spacing w:before="80" w:after="0"/>
      </w:pPr>
      <w:r>
        <w:t xml:space="preserve"/>
      </w:r>
    </w:p>
    <w:p>
      <w:pPr>
        <w:spacing w:before="80" w:after="80"/>
      </w:pPr>
      <w:r>
        <w:rPr>
          <w:rFonts w:ascii="Arial" w:cs="Arial" w:eastAsia="Arial" w:hAnsi="Arial"/>
          <w:b/>
          <w:bCs/>
          <w:color w:val="1A1A1A"/>
          <w:sz w:val="22"/>
          <w:szCs w:val="22"/>
        </w:rPr>
        <w:t xml:space="preserve">Week 4 — Green Tech Valley outreach — 5+ meetings booked</w:t>
      </w:r>
    </w:p>
    <w:p>
      <w:pPr>
        <w:pStyle w:val="ListParagraph"/>
        <w:numPr>
          <w:ilvl w:val="0"/>
          <w:numId w:val="2"/>
        </w:numPr>
        <w:spacing w:before="60" w:after="60"/>
      </w:pPr>
      <w:r>
        <w:rPr>
          <w:rFonts w:ascii="Arial" w:cs="Arial" w:eastAsia="Arial" w:hAnsi="Arial"/>
          <w:b w:val="false"/>
          <w:bCs w:val="false"/>
          <w:color w:val="1A1A1A"/>
          <w:sz w:val="22"/>
          <w:szCs w:val="22"/>
        </w:rPr>
        <w:t xml:space="preserve">Contact Green Tech Valley cluster management (offer free industrial symbiosis pilot framing)</w:t>
      </w:r>
    </w:p>
    <w:p>
      <w:pPr>
        <w:pStyle w:val="ListParagraph"/>
        <w:numPr>
          <w:ilvl w:val="0"/>
          <w:numId w:val="2"/>
        </w:numPr>
        <w:spacing w:before="60" w:after="60"/>
      </w:pPr>
      <w:r>
        <w:rPr>
          <w:rFonts w:ascii="Arial" w:cs="Arial" w:eastAsia="Arial" w:hAnsi="Arial"/>
          <w:b w:val="false"/>
          <w:bCs w:val="false"/>
          <w:color w:val="1A1A1A"/>
          <w:sz w:val="22"/>
          <w:szCs w:val="22"/>
        </w:rPr>
        <w:t xml:space="preserve">Contact Wood K plus St. Veit (wood waste research participants)</w:t>
      </w:r>
    </w:p>
    <w:p>
      <w:pPr>
        <w:pStyle w:val="ListParagraph"/>
        <w:numPr>
          <w:ilvl w:val="0"/>
          <w:numId w:val="2"/>
        </w:numPr>
        <w:spacing w:before="60" w:after="60"/>
      </w:pPr>
      <w:r>
        <w:rPr>
          <w:rFonts w:ascii="Arial" w:cs="Arial" w:eastAsia="Arial" w:hAnsi="Arial"/>
          <w:b w:val="false"/>
          <w:bCs w:val="false"/>
          <w:color w:val="1A1A1A"/>
          <w:sz w:val="22"/>
          <w:szCs w:val="22"/>
        </w:rPr>
        <w:t xml:space="preserve">Contact WKO Kärnten — request list of SMEs asking about green claims compliance</w:t>
      </w:r>
    </w:p>
    <w:p>
      <w:pPr>
        <w:pStyle w:val="ListParagraph"/>
        <w:numPr>
          <w:ilvl w:val="0"/>
          <w:numId w:val="2"/>
        </w:numPr>
        <w:spacing w:before="60" w:after="60"/>
      </w:pPr>
      <w:r>
        <w:rPr>
          <w:rFonts w:ascii="Arial" w:cs="Arial" w:eastAsia="Arial" w:hAnsi="Arial"/>
          <w:b w:val="false"/>
          <w:bCs w:val="false"/>
          <w:color w:val="1A1A1A"/>
          <w:sz w:val="22"/>
          <w:szCs w:val="22"/>
        </w:rPr>
        <w:t xml:space="preserve">Prepare one-page waste audit proposal: free 60-minute session, no product pitch</w:t>
      </w:r>
    </w:p>
    <w:p>
      <w:pPr>
        <w:pStyle w:val="ListParagraph"/>
        <w:numPr>
          <w:ilvl w:val="0"/>
          <w:numId w:val="2"/>
        </w:numPr>
        <w:spacing w:before="60" w:after="60"/>
      </w:pPr>
      <w:r>
        <w:rPr>
          <w:rFonts w:ascii="Arial" w:cs="Arial" w:eastAsia="Arial" w:hAnsi="Arial"/>
          <w:b w:val="false"/>
          <w:bCs w:val="false"/>
          <w:color w:val="1A1A1A"/>
          <w:sz w:val="22"/>
          <w:szCs w:val="22"/>
        </w:rPr>
        <w:t xml:space="preserve">Deliverable: 5+ meetings booked, waste audit proposal document</w:t>
      </w:r>
    </w:p>
    <w:p>
      <w:pPr>
        <w:spacing w:before="160" w:after="0"/>
      </w:pPr>
      <w:r>
        <w:t xml:space="preserve"/>
      </w:r>
    </w:p>
    <w:p>
      <w:pPr>
        <w:pStyle w:val="Heading2"/>
        <w:spacing w:before="280" w:after="120"/>
      </w:pPr>
      <w:r>
        <w:rPr>
          <w:rFonts w:ascii="Arial" w:cs="Arial" w:eastAsia="Arial" w:hAnsi="Arial"/>
          <w:b/>
          <w:bCs/>
          <w:color w:val="1B3A6B"/>
          <w:sz w:val="28"/>
          <w:szCs w:val="28"/>
        </w:rPr>
        <w:t xml:space="preserve">Phase 2 — Weeks 5–9 (November 2026): Anchor Partners</w:t>
      </w:r>
    </w:p>
    <w:p>
      <w:pPr>
        <w:spacing w:before="80" w:after="0"/>
      </w:pPr>
      <w:r>
        <w:t xml:space="preserve"/>
      </w:r>
    </w:p>
    <w:p>
      <w:pPr>
        <w:spacing w:before="80" w:after="80"/>
      </w:pPr>
      <w:r>
        <w:rPr>
          <w:rFonts w:ascii="Arial" w:cs="Arial" w:eastAsia="Arial" w:hAnsi="Arial"/>
          <w:b/>
          <w:bCs/>
          <w:color w:val="1A1A1A"/>
          <w:sz w:val="22"/>
          <w:szCs w:val="22"/>
        </w:rPr>
        <w:t xml:space="preserve">Weeks 5–6 — Waste audits with 5–8 Carinthian companies</w:t>
      </w:r>
    </w:p>
    <w:p>
      <w:pPr>
        <w:pStyle w:val="ListParagraph"/>
        <w:numPr>
          <w:ilvl w:val="0"/>
          <w:numId w:val="2"/>
        </w:numPr>
        <w:spacing w:before="60" w:after="60"/>
      </w:pPr>
      <w:r>
        <w:rPr>
          <w:rFonts w:ascii="Arial" w:cs="Arial" w:eastAsia="Arial" w:hAnsi="Arial"/>
          <w:b w:val="false"/>
          <w:bCs w:val="false"/>
          <w:color w:val="1A1A1A"/>
          <w:sz w:val="22"/>
          <w:szCs w:val="22"/>
        </w:rPr>
        <w:t xml:space="preserve">Conduct 60-minute on-site waste stream mapping sessions at each company</w:t>
      </w:r>
    </w:p>
    <w:p>
      <w:pPr>
        <w:pStyle w:val="ListParagraph"/>
        <w:numPr>
          <w:ilvl w:val="0"/>
          <w:numId w:val="2"/>
        </w:numPr>
        <w:spacing w:before="60" w:after="60"/>
      </w:pPr>
      <w:r>
        <w:rPr>
          <w:rFonts w:ascii="Arial" w:cs="Arial" w:eastAsia="Arial" w:hAnsi="Arial"/>
          <w:b w:val="false"/>
          <w:bCs w:val="false"/>
          <w:color w:val="1A1A1A"/>
          <w:sz w:val="22"/>
          <w:szCs w:val="22"/>
        </w:rPr>
        <w:t xml:space="preserve">Document: material type, monthly volume, disposal cost/tonne, current method, desired outcome</w:t>
      </w:r>
    </w:p>
    <w:p>
      <w:pPr>
        <w:pStyle w:val="ListParagraph"/>
        <w:numPr>
          <w:ilvl w:val="0"/>
          <w:numId w:val="2"/>
        </w:numPr>
        <w:spacing w:before="60" w:after="60"/>
      </w:pPr>
      <w:r>
        <w:rPr>
          <w:rFonts w:ascii="Arial" w:cs="Arial" w:eastAsia="Arial" w:hAnsi="Arial"/>
          <w:b w:val="false"/>
          <w:bCs w:val="false"/>
          <w:color w:val="1A1A1A"/>
          <w:sz w:val="22"/>
          <w:szCs w:val="22"/>
        </w:rPr>
        <w:t xml:space="preserve">Test pricing sensitivity at end of each session: €49/month vs €99/month vs €199/month</w:t>
      </w:r>
    </w:p>
    <w:p>
      <w:pPr>
        <w:pStyle w:val="ListParagraph"/>
        <w:numPr>
          <w:ilvl w:val="0"/>
          <w:numId w:val="2"/>
        </w:numPr>
        <w:spacing w:before="60" w:after="60"/>
      </w:pPr>
      <w:r>
        <w:rPr>
          <w:rFonts w:ascii="Arial" w:cs="Arial" w:eastAsia="Arial" w:hAnsi="Arial"/>
          <w:b w:val="false"/>
          <w:bCs w:val="false"/>
          <w:color w:val="1A1A1A"/>
          <w:sz w:val="22"/>
          <w:szCs w:val="22"/>
        </w:rPr>
        <w:t xml:space="preserve">Identify 3 founding member candidates with soft yes on participation</w:t>
      </w:r>
    </w:p>
    <w:p>
      <w:pPr>
        <w:pStyle w:val="ListParagraph"/>
        <w:numPr>
          <w:ilvl w:val="0"/>
          <w:numId w:val="2"/>
        </w:numPr>
        <w:spacing w:before="60" w:after="60"/>
      </w:pPr>
      <w:r>
        <w:rPr>
          <w:rFonts w:ascii="Arial" w:cs="Arial" w:eastAsia="Arial" w:hAnsi="Arial"/>
          <w:b w:val="false"/>
          <w:bCs w:val="false"/>
          <w:color w:val="1A1A1A"/>
          <w:sz w:val="22"/>
          <w:szCs w:val="22"/>
        </w:rPr>
        <w:t xml:space="preserve">Deliverable: 8 waste audit reports, 3 founding member soft commitments</w:t>
      </w:r>
    </w:p>
    <w:p>
      <w:pPr>
        <w:spacing w:before="80" w:after="0"/>
      </w:pPr>
      <w:r>
        <w:t xml:space="preserve"/>
      </w:r>
    </w:p>
    <w:p>
      <w:pPr>
        <w:spacing w:before="80" w:after="80"/>
      </w:pPr>
      <w:r>
        <w:rPr>
          <w:rFonts w:ascii="Arial" w:cs="Arial" w:eastAsia="Arial" w:hAnsi="Arial"/>
          <w:b/>
          <w:bCs/>
          <w:color w:val="1A1A1A"/>
          <w:sz w:val="22"/>
          <w:szCs w:val="22"/>
        </w:rPr>
        <w:t xml:space="preserve">Week 7 — Founding member LOIs &amp; manual compliance scans</w:t>
      </w:r>
    </w:p>
    <w:p>
      <w:pPr>
        <w:pStyle w:val="ListParagraph"/>
        <w:numPr>
          <w:ilvl w:val="0"/>
          <w:numId w:val="2"/>
        </w:numPr>
        <w:spacing w:before="60" w:after="60"/>
      </w:pPr>
      <w:r>
        <w:rPr>
          <w:rFonts w:ascii="Arial" w:cs="Arial" w:eastAsia="Arial" w:hAnsi="Arial"/>
          <w:b w:val="false"/>
          <w:bCs w:val="false"/>
          <w:color w:val="1A1A1A"/>
          <w:sz w:val="22"/>
          <w:szCs w:val="22"/>
        </w:rPr>
        <w:t xml:space="preserve">Convert 3 soft commitments to signed Letters of Intent (1-page, non-binding)</w:t>
      </w:r>
    </w:p>
    <w:p>
      <w:pPr>
        <w:pStyle w:val="ListParagraph"/>
        <w:numPr>
          <w:ilvl w:val="0"/>
          <w:numId w:val="2"/>
        </w:numPr>
        <w:spacing w:before="60" w:after="60"/>
      </w:pPr>
      <w:r>
        <w:rPr>
          <w:rFonts w:ascii="Arial" w:cs="Arial" w:eastAsia="Arial" w:hAnsi="Arial"/>
          <w:b w:val="false"/>
          <w:bCs w:val="false"/>
          <w:color w:val="1A1A1A"/>
          <w:sz w:val="22"/>
          <w:szCs w:val="22"/>
        </w:rPr>
        <w:t xml:space="preserve">Manually audit websites of all 8 companies for green marketing claims</w:t>
      </w:r>
    </w:p>
    <w:p>
      <w:pPr>
        <w:pStyle w:val="ListParagraph"/>
        <w:numPr>
          <w:ilvl w:val="0"/>
          <w:numId w:val="2"/>
        </w:numPr>
        <w:spacing w:before="60" w:after="60"/>
      </w:pPr>
      <w:r>
        <w:rPr>
          <w:rFonts w:ascii="Arial" w:cs="Arial" w:eastAsia="Arial" w:hAnsi="Arial"/>
          <w:b w:val="false"/>
          <w:bCs w:val="false"/>
          <w:color w:val="1A1A1A"/>
          <w:sz w:val="22"/>
          <w:szCs w:val="22"/>
        </w:rPr>
        <w:t xml:space="preserve">Document which claims have evidence and which are unsubstantiated under ECGT</w:t>
      </w:r>
    </w:p>
    <w:p>
      <w:pPr>
        <w:pStyle w:val="ListParagraph"/>
        <w:numPr>
          <w:ilvl w:val="0"/>
          <w:numId w:val="2"/>
        </w:numPr>
        <w:spacing w:before="60" w:after="60"/>
      </w:pPr>
      <w:r>
        <w:rPr>
          <w:rFonts w:ascii="Arial" w:cs="Arial" w:eastAsia="Arial" w:hAnsi="Arial"/>
          <w:b w:val="false"/>
          <w:bCs w:val="false"/>
          <w:color w:val="1A1A1A"/>
          <w:sz w:val="22"/>
          <w:szCs w:val="22"/>
        </w:rPr>
        <w:t xml:space="preserve">Also determine which SMEs are B2C vs B2B — this shapes how compliance urgency is framed to each</w:t>
      </w:r>
    </w:p>
    <w:p>
      <w:pPr>
        <w:pStyle w:val="ListParagraph"/>
        <w:numPr>
          <w:ilvl w:val="0"/>
          <w:numId w:val="2"/>
        </w:numPr>
        <w:spacing w:before="60" w:after="60"/>
      </w:pPr>
      <w:r>
        <w:rPr>
          <w:rFonts w:ascii="Arial" w:cs="Arial" w:eastAsia="Arial" w:hAnsi="Arial"/>
          <w:b w:val="false"/>
          <w:bCs w:val="false"/>
          <w:color w:val="1A1A1A"/>
          <w:sz w:val="22"/>
          <w:szCs w:val="22"/>
        </w:rPr>
        <w:t xml:space="preserve">Present findings to each company: ‘We found 4 claims that would be flagged from September 2026’</w:t>
      </w:r>
    </w:p>
    <w:p>
      <w:pPr>
        <w:pStyle w:val="ListParagraph"/>
        <w:numPr>
          <w:ilvl w:val="0"/>
          <w:numId w:val="2"/>
        </w:numPr>
        <w:spacing w:before="60" w:after="60"/>
      </w:pPr>
      <w:r>
        <w:rPr>
          <w:rFonts w:ascii="Arial" w:cs="Arial" w:eastAsia="Arial" w:hAnsi="Arial"/>
          <w:b w:val="false"/>
          <w:bCs w:val="false"/>
          <w:color w:val="1A1A1A"/>
          <w:sz w:val="22"/>
          <w:szCs w:val="22"/>
        </w:rPr>
        <w:t xml:space="preserve">Deliverable: 3 signed LOIs, 8 manual compliance audit reports</w:t>
      </w:r>
    </w:p>
    <w:p>
      <w:pPr>
        <w:spacing w:before="80" w:after="0"/>
      </w:pPr>
      <w:r>
        <w:t xml:space="preserve"/>
      </w:r>
    </w:p>
    <w:p>
      <w:pPr>
        <w:spacing w:before="80" w:after="80"/>
      </w:pPr>
      <w:r>
        <w:rPr>
          <w:rFonts w:ascii="Arial" w:cs="Arial" w:eastAsia="Arial" w:hAnsi="Arial"/>
          <w:b/>
          <w:bCs/>
          <w:color w:val="1A1A1A"/>
          <w:sz w:val="22"/>
          <w:szCs w:val="22"/>
        </w:rPr>
        <w:t xml:space="preserve">Weeks 8–9 — AI matching prototype on real data</w:t>
      </w:r>
    </w:p>
    <w:p>
      <w:pPr>
        <w:pStyle w:val="ListParagraph"/>
        <w:numPr>
          <w:ilvl w:val="0"/>
          <w:numId w:val="2"/>
        </w:numPr>
        <w:spacing w:before="60" w:after="60"/>
      </w:pPr>
      <w:r>
        <w:rPr>
          <w:rFonts w:ascii="Arial" w:cs="Arial" w:eastAsia="Arial" w:hAnsi="Arial"/>
          <w:b w:val="false"/>
          <w:bCs w:val="false"/>
          <w:color w:val="1A1A1A"/>
          <w:sz w:val="22"/>
          <w:szCs w:val="22"/>
        </w:rPr>
        <w:t xml:space="preserve">Build material compatibility matrix (rule-based matching, stage 1)</w:t>
      </w:r>
    </w:p>
    <w:p>
      <w:pPr>
        <w:pStyle w:val="ListParagraph"/>
        <w:numPr>
          <w:ilvl w:val="0"/>
          <w:numId w:val="2"/>
        </w:numPr>
        <w:spacing w:before="60" w:after="60"/>
      </w:pPr>
      <w:r>
        <w:rPr>
          <w:rFonts w:ascii="Arial" w:cs="Arial" w:eastAsia="Arial" w:hAnsi="Arial"/>
          <w:b w:val="false"/>
          <w:bCs w:val="false"/>
          <w:color w:val="1A1A1A"/>
          <w:sz w:val="22"/>
          <w:szCs w:val="22"/>
        </w:rPr>
        <w:t xml:space="preserve">Encode waste audit data into the database schema from week 2</w:t>
      </w:r>
    </w:p>
    <w:p>
      <w:pPr>
        <w:pStyle w:val="ListParagraph"/>
        <w:numPr>
          <w:ilvl w:val="0"/>
          <w:numId w:val="2"/>
        </w:numPr>
        <w:spacing w:before="60" w:after="60"/>
      </w:pPr>
      <w:r>
        <w:rPr>
          <w:rFonts w:ascii="Arial" w:cs="Arial" w:eastAsia="Arial" w:hAnsi="Arial"/>
          <w:b w:val="false"/>
          <w:bCs w:val="false"/>
          <w:color w:val="1A1A1A"/>
          <w:sz w:val="22"/>
          <w:szCs w:val="22"/>
        </w:rPr>
        <w:t xml:space="preserve">Build matching script: takes a listing, returns ranked potential recipients</w:t>
      </w:r>
    </w:p>
    <w:p>
      <w:pPr>
        <w:pStyle w:val="ListParagraph"/>
        <w:numPr>
          <w:ilvl w:val="0"/>
          <w:numId w:val="2"/>
        </w:numPr>
        <w:spacing w:before="60" w:after="60"/>
      </w:pPr>
      <w:r>
        <w:rPr>
          <w:rFonts w:ascii="Arial" w:cs="Arial" w:eastAsia="Arial" w:hAnsi="Arial"/>
          <w:b w:val="false"/>
          <w:bCs w:val="false"/>
          <w:color w:val="1A1A1A"/>
          <w:sz w:val="22"/>
          <w:szCs w:val="22"/>
        </w:rPr>
        <w:t xml:space="preserve">Test on real companies: does it correctly match Company A’s wood offcuts to Company C’s inputs?</w:t>
      </w:r>
    </w:p>
    <w:p>
      <w:pPr>
        <w:pStyle w:val="ListParagraph"/>
        <w:numPr>
          <w:ilvl w:val="0"/>
          <w:numId w:val="2"/>
        </w:numPr>
        <w:spacing w:before="60" w:after="60"/>
      </w:pPr>
      <w:r>
        <w:rPr>
          <w:rFonts w:ascii="Arial" w:cs="Arial" w:eastAsia="Arial" w:hAnsi="Arial"/>
          <w:b w:val="false"/>
          <w:bCs w:val="false"/>
          <w:color w:val="1A1A1A"/>
          <w:sz w:val="22"/>
          <w:szCs w:val="22"/>
        </w:rPr>
        <w:t xml:space="preserve">Set up dev environment, staging server, CI/CD pipeline</w:t>
      </w:r>
    </w:p>
    <w:p>
      <w:pPr>
        <w:pStyle w:val="ListParagraph"/>
        <w:numPr>
          <w:ilvl w:val="0"/>
          <w:numId w:val="2"/>
        </w:numPr>
        <w:spacing w:before="60" w:after="60"/>
      </w:pPr>
      <w:r>
        <w:rPr>
          <w:rFonts w:ascii="Arial" w:cs="Arial" w:eastAsia="Arial" w:hAnsi="Arial"/>
          <w:b w:val="false"/>
          <w:bCs w:val="false"/>
          <w:color w:val="1A1A1A"/>
          <w:sz w:val="22"/>
          <w:szCs w:val="22"/>
        </w:rPr>
        <w:t xml:space="preserve">Deliverable: Working matching script on real data, dev environment live</w:t>
      </w:r>
    </w:p>
    <w:p>
      <w:pPr>
        <w:spacing w:before="160" w:after="0"/>
      </w:pPr>
      <w:r>
        <w:t xml:space="preserve"/>
      </w:r>
    </w:p>
    <w:p>
      <w:pPr>
        <w:pStyle w:val="Heading2"/>
        <w:spacing w:before="280" w:after="120"/>
      </w:pPr>
      <w:r>
        <w:rPr>
          <w:rFonts w:ascii="Arial" w:cs="Arial" w:eastAsia="Arial" w:hAnsi="Arial"/>
          <w:b/>
          <w:bCs/>
          <w:color w:val="1B3A6B"/>
          <w:sz w:val="28"/>
          <w:szCs w:val="28"/>
        </w:rPr>
        <w:t xml:space="preserve">Phase 3 — Weeks 10–18 (December 2026 – February 2027): Waste Exchange MVP</w:t>
      </w:r>
    </w:p>
    <w:p>
      <w:pPr>
        <w:spacing w:before="80" w:after="0"/>
      </w:pPr>
      <w:r>
        <w:t xml:space="preserve"/>
      </w:r>
    </w:p>
    <w:p>
      <w:pPr>
        <w:spacing w:before="80" w:after="80"/>
      </w:pPr>
      <w:r>
        <w:rPr>
          <w:rFonts w:ascii="Arial" w:cs="Arial" w:eastAsia="Arial" w:hAnsi="Arial"/>
          <w:b/>
          <w:bCs/>
          <w:color w:val="1A1A1A"/>
          <w:sz w:val="22"/>
          <w:szCs w:val="22"/>
        </w:rPr>
        <w:t xml:space="preserve">Weeks 10–12 — Core platform build: profiles, listings, matching</w:t>
      </w:r>
    </w:p>
    <w:p>
      <w:pPr>
        <w:pStyle w:val="ListParagraph"/>
        <w:numPr>
          <w:ilvl w:val="0"/>
          <w:numId w:val="2"/>
        </w:numPr>
        <w:spacing w:before="60" w:after="60"/>
      </w:pPr>
      <w:r>
        <w:rPr>
          <w:rFonts w:ascii="Arial" w:cs="Arial" w:eastAsia="Arial" w:hAnsi="Arial"/>
          <w:b w:val="false"/>
          <w:bCs w:val="false"/>
          <w:color w:val="1A1A1A"/>
          <w:sz w:val="22"/>
          <w:szCs w:val="22"/>
        </w:rPr>
        <w:t xml:space="preserve">Week 10: company profiles, authentication, admin panel</w:t>
      </w:r>
    </w:p>
    <w:p>
      <w:pPr>
        <w:pStyle w:val="ListParagraph"/>
        <w:numPr>
          <w:ilvl w:val="0"/>
          <w:numId w:val="2"/>
        </w:numPr>
        <w:spacing w:before="60" w:after="60"/>
      </w:pPr>
      <w:r>
        <w:rPr>
          <w:rFonts w:ascii="Arial" w:cs="Arial" w:eastAsia="Arial" w:hAnsi="Arial"/>
          <w:b w:val="false"/>
          <w:bCs w:val="false"/>
          <w:color w:val="1A1A1A"/>
          <w:sz w:val="22"/>
          <w:szCs w:val="22"/>
        </w:rPr>
        <w:t xml:space="preserve">Week 11: material listing form (taxonomy, volume, schedule, outcome, geographic range)</w:t>
      </w:r>
    </w:p>
    <w:p>
      <w:pPr>
        <w:pStyle w:val="ListParagraph"/>
        <w:numPr>
          <w:ilvl w:val="0"/>
          <w:numId w:val="2"/>
        </w:numPr>
        <w:spacing w:before="60" w:after="60"/>
      </w:pPr>
      <w:r>
        <w:rPr>
          <w:rFonts w:ascii="Arial" w:cs="Arial" w:eastAsia="Arial" w:hAnsi="Arial"/>
          <w:b w:val="false"/>
          <w:bCs w:val="false"/>
          <w:color w:val="1A1A1A"/>
          <w:sz w:val="22"/>
          <w:szCs w:val="22"/>
        </w:rPr>
        <w:t xml:space="preserve">Week 12: matching engine connected to listings — email matching notifications to both parties</w:t>
      </w:r>
    </w:p>
    <w:p>
      <w:pPr>
        <w:pStyle w:val="ListParagraph"/>
        <w:numPr>
          <w:ilvl w:val="0"/>
          <w:numId w:val="2"/>
        </w:numPr>
        <w:spacing w:before="60" w:after="60"/>
      </w:pPr>
      <w:r>
        <w:rPr>
          <w:rFonts w:ascii="Arial" w:cs="Arial" w:eastAsia="Arial" w:hAnsi="Arial"/>
          <w:b w:val="false"/>
          <w:bCs w:val="false"/>
          <w:color w:val="1A1A1A"/>
          <w:sz w:val="22"/>
          <w:szCs w:val="22"/>
        </w:rPr>
        <w:t xml:space="preserve">All features validated by 3 founding members before shipping — they are the QA team</w:t>
      </w:r>
    </w:p>
    <w:p>
      <w:pPr>
        <w:pStyle w:val="ListParagraph"/>
        <w:numPr>
          <w:ilvl w:val="0"/>
          <w:numId w:val="2"/>
        </w:numPr>
        <w:spacing w:before="60" w:after="60"/>
      </w:pPr>
      <w:r>
        <w:rPr>
          <w:rFonts w:ascii="Arial" w:cs="Arial" w:eastAsia="Arial" w:hAnsi="Arial"/>
          <w:b w:val="false"/>
          <w:bCs w:val="false"/>
          <w:color w:val="1A1A1A"/>
          <w:sz w:val="22"/>
          <w:szCs w:val="22"/>
        </w:rPr>
        <w:t xml:space="preserve">Deliverable: Working platform, listings + email matching, tested by founding members</w:t>
      </w:r>
    </w:p>
    <w:p>
      <w:pPr>
        <w:spacing w:before="80" w:after="0"/>
      </w:pPr>
      <w:r>
        <w:t xml:space="preserve"/>
      </w:r>
    </w:p>
    <w:p>
      <w:pPr>
        <w:spacing w:before="80" w:after="80"/>
      </w:pPr>
      <w:r>
        <w:rPr>
          <w:rFonts w:ascii="Arial" w:cs="Arial" w:eastAsia="Arial" w:hAnsi="Arial"/>
          <w:b/>
          <w:bCs/>
          <w:color w:val="1A1A1A"/>
          <w:sz w:val="22"/>
          <w:szCs w:val="22"/>
        </w:rPr>
        <w:t xml:space="preserve">Weeks 13–14 — First live transactions &amp; evidence record system</w:t>
      </w:r>
    </w:p>
    <w:p>
      <w:pPr>
        <w:pStyle w:val="ListParagraph"/>
        <w:numPr>
          <w:ilvl w:val="0"/>
          <w:numId w:val="2"/>
        </w:numPr>
        <w:spacing w:before="60" w:after="60"/>
      </w:pPr>
      <w:r>
        <w:rPr>
          <w:rFonts w:ascii="Arial" w:cs="Arial" w:eastAsia="Arial" w:hAnsi="Arial"/>
          <w:b w:val="false"/>
          <w:bCs w:val="false"/>
          <w:color w:val="1A1A1A"/>
          <w:sz w:val="22"/>
          <w:szCs w:val="22"/>
        </w:rPr>
        <w:t xml:space="preserve">Personally facilitate first 2–3 transactions (call both parties, help negotiate terms)</w:t>
      </w:r>
    </w:p>
    <w:p>
      <w:pPr>
        <w:pStyle w:val="ListParagraph"/>
        <w:numPr>
          <w:ilvl w:val="0"/>
          <w:numId w:val="2"/>
        </w:numPr>
        <w:spacing w:before="60" w:after="60"/>
      </w:pPr>
      <w:r>
        <w:rPr>
          <w:rFonts w:ascii="Arial" w:cs="Arial" w:eastAsia="Arial" w:hAnsi="Arial"/>
          <w:b w:val="false"/>
          <w:bCs w:val="false"/>
          <w:color w:val="1A1A1A"/>
          <w:sz w:val="22"/>
          <w:szCs w:val="22"/>
        </w:rPr>
        <w:t xml:space="preserve">Build evidence record export: PDF with timestamp, material type, volume, companies, transfer confirmation</w:t>
      </w:r>
    </w:p>
    <w:p>
      <w:pPr>
        <w:pStyle w:val="ListParagraph"/>
        <w:numPr>
          <w:ilvl w:val="0"/>
          <w:numId w:val="2"/>
        </w:numPr>
        <w:spacing w:before="60" w:after="60"/>
      </w:pPr>
      <w:r>
        <w:rPr>
          <w:rFonts w:ascii="Arial" w:cs="Arial" w:eastAsia="Arial" w:hAnsi="Arial"/>
          <w:b w:val="false"/>
          <w:bCs w:val="false"/>
          <w:color w:val="1A1A1A"/>
          <w:sz w:val="22"/>
          <w:szCs w:val="22"/>
        </w:rPr>
        <w:t xml:space="preserve">Show evidence PDF to founding members: ‘Could you use this to substantiate a green claim?’</w:t>
      </w:r>
    </w:p>
    <w:p>
      <w:pPr>
        <w:pStyle w:val="ListParagraph"/>
        <w:numPr>
          <w:ilvl w:val="0"/>
          <w:numId w:val="2"/>
        </w:numPr>
        <w:spacing w:before="60" w:after="60"/>
      </w:pPr>
      <w:r>
        <w:rPr>
          <w:rFonts w:ascii="Arial" w:cs="Arial" w:eastAsia="Arial" w:hAnsi="Arial"/>
          <w:b w:val="false"/>
          <w:bCs w:val="false"/>
          <w:color w:val="1A1A1A"/>
          <w:sz w:val="22"/>
          <w:szCs w:val="22"/>
        </w:rPr>
        <w:t xml:space="preserve">This question’s answer shapes the compliance dashboard design in Phase 4</w:t>
      </w:r>
    </w:p>
    <w:p>
      <w:pPr>
        <w:pStyle w:val="ListParagraph"/>
        <w:numPr>
          <w:ilvl w:val="0"/>
          <w:numId w:val="2"/>
        </w:numPr>
        <w:spacing w:before="60" w:after="60"/>
      </w:pPr>
      <w:r>
        <w:rPr>
          <w:rFonts w:ascii="Arial" w:cs="Arial" w:eastAsia="Arial" w:hAnsi="Arial"/>
          <w:b w:val="false"/>
          <w:bCs w:val="false"/>
          <w:color w:val="1A1A1A"/>
          <w:sz w:val="22"/>
          <w:szCs w:val="22"/>
        </w:rPr>
        <w:t xml:space="preserve">Deliverable: 3+ real transactions, evidence record PDF validated by founding members</w:t>
      </w:r>
    </w:p>
    <w:p>
      <w:pPr>
        <w:spacing w:before="80" w:after="0"/>
      </w:pPr>
      <w:r>
        <w:t xml:space="preserve"/>
      </w:r>
    </w:p>
    <w:p>
      <w:pPr>
        <w:spacing w:before="80" w:after="80"/>
      </w:pPr>
      <w:r>
        <w:rPr>
          <w:rFonts w:ascii="Arial" w:cs="Arial" w:eastAsia="Arial" w:hAnsi="Arial"/>
          <w:b/>
          <w:bCs/>
          <w:color w:val="1A1A1A"/>
          <w:sz w:val="22"/>
          <w:szCs w:val="22"/>
        </w:rPr>
        <w:t xml:space="preserve">Weeks 15–16 — Onboard 10 additional companies, improve matching</w:t>
      </w:r>
    </w:p>
    <w:p>
      <w:pPr>
        <w:pStyle w:val="ListParagraph"/>
        <w:numPr>
          <w:ilvl w:val="0"/>
          <w:numId w:val="2"/>
        </w:numPr>
        <w:spacing w:before="60" w:after="60"/>
      </w:pPr>
      <w:r>
        <w:rPr>
          <w:rFonts w:ascii="Arial" w:cs="Arial" w:eastAsia="Arial" w:hAnsi="Arial"/>
          <w:b w:val="false"/>
          <w:bCs w:val="false"/>
          <w:color w:val="1A1A1A"/>
          <w:sz w:val="22"/>
          <w:szCs w:val="22"/>
        </w:rPr>
        <w:t xml:space="preserve">Outreach to 20 companies using founding members as social proof</w:t>
      </w:r>
    </w:p>
    <w:p>
      <w:pPr>
        <w:pStyle w:val="ListParagraph"/>
        <w:numPr>
          <w:ilvl w:val="0"/>
          <w:numId w:val="2"/>
        </w:numPr>
        <w:spacing w:before="60" w:after="60"/>
      </w:pPr>
      <w:r>
        <w:rPr>
          <w:rFonts w:ascii="Arial" w:cs="Arial" w:eastAsia="Arial" w:hAnsi="Arial"/>
          <w:b w:val="false"/>
          <w:bCs w:val="false"/>
          <w:color w:val="1A1A1A"/>
          <w:sz w:val="22"/>
          <w:szCs w:val="22"/>
        </w:rPr>
        <w:t xml:space="preserve">Add ML ranking layer (LightGBM trained on transaction history)</w:t>
      </w:r>
    </w:p>
    <w:p>
      <w:pPr>
        <w:pStyle w:val="ListParagraph"/>
        <w:numPr>
          <w:ilvl w:val="0"/>
          <w:numId w:val="2"/>
        </w:numPr>
        <w:spacing w:before="60" w:after="60"/>
      </w:pPr>
      <w:r>
        <w:rPr>
          <w:rFonts w:ascii="Arial" w:cs="Arial" w:eastAsia="Arial" w:hAnsi="Arial"/>
          <w:b w:val="false"/>
          <w:bCs w:val="false"/>
          <w:color w:val="1A1A1A"/>
          <w:sz w:val="22"/>
          <w:szCs w:val="22"/>
        </w:rPr>
        <w:t xml:space="preserve">Build in-app notification system replacing email</w:t>
      </w:r>
    </w:p>
    <w:p>
      <w:pPr>
        <w:pStyle w:val="ListParagraph"/>
        <w:numPr>
          <w:ilvl w:val="0"/>
          <w:numId w:val="2"/>
        </w:numPr>
        <w:spacing w:before="60" w:after="60"/>
      </w:pPr>
      <w:r>
        <w:rPr>
          <w:rFonts w:ascii="Arial" w:cs="Arial" w:eastAsia="Arial" w:hAnsi="Arial"/>
          <w:b w:val="false"/>
          <w:bCs w:val="false"/>
          <w:color w:val="1A1A1A"/>
          <w:sz w:val="22"/>
          <w:szCs w:val="22"/>
        </w:rPr>
        <w:t xml:space="preserve">Build internal analytics: conversion rates, time-to-match, unmatched material gaps</w:t>
      </w:r>
    </w:p>
    <w:p>
      <w:pPr>
        <w:pStyle w:val="ListParagraph"/>
        <w:numPr>
          <w:ilvl w:val="0"/>
          <w:numId w:val="2"/>
        </w:numPr>
        <w:spacing w:before="60" w:after="60"/>
      </w:pPr>
      <w:r>
        <w:rPr>
          <w:rFonts w:ascii="Arial" w:cs="Arial" w:eastAsia="Arial" w:hAnsi="Arial"/>
          <w:b w:val="false"/>
          <w:bCs w:val="false"/>
          <w:color w:val="1A1A1A"/>
          <w:sz w:val="22"/>
          <w:szCs w:val="22"/>
        </w:rPr>
        <w:t xml:space="preserve">Deliverable: 10+ companies onboarded, improved ML-ranked matching</w:t>
      </w:r>
    </w:p>
    <w:p>
      <w:pPr>
        <w:spacing w:before="80" w:after="0"/>
      </w:pPr>
      <w:r>
        <w:t xml:space="preserve"/>
      </w:r>
    </w:p>
    <w:p>
      <w:pPr>
        <w:spacing w:before="80" w:after="80"/>
      </w:pPr>
      <w:r>
        <w:rPr>
          <w:rFonts w:ascii="Arial" w:cs="Arial" w:eastAsia="Arial" w:hAnsi="Arial"/>
          <w:b/>
          <w:bCs/>
          <w:color w:val="1A1A1A"/>
          <w:sz w:val="22"/>
          <w:szCs w:val="22"/>
        </w:rPr>
        <w:t xml:space="preserve">Weeks 17–18 — February screening event preparation</w:t>
      </w:r>
    </w:p>
    <w:p>
      <w:pPr>
        <w:pStyle w:val="ListParagraph"/>
        <w:numPr>
          <w:ilvl w:val="0"/>
          <w:numId w:val="2"/>
        </w:numPr>
        <w:spacing w:before="60" w:after="60"/>
      </w:pPr>
      <w:r>
        <w:rPr>
          <w:rFonts w:ascii="Arial" w:cs="Arial" w:eastAsia="Arial" w:hAnsi="Arial"/>
          <w:b w:val="false"/>
          <w:bCs w:val="false"/>
          <w:color w:val="1A1A1A"/>
          <w:sz w:val="22"/>
          <w:szCs w:val="22"/>
        </w:rPr>
        <w:t xml:space="preserve">Compile metrics: companies, listings, transactions, material volume, disposal cost savings</w:t>
      </w:r>
    </w:p>
    <w:p>
      <w:pPr>
        <w:pStyle w:val="ListParagraph"/>
        <w:numPr>
          <w:ilvl w:val="0"/>
          <w:numId w:val="2"/>
        </w:numPr>
        <w:spacing w:before="60" w:after="60"/>
      </w:pPr>
      <w:r>
        <w:rPr>
          <w:rFonts w:ascii="Arial" w:cs="Arial" w:eastAsia="Arial" w:hAnsi="Arial"/>
          <w:b w:val="false"/>
          <w:bCs w:val="false"/>
          <w:color w:val="1A1A1A"/>
          <w:sz w:val="22"/>
          <w:szCs w:val="22"/>
        </w:rPr>
        <w:t xml:space="preserve">Prepare live demo of real listing and real matching output</w:t>
      </w:r>
    </w:p>
    <w:p>
      <w:pPr>
        <w:pStyle w:val="ListParagraph"/>
        <w:numPr>
          <w:ilvl w:val="0"/>
          <w:numId w:val="2"/>
        </w:numPr>
        <w:spacing w:before="60" w:after="60"/>
      </w:pPr>
      <w:r>
        <w:rPr>
          <w:rFonts w:ascii="Arial" w:cs="Arial" w:eastAsia="Arial" w:hAnsi="Arial"/>
          <w:b w:val="false"/>
          <w:bCs w:val="false"/>
          <w:color w:val="1A1A1A"/>
          <w:sz w:val="22"/>
          <w:szCs w:val="22"/>
        </w:rPr>
        <w:t xml:space="preserve">Prepare Phase 4 roadmap: show evidence PDF, explain compliance dashboard plan</w:t>
      </w:r>
    </w:p>
    <w:p>
      <w:pPr>
        <w:pStyle w:val="ListParagraph"/>
        <w:numPr>
          <w:ilvl w:val="0"/>
          <w:numId w:val="2"/>
        </w:numPr>
        <w:spacing w:before="60" w:after="60"/>
      </w:pPr>
      <w:r>
        <w:rPr>
          <w:rFonts w:ascii="Arial" w:cs="Arial" w:eastAsia="Arial" w:hAnsi="Arial"/>
          <w:b w:val="false"/>
          <w:bCs w:val="false"/>
          <w:color w:val="1A1A1A"/>
          <w:sz w:val="22"/>
          <w:szCs w:val="22"/>
        </w:rPr>
        <w:t xml:space="preserve">Gather 1–2 customer quotes on value delivered</w:t>
      </w:r>
    </w:p>
    <w:p>
      <w:pPr>
        <w:pStyle w:val="ListParagraph"/>
        <w:numPr>
          <w:ilvl w:val="0"/>
          <w:numId w:val="2"/>
        </w:numPr>
        <w:spacing w:before="60" w:after="60"/>
      </w:pPr>
      <w:r>
        <w:rPr>
          <w:rFonts w:ascii="Arial" w:cs="Arial" w:eastAsia="Arial" w:hAnsi="Arial"/>
          <w:b w:val="false"/>
          <w:bCs w:val="false"/>
          <w:color w:val="1A1A1A"/>
          <w:sz w:val="22"/>
          <w:szCs w:val="22"/>
        </w:rPr>
        <w:t xml:space="preserve">Deliverable: Screening event presentation with live demo and real traction metrics</w:t>
      </w:r>
    </w:p>
    <w:p>
      <w:pPr>
        <w:spacing w:before="160" w:after="0"/>
      </w:pPr>
      <w:r>
        <w:t xml:space="preserve"/>
      </w:r>
    </w:p>
    <w:p>
      <w:pPr>
        <w:pStyle w:val="Heading2"/>
        <w:spacing w:before="280" w:after="120"/>
      </w:pPr>
      <w:r>
        <w:rPr>
          <w:rFonts w:ascii="Arial" w:cs="Arial" w:eastAsia="Arial" w:hAnsi="Arial"/>
          <w:b/>
          <w:bCs/>
          <w:color w:val="1B3A6B"/>
          <w:sz w:val="28"/>
          <w:szCs w:val="28"/>
        </w:rPr>
        <w:t xml:space="preserve">Phase 4 — Weeks 19–36 (March – June 2027): Compliance Layer</w:t>
      </w:r>
    </w:p>
    <w:p>
      <w:pPr>
        <w:spacing w:before="80" w:after="0"/>
      </w:pPr>
      <w:r>
        <w:t xml:space="preserve"/>
      </w:r>
    </w:p>
    <w:p>
      <w:pPr>
        <w:spacing w:before="80" w:after="80"/>
      </w:pPr>
      <w:r>
        <w:rPr>
          <w:rFonts w:ascii="Arial" w:cs="Arial" w:eastAsia="Arial" w:hAnsi="Arial"/>
          <w:b/>
          <w:bCs/>
          <w:color w:val="1A1A1A"/>
          <w:sz w:val="22"/>
          <w:szCs w:val="22"/>
        </w:rPr>
        <w:t xml:space="preserve">Weeks 19–22 — Website scanner &amp; claim classification engine</w:t>
      </w:r>
    </w:p>
    <w:p>
      <w:pPr>
        <w:pStyle w:val="ListParagraph"/>
        <w:numPr>
          <w:ilvl w:val="0"/>
          <w:numId w:val="2"/>
        </w:numPr>
        <w:spacing w:before="60" w:after="60"/>
      </w:pPr>
      <w:r>
        <w:rPr>
          <w:rFonts w:ascii="Arial" w:cs="Arial" w:eastAsia="Arial" w:hAnsi="Arial"/>
          <w:b w:val="false"/>
          <w:bCs w:val="false"/>
          <w:color w:val="1A1A1A"/>
          <w:sz w:val="22"/>
          <w:szCs w:val="22"/>
        </w:rPr>
        <w:t xml:space="preserve">Build web crawler (domain-level, all pages, text extraction)</w:t>
      </w:r>
    </w:p>
    <w:p>
      <w:pPr>
        <w:pStyle w:val="ListParagraph"/>
        <w:numPr>
          <w:ilvl w:val="0"/>
          <w:numId w:val="2"/>
        </w:numPr>
        <w:spacing w:before="60" w:after="60"/>
      </w:pPr>
      <w:r>
        <w:rPr>
          <w:rFonts w:ascii="Arial" w:cs="Arial" w:eastAsia="Arial" w:hAnsi="Arial"/>
          <w:b w:val="false"/>
          <w:bCs w:val="false"/>
          <w:color w:val="1A1A1A"/>
          <w:sz w:val="22"/>
          <w:szCs w:val="22"/>
        </w:rPr>
        <w:t xml:space="preserve">Fine-tune deepset/gbert-large on Austrian green marketing corpus from week 7 audits</w:t>
      </w:r>
    </w:p>
    <w:p>
      <w:pPr>
        <w:pStyle w:val="ListParagraph"/>
        <w:numPr>
          <w:ilvl w:val="0"/>
          <w:numId w:val="2"/>
        </w:numPr>
        <w:spacing w:before="60" w:after="60"/>
      </w:pPr>
      <w:r>
        <w:rPr>
          <w:rFonts w:ascii="Arial" w:cs="Arial" w:eastAsia="Arial" w:hAnsi="Arial"/>
          <w:b w:val="false"/>
          <w:bCs w:val="false"/>
          <w:color w:val="1A1A1A"/>
          <w:sz w:val="22"/>
          <w:szCs w:val="22"/>
        </w:rPr>
        <w:t xml:space="preserve">Build claim classifier: Compliant / Needs evidence / Prohibited (ECGT Article 6)</w:t>
      </w:r>
    </w:p>
    <w:p>
      <w:pPr>
        <w:pStyle w:val="ListParagraph"/>
        <w:numPr>
          <w:ilvl w:val="0"/>
          <w:numId w:val="2"/>
        </w:numPr>
        <w:spacing w:before="60" w:after="60"/>
      </w:pPr>
      <w:r>
        <w:rPr>
          <w:rFonts w:ascii="Arial" w:cs="Arial" w:eastAsia="Arial" w:hAnsi="Arial"/>
          <w:b w:val="false"/>
          <w:bCs w:val="false"/>
          <w:color w:val="1A1A1A"/>
          <w:sz w:val="22"/>
          <w:szCs w:val="22"/>
        </w:rPr>
        <w:t xml:space="preserve">Legal review: law firm validates classification logic and output language</w:t>
      </w:r>
    </w:p>
    <w:p>
      <w:pPr>
        <w:pStyle w:val="ListParagraph"/>
        <w:numPr>
          <w:ilvl w:val="0"/>
          <w:numId w:val="2"/>
        </w:numPr>
        <w:spacing w:before="60" w:after="60"/>
      </w:pPr>
      <w:r>
        <w:rPr>
          <w:rFonts w:ascii="Arial" w:cs="Arial" w:eastAsia="Arial" w:hAnsi="Arial"/>
          <w:b w:val="false"/>
          <w:bCs w:val="false"/>
          <w:color w:val="1A1A1A"/>
          <w:sz w:val="22"/>
          <w:szCs w:val="22"/>
        </w:rPr>
        <w:t xml:space="preserve">Deliverable: Working scanner + classifier with legal sign-off</w:t>
      </w:r>
    </w:p>
    <w:p>
      <w:pPr>
        <w:spacing w:before="80" w:after="0"/>
      </w:pPr>
      <w:r>
        <w:t xml:space="preserve"/>
      </w:r>
    </w:p>
    <w:p>
      <w:pPr>
        <w:spacing w:before="80" w:after="80"/>
      </w:pPr>
      <w:r>
        <w:rPr>
          <w:rFonts w:ascii="Arial" w:cs="Arial" w:eastAsia="Arial" w:hAnsi="Arial"/>
          <w:b/>
          <w:bCs/>
          <w:color w:val="1A1A1A"/>
          <w:sz w:val="22"/>
          <w:szCs w:val="22"/>
        </w:rPr>
        <w:t xml:space="preserve">Weeks 23–26 — Compliance dashboard &amp; evidence linking</w:t>
      </w:r>
    </w:p>
    <w:p>
      <w:pPr>
        <w:pStyle w:val="ListParagraph"/>
        <w:numPr>
          <w:ilvl w:val="0"/>
          <w:numId w:val="2"/>
        </w:numPr>
        <w:spacing w:before="60" w:after="60"/>
      </w:pPr>
      <w:r>
        <w:rPr>
          <w:rFonts w:ascii="Arial" w:cs="Arial" w:eastAsia="Arial" w:hAnsi="Arial"/>
          <w:b w:val="false"/>
          <w:bCs w:val="false"/>
          <w:color w:val="1A1A1A"/>
          <w:sz w:val="22"/>
          <w:szCs w:val="22"/>
        </w:rPr>
        <w:t xml:space="preserve">Build compliance dashboard UI: claim list, traffic-light status, expandable evidence detail</w:t>
      </w:r>
    </w:p>
    <w:p>
      <w:pPr>
        <w:pStyle w:val="ListParagraph"/>
        <w:numPr>
          <w:ilvl w:val="0"/>
          <w:numId w:val="2"/>
        </w:numPr>
        <w:spacing w:before="60" w:after="60"/>
      </w:pPr>
      <w:r>
        <w:rPr>
          <w:rFonts w:ascii="Arial" w:cs="Arial" w:eastAsia="Arial" w:hAnsi="Arial"/>
          <w:b w:val="false"/>
          <w:bCs w:val="false"/>
          <w:color w:val="1A1A1A"/>
          <w:sz w:val="22"/>
          <w:szCs w:val="22"/>
        </w:rPr>
        <w:t xml:space="preserve">Build evidence linking: compliance claims linked to specific transaction records from the marketplace</w:t>
      </w:r>
    </w:p>
    <w:p>
      <w:pPr>
        <w:pStyle w:val="ListParagraph"/>
        <w:numPr>
          <w:ilvl w:val="0"/>
          <w:numId w:val="2"/>
        </w:numPr>
        <w:spacing w:before="60" w:after="60"/>
      </w:pPr>
      <w:r>
        <w:rPr>
          <w:rFonts w:ascii="Arial" w:cs="Arial" w:eastAsia="Arial" w:hAnsi="Arial"/>
          <w:b w:val="false"/>
          <w:bCs w:val="false"/>
          <w:color w:val="1A1A1A"/>
          <w:sz w:val="22"/>
          <w:szCs w:val="22"/>
        </w:rPr>
        <w:t xml:space="preserve">Build compliance certificate PDF export (branded, timestamped, good-faith documentation record)</w:t>
      </w:r>
    </w:p>
    <w:p>
      <w:pPr>
        <w:pStyle w:val="ListParagraph"/>
        <w:numPr>
          <w:ilvl w:val="0"/>
          <w:numId w:val="2"/>
        </w:numPr>
        <w:spacing w:before="60" w:after="60"/>
      </w:pPr>
      <w:r>
        <w:rPr>
          <w:rFonts w:ascii="Arial" w:cs="Arial" w:eastAsia="Arial" w:hAnsi="Arial"/>
          <w:b w:val="false"/>
          <w:bCs w:val="false"/>
          <w:color w:val="1A1A1A"/>
          <w:sz w:val="22"/>
          <w:szCs w:val="22"/>
        </w:rPr>
        <w:t xml:space="preserve">Build monitoring mode: weekly rescan, email alert for new unsubstantiated claims</w:t>
      </w:r>
    </w:p>
    <w:p>
      <w:pPr>
        <w:pStyle w:val="ListParagraph"/>
        <w:numPr>
          <w:ilvl w:val="0"/>
          <w:numId w:val="2"/>
        </w:numPr>
        <w:spacing w:before="60" w:after="60"/>
      </w:pPr>
      <w:r>
        <w:rPr>
          <w:rFonts w:ascii="Arial" w:cs="Arial" w:eastAsia="Arial" w:hAnsi="Arial"/>
          <w:b w:val="false"/>
          <w:bCs w:val="false"/>
          <w:color w:val="1A1A1A"/>
          <w:sz w:val="22"/>
          <w:szCs w:val="22"/>
        </w:rPr>
        <w:t xml:space="preserve">Deliverable: Full compliance dashboard with evidence linking, live for founding members</w:t>
      </w:r>
    </w:p>
    <w:p>
      <w:pPr>
        <w:spacing w:before="80" w:after="0"/>
      </w:pPr>
      <w:r>
        <w:t xml:space="preserve"/>
      </w:r>
    </w:p>
    <w:p>
      <w:pPr>
        <w:spacing w:before="80" w:after="80"/>
      </w:pPr>
      <w:r>
        <w:rPr>
          <w:rFonts w:ascii="Arial" w:cs="Arial" w:eastAsia="Arial" w:hAnsi="Arial"/>
          <w:b/>
          <w:bCs/>
          <w:color w:val="1A1A1A"/>
          <w:sz w:val="22"/>
          <w:szCs w:val="22"/>
        </w:rPr>
        <w:t xml:space="preserve">Weeks 27–30 — Pricing launch, WKO partnership, first paid customers</w:t>
      </w:r>
    </w:p>
    <w:p>
      <w:pPr>
        <w:pStyle w:val="ListParagraph"/>
        <w:numPr>
          <w:ilvl w:val="0"/>
          <w:numId w:val="2"/>
        </w:numPr>
        <w:spacing w:before="60" w:after="60"/>
      </w:pPr>
      <w:r>
        <w:rPr>
          <w:rFonts w:ascii="Arial" w:cs="Arial" w:eastAsia="Arial" w:hAnsi="Arial"/>
          <w:b w:val="false"/>
          <w:bCs w:val="false"/>
          <w:color w:val="1A1A1A"/>
          <w:sz w:val="22"/>
          <w:szCs w:val="22"/>
        </w:rPr>
        <w:t xml:space="preserve">Launch tiered pricing: €49 / €129 / €299 / Custom</w:t>
      </w:r>
    </w:p>
    <w:p>
      <w:pPr>
        <w:pStyle w:val="ListParagraph"/>
        <w:numPr>
          <w:ilvl w:val="0"/>
          <w:numId w:val="2"/>
        </w:numPr>
        <w:spacing w:before="60" w:after="60"/>
      </w:pPr>
      <w:r>
        <w:rPr>
          <w:rFonts w:ascii="Arial" w:cs="Arial" w:eastAsia="Arial" w:hAnsi="Arial"/>
          <w:b w:val="false"/>
          <w:bCs w:val="false"/>
          <w:color w:val="1A1A1A"/>
          <w:sz w:val="22"/>
          <w:szCs w:val="22"/>
        </w:rPr>
        <w:t xml:space="preserve">Convert founding members to paid at permanent 50% discount</w:t>
      </w:r>
    </w:p>
    <w:p>
      <w:pPr>
        <w:pStyle w:val="ListParagraph"/>
        <w:numPr>
          <w:ilvl w:val="0"/>
          <w:numId w:val="2"/>
        </w:numPr>
        <w:spacing w:before="60" w:after="60"/>
      </w:pPr>
      <w:r>
        <w:rPr>
          <w:rFonts w:ascii="Arial" w:cs="Arial" w:eastAsia="Arial" w:hAnsi="Arial"/>
          <w:b w:val="false"/>
          <w:bCs w:val="false"/>
          <w:color w:val="1A1A1A"/>
          <w:sz w:val="22"/>
          <w:szCs w:val="22"/>
        </w:rPr>
        <w:t xml:space="preserve">Propose WKO Kärnten co-marketing: CirclOS = recommended ECGT compliance documentation tool for WKO members</w:t>
      </w:r>
    </w:p>
    <w:p>
      <w:pPr>
        <w:pStyle w:val="ListParagraph"/>
        <w:numPr>
          <w:ilvl w:val="0"/>
          <w:numId w:val="2"/>
        </w:numPr>
        <w:spacing w:before="60" w:after="60"/>
      </w:pPr>
      <w:r>
        <w:rPr>
          <w:rFonts w:ascii="Arial" w:cs="Arial" w:eastAsia="Arial" w:hAnsi="Arial"/>
          <w:b w:val="false"/>
          <w:bCs w:val="false"/>
          <w:color w:val="1A1A1A"/>
          <w:sz w:val="22"/>
          <w:szCs w:val="22"/>
        </w:rPr>
        <w:t xml:space="preserve">Run free ECGT compliance webinar targeting Austrian SMEs, aim for 10% trial conversion</w:t>
      </w:r>
    </w:p>
    <w:p>
      <w:pPr>
        <w:pStyle w:val="ListParagraph"/>
        <w:numPr>
          <w:ilvl w:val="0"/>
          <w:numId w:val="2"/>
        </w:numPr>
        <w:spacing w:before="60" w:after="60"/>
      </w:pPr>
      <w:r>
        <w:rPr>
          <w:rFonts w:ascii="Arial" w:cs="Arial" w:eastAsia="Arial" w:hAnsi="Arial"/>
          <w:b w:val="false"/>
          <w:bCs w:val="false"/>
          <w:color w:val="1A1A1A"/>
          <w:sz w:val="22"/>
          <w:szCs w:val="22"/>
        </w:rPr>
        <w:t xml:space="preserve">Deliverable: First paying customers, WKO partnership agreement, MRR baseline established</w:t>
      </w:r>
    </w:p>
    <w:p>
      <w:pPr>
        <w:spacing w:before="80" w:after="0"/>
      </w:pPr>
      <w:r>
        <w:t xml:space="preserve"/>
      </w:r>
    </w:p>
    <w:p>
      <w:pPr>
        <w:spacing w:before="80" w:after="80"/>
      </w:pPr>
      <w:r>
        <w:rPr>
          <w:rFonts w:ascii="Arial" w:cs="Arial" w:eastAsia="Arial" w:hAnsi="Arial"/>
          <w:b/>
          <w:bCs/>
          <w:color w:val="1A1A1A"/>
          <w:sz w:val="22"/>
          <w:szCs w:val="22"/>
        </w:rPr>
        <w:t xml:space="preserve">Weeks 31–36 — Demo Day prep, Styria pipeline, seed round groundwork</w:t>
      </w:r>
    </w:p>
    <w:p>
      <w:pPr>
        <w:pStyle w:val="ListParagraph"/>
        <w:numPr>
          <w:ilvl w:val="0"/>
          <w:numId w:val="2"/>
        </w:numPr>
        <w:spacing w:before="60" w:after="60"/>
      </w:pPr>
      <w:r>
        <w:rPr>
          <w:rFonts w:ascii="Arial" w:cs="Arial" w:eastAsia="Arial" w:hAnsi="Arial"/>
          <w:b w:val="false"/>
          <w:bCs w:val="false"/>
          <w:color w:val="1A1A1A"/>
          <w:sz w:val="22"/>
          <w:szCs w:val="22"/>
        </w:rPr>
        <w:t xml:space="preserve">Document every metric in standardised format for Demo Day presentation</w:t>
      </w:r>
    </w:p>
    <w:p>
      <w:pPr>
        <w:pStyle w:val="ListParagraph"/>
        <w:numPr>
          <w:ilvl w:val="0"/>
          <w:numId w:val="2"/>
        </w:numPr>
        <w:spacing w:before="60" w:after="60"/>
      </w:pPr>
      <w:r>
        <w:rPr>
          <w:rFonts w:ascii="Arial" w:cs="Arial" w:eastAsia="Arial" w:hAnsi="Arial"/>
          <w:b w:val="false"/>
          <w:bCs w:val="false"/>
          <w:color w:val="1A1A1A"/>
          <w:sz w:val="22"/>
          <w:szCs w:val="22"/>
        </w:rPr>
        <w:t xml:space="preserve">Begin Styrian company outreach via Green Tech Valley connections — target 3 in pipeline by Demo Day</w:t>
      </w:r>
    </w:p>
    <w:p>
      <w:pPr>
        <w:pStyle w:val="ListParagraph"/>
        <w:numPr>
          <w:ilvl w:val="0"/>
          <w:numId w:val="2"/>
        </w:numPr>
        <w:spacing w:before="60" w:after="60"/>
      </w:pPr>
      <w:r>
        <w:rPr>
          <w:rFonts w:ascii="Arial" w:cs="Arial" w:eastAsia="Arial" w:hAnsi="Arial"/>
          <w:b w:val="false"/>
          <w:bCs w:val="false"/>
          <w:color w:val="1A1A1A"/>
          <w:sz w:val="22"/>
          <w:szCs w:val="22"/>
        </w:rPr>
        <w:t xml:space="preserve">Prepare Demo Day narrative: waste audit → first transaction → compliance dashboard → paying customers</w:t>
      </w:r>
    </w:p>
    <w:p>
      <w:pPr>
        <w:pStyle w:val="ListParagraph"/>
        <w:numPr>
          <w:ilvl w:val="0"/>
          <w:numId w:val="2"/>
        </w:numPr>
        <w:spacing w:before="60" w:after="60"/>
      </w:pPr>
      <w:r>
        <w:rPr>
          <w:rFonts w:ascii="Arial" w:cs="Arial" w:eastAsia="Arial" w:hAnsi="Arial"/>
          <w:b w:val="false"/>
          <w:bCs w:val="false"/>
          <w:color w:val="1A1A1A"/>
          <w:sz w:val="22"/>
          <w:szCs w:val="22"/>
        </w:rPr>
        <w:t xml:space="preserve">Begin conversations with impact investors (aws Gründerfonds, Ananda Impact Ventures, Green Generation Fund)</w:t>
      </w:r>
    </w:p>
    <w:p>
      <w:pPr>
        <w:pStyle w:val="ListParagraph"/>
        <w:numPr>
          <w:ilvl w:val="0"/>
          <w:numId w:val="2"/>
        </w:numPr>
        <w:spacing w:before="60" w:after="60"/>
      </w:pPr>
      <w:r>
        <w:rPr>
          <w:rFonts w:ascii="Arial" w:cs="Arial" w:eastAsia="Arial" w:hAnsi="Arial"/>
          <w:b w:val="false"/>
          <w:bCs w:val="false"/>
          <w:color w:val="1A1A1A"/>
          <w:sz w:val="22"/>
          <w:szCs w:val="22"/>
        </w:rPr>
        <w:t xml:space="preserve">Prepare 12-month post-program roadmap: Styria Q3 2027, DACH Q1 2028, EU API Q2 2028</w:t>
      </w:r>
    </w:p>
    <w:p>
      <w:pPr>
        <w:pStyle w:val="ListParagraph"/>
        <w:numPr>
          <w:ilvl w:val="0"/>
          <w:numId w:val="2"/>
        </w:numPr>
        <w:spacing w:before="60" w:after="60"/>
      </w:pPr>
      <w:r>
        <w:rPr>
          <w:rFonts w:ascii="Arial" w:cs="Arial" w:eastAsia="Arial" w:hAnsi="Arial"/>
          <w:b w:val="false"/>
          <w:bCs w:val="false"/>
          <w:color w:val="1A1A1A"/>
          <w:sz w:val="22"/>
          <w:szCs w:val="22"/>
        </w:rPr>
        <w:t xml:space="preserve">Deliverable: Demo Day presentation, Styrian pipeline, seed round deck, post-program roadmap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12</w:t>
            </w:r>
          </w:p>
        </w:tc>
        <w:tc>
          <w:tcPr>
            <w:tcW w:type="dxa" w:w="8160"/>
            <w:tcBorders>
              <w:top w:val="none" w:color="FFFFFF" w:sz="0"/>
              <w:left w:val="none" w:color="FFFFFF" w:sz="0"/>
              <w:bottom w:val="none" w:color="FFFFFF" w:sz="0"/>
              <w:right w:val="none" w:color="FFFFFF" w:sz="0"/>
            </w:tcBorders>
            <w:shd w:fill="E8EEF7" w:val="clear"/>
            <w:tcMar>
              <w:top w:type="dxa" w:w="100"/>
              <w:left w:type="dxa" w:w="200"/>
              <w:bottom w:type="dxa" w:w="100"/>
              <w:right w:type="dxa" w:w="120"/>
            </w:tcMar>
            <w:vAlign w:val="center"/>
          </w:tcPr>
          <w:p>
            <w:r>
              <w:rPr>
                <w:rFonts w:ascii="Arial" w:cs="Arial" w:eastAsia="Arial" w:hAnsi="Arial"/>
                <w:b/>
                <w:bCs/>
                <w:color w:val="1B3A6B"/>
                <w:sz w:val="28"/>
                <w:szCs w:val="28"/>
              </w:rPr>
              <w:t xml:space="preserve">Team Requirements &amp; Academic Anchoring</w:t>
            </w:r>
          </w:p>
        </w:tc>
      </w:tr>
    </w:tbl>
    <w:p>
      <w:pPr>
        <w:spacing w:before="80" w:after="0"/>
      </w:pPr>
      <w:r>
        <w:t xml:space="preserve"/>
      </w:r>
    </w:p>
    <w:p>
      <w:pPr>
        <w:spacing w:before="80" w:after="80"/>
      </w:pPr>
      <w:r>
        <w:rPr>
          <w:rFonts w:ascii="Arial" w:cs="Arial" w:eastAsia="Arial" w:hAnsi="Arial"/>
          <w:b/>
          <w:bCs/>
          <w:i/>
          <w:iCs/>
          <w:color w:val="1A1A1A"/>
          <w:sz w:val="22"/>
          <w:szCs w:val="22"/>
        </w:rPr>
        <w:t xml:space="preserve">The skills required, the academic host relationship, and why AAU is the ideal institutional anchor.</w:t>
      </w:r>
    </w:p>
    <w:p>
      <w:pPr>
        <w:spacing w:before="120" w:after="0"/>
      </w:pPr>
      <w:r>
        <w:t xml:space="preserve"/>
      </w:r>
    </w:p>
    <w:p>
      <w:pPr>
        <w:pStyle w:val="Heading2"/>
        <w:spacing w:before="280" w:after="120"/>
      </w:pPr>
      <w:r>
        <w:rPr>
          <w:rFonts w:ascii="Arial" w:cs="Arial" w:eastAsia="Arial" w:hAnsi="Arial"/>
          <w:b/>
          <w:bCs/>
          <w:color w:val="1B3A6B"/>
          <w:sz w:val="28"/>
          <w:szCs w:val="28"/>
        </w:rPr>
        <w:t xml:space="preserve">Core Team Requirements</w:t>
      </w:r>
    </w:p>
    <w:p>
      <w:pPr>
        <w:spacing w:before="80" w:after="80"/>
      </w:pPr>
      <w:r>
        <w:rPr>
          <w:rFonts w:ascii="Arial" w:cs="Arial" w:eastAsia="Arial" w:hAnsi="Arial"/>
          <w:color w:val="1A1A1A"/>
          <w:sz w:val="22"/>
          <w:szCs w:val="22"/>
        </w:rPr>
        <w:t xml:space="preserve">The vor.GRÜNDEN programme allows individual or team participation. For CirclOS, a two-person founding team is optimal: one technically strong (Python, ML, data engineering) and one commercially strong (B2B sales, partnership development, regulatory research). A solo founder is feasible but will require more external support from the academic mentor and from the €6,500 consulting budget for specialist advice (legal, AI).</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80"/>
              <w:right w:type="dxa" w:w="140"/>
            </w:tcMar>
          </w:tcPr>
          <w:p>
            <w:r>
              <w:rPr>
                <w:rFonts w:ascii="Arial" w:cs="Arial" w:eastAsia="Arial" w:hAnsi="Arial"/>
                <w:b/>
                <w:bCs/>
                <w:color w:val="FFFFFF"/>
                <w:sz w:val="22"/>
                <w:szCs w:val="22"/>
              </w:rPr>
              <w:t xml:space="preserve">Technical Co-Founder</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80"/>
              <w:right w:type="dxa" w:w="140"/>
            </w:tcMar>
          </w:tcPr>
          <w:p>
            <w:r>
              <w:rPr>
                <w:rFonts w:ascii="Arial" w:cs="Arial" w:eastAsia="Arial" w:hAnsi="Arial"/>
                <w:b/>
                <w:bCs/>
                <w:color w:val="FFFFFF"/>
                <w:sz w:val="22"/>
                <w:szCs w:val="22"/>
              </w:rPr>
              <w:t xml:space="preserve">Commercial Co-Founder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pStyle w:val="ListParagraph"/>
              <w:numPr>
                <w:ilvl w:val="0"/>
                <w:numId w:val="2"/>
              </w:numPr>
              <w:spacing w:before="40" w:after="40"/>
            </w:pPr>
            <w:r>
              <w:rPr>
                <w:rFonts w:ascii="Arial" w:cs="Arial" w:eastAsia="Arial" w:hAnsi="Arial"/>
                <w:sz w:val="20"/>
                <w:szCs w:val="20"/>
              </w:rPr>
              <w:t xml:space="preserve">Python + FastAPI backend development</w:t>
            </w:r>
          </w:p>
          <w:p>
            <w:pPr>
              <w:pStyle w:val="ListParagraph"/>
              <w:numPr>
                <w:ilvl w:val="0"/>
                <w:numId w:val="2"/>
              </w:numPr>
              <w:spacing w:before="40" w:after="40"/>
            </w:pPr>
            <w:r>
              <w:rPr>
                <w:rFonts w:ascii="Arial" w:cs="Arial" w:eastAsia="Arial" w:hAnsi="Arial"/>
                <w:sz w:val="20"/>
                <w:szCs w:val="20"/>
              </w:rPr>
              <w:t xml:space="preserve">ML/NLP: fine-tuning BERT models, building LightGBM rankers</w:t>
            </w:r>
          </w:p>
          <w:p>
            <w:pPr>
              <w:pStyle w:val="ListParagraph"/>
              <w:numPr>
                <w:ilvl w:val="0"/>
                <w:numId w:val="2"/>
              </w:numPr>
              <w:spacing w:before="40" w:after="40"/>
            </w:pPr>
            <w:r>
              <w:rPr>
                <w:rFonts w:ascii="Arial" w:cs="Arial" w:eastAsia="Arial" w:hAnsi="Arial"/>
                <w:sz w:val="20"/>
                <w:szCs w:val="20"/>
              </w:rPr>
              <w:t xml:space="preserve">Database design (PostgreSQL + pgvector)</w:t>
            </w:r>
          </w:p>
          <w:p>
            <w:pPr>
              <w:pStyle w:val="ListParagraph"/>
              <w:numPr>
                <w:ilvl w:val="0"/>
                <w:numId w:val="2"/>
              </w:numPr>
              <w:spacing w:before="40" w:after="40"/>
            </w:pPr>
            <w:r>
              <w:rPr>
                <w:rFonts w:ascii="Arial" w:cs="Arial" w:eastAsia="Arial" w:hAnsi="Arial"/>
                <w:sz w:val="20"/>
                <w:szCs w:val="20"/>
              </w:rPr>
              <w:t xml:space="preserve">React frontend for dashboard UIs</w:t>
            </w:r>
          </w:p>
          <w:p>
            <w:pPr>
              <w:pStyle w:val="ListParagraph"/>
              <w:numPr>
                <w:ilvl w:val="0"/>
                <w:numId w:val="2"/>
              </w:numPr>
              <w:spacing w:before="40" w:after="40"/>
            </w:pPr>
            <w:r>
              <w:rPr>
                <w:rFonts w:ascii="Arial" w:cs="Arial" w:eastAsia="Arial" w:hAnsi="Arial"/>
                <w:sz w:val="20"/>
                <w:szCs w:val="20"/>
              </w:rPr>
              <w:t xml:space="preserve">AWS infrastructure and deployment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pStyle w:val="ListParagraph"/>
              <w:numPr>
                <w:ilvl w:val="0"/>
                <w:numId w:val="2"/>
              </w:numPr>
              <w:spacing w:before="40" w:after="40"/>
            </w:pPr>
            <w:r>
              <w:rPr>
                <w:rFonts w:ascii="Arial" w:cs="Arial" w:eastAsia="Arial" w:hAnsi="Arial"/>
                <w:sz w:val="20"/>
                <w:szCs w:val="20"/>
              </w:rPr>
              <w:t xml:space="preserve">B2B sales and partnership development</w:t>
            </w:r>
          </w:p>
          <w:p>
            <w:pPr>
              <w:pStyle w:val="ListParagraph"/>
              <w:numPr>
                <w:ilvl w:val="0"/>
                <w:numId w:val="2"/>
              </w:numPr>
              <w:spacing w:before="40" w:after="40"/>
            </w:pPr>
            <w:r>
              <w:rPr>
                <w:rFonts w:ascii="Arial" w:cs="Arial" w:eastAsia="Arial" w:hAnsi="Arial"/>
                <w:sz w:val="20"/>
                <w:szCs w:val="20"/>
              </w:rPr>
              <w:t xml:space="preserve">Waste audit fieldwork and company interviews</w:t>
            </w:r>
          </w:p>
          <w:p>
            <w:pPr>
              <w:pStyle w:val="ListParagraph"/>
              <w:numPr>
                <w:ilvl w:val="0"/>
                <w:numId w:val="2"/>
              </w:numPr>
              <w:spacing w:before="40" w:after="40"/>
            </w:pPr>
            <w:r>
              <w:rPr>
                <w:rFonts w:ascii="Arial" w:cs="Arial" w:eastAsia="Arial" w:hAnsi="Arial"/>
                <w:sz w:val="20"/>
                <w:szCs w:val="20"/>
              </w:rPr>
              <w:t xml:space="preserve">Regulatory research (Austrian environmental and marketing law)</w:t>
            </w:r>
          </w:p>
          <w:p>
            <w:pPr>
              <w:pStyle w:val="ListParagraph"/>
              <w:numPr>
                <w:ilvl w:val="0"/>
                <w:numId w:val="2"/>
              </w:numPr>
              <w:spacing w:before="40" w:after="40"/>
            </w:pPr>
            <w:r>
              <w:rPr>
                <w:rFonts w:ascii="Arial" w:cs="Arial" w:eastAsia="Arial" w:hAnsi="Arial"/>
                <w:sz w:val="20"/>
                <w:szCs w:val="20"/>
              </w:rPr>
              <w:t xml:space="preserve">WKO and Green Tech Valley relationship management</w:t>
            </w:r>
          </w:p>
          <w:p>
            <w:pPr>
              <w:pStyle w:val="ListParagraph"/>
              <w:numPr>
                <w:ilvl w:val="0"/>
                <w:numId w:val="2"/>
              </w:numPr>
              <w:spacing w:before="40" w:after="40"/>
            </w:pPr>
            <w:r>
              <w:rPr>
                <w:rFonts w:ascii="Arial" w:cs="Arial" w:eastAsia="Arial" w:hAnsi="Arial"/>
                <w:sz w:val="20"/>
                <w:szCs w:val="20"/>
              </w:rPr>
              <w:t xml:space="preserve">Investor relations and programme reporting</w:t>
            </w:r>
          </w:p>
        </w:tc>
      </w:tr>
    </w:tbl>
    <w:p>
      <w:pPr>
        <w:spacing w:before="160" w:after="0"/>
      </w:pPr>
      <w:r>
        <w:t xml:space="preserve"/>
      </w:r>
    </w:p>
    <w:p>
      <w:pPr>
        <w:pStyle w:val="Heading2"/>
        <w:spacing w:before="280" w:after="120"/>
      </w:pPr>
      <w:r>
        <w:rPr>
          <w:rFonts w:ascii="Arial" w:cs="Arial" w:eastAsia="Arial" w:hAnsi="Arial"/>
          <w:b/>
          <w:bCs/>
          <w:color w:val="1B3A6B"/>
          <w:sz w:val="28"/>
          <w:szCs w:val="28"/>
        </w:rPr>
        <w:t xml:space="preserve">Academic Anchoring — Why AAU is the Right Host</w:t>
      </w:r>
    </w:p>
    <w:p>
      <w:pPr>
        <w:spacing w:before="80" w:after="80"/>
      </w:pPr>
      <w:r>
        <w:rPr>
          <w:rFonts w:ascii="Arial" w:cs="Arial" w:eastAsia="Arial" w:hAnsi="Arial"/>
          <w:color w:val="1A1A1A"/>
          <w:sz w:val="22"/>
          <w:szCs w:val="22"/>
        </w:rPr>
        <w:t xml:space="preserve">The vor.GRÜNDEN programme requires an academic mentor from a university institute. For CirclOS, the ideal host is AAU’s Department of Economics/QED (for the financial and regulatory modelling aspects) combined with the Institute of Applied Informatics (for AI/ML supervision). The 2024 winner Markets Flare was hosted by the QED department — demonstrating that the jury values ideas with strong quantitative/computational foundations supervised by rigorous academic expertise.</w:t>
      </w:r>
    </w:p>
    <w:p>
      <w:pPr>
        <w:spacing w:before="120" w:after="0"/>
      </w:pPr>
      <w:r>
        <w:t xml:space="preserve"/>
      </w:r>
    </w:p>
    <w:p>
      <w:pPr>
        <w:pStyle w:val="Heading2"/>
        <w:spacing w:before="280" w:after="120"/>
      </w:pPr>
      <w:r>
        <w:rPr>
          <w:rFonts w:ascii="Arial" w:cs="Arial" w:eastAsia="Arial" w:hAnsi="Arial"/>
          <w:b/>
          <w:bCs/>
          <w:color w:val="1B3A6B"/>
          <w:sz w:val="28"/>
          <w:szCs w:val="28"/>
        </w:rPr>
        <w:t xml:space="preserve">Consulting Budget Allocation (€6,500)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Amount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Austrian environmental law firm — waste taxonomy legal review + ECGT classification methodology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€2,500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AI/ML specialist — model fine-tuning and validation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€2,000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UX designer — dashboard interface 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€1,500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Industry event registration and networking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€500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13</w:t>
            </w:r>
          </w:p>
        </w:tc>
        <w:tc>
          <w:tcPr>
            <w:tcW w:type="dxa" w:w="8160"/>
            <w:tcBorders>
              <w:top w:val="none" w:color="FFFFFF" w:sz="0"/>
              <w:left w:val="none" w:color="FFFFFF" w:sz="0"/>
              <w:bottom w:val="none" w:color="FFFFFF" w:sz="0"/>
              <w:right w:val="none" w:color="FFFFFF" w:sz="0"/>
            </w:tcBorders>
            <w:shd w:fill="E8EEF7" w:val="clear"/>
            <w:tcMar>
              <w:top w:type="dxa" w:w="100"/>
              <w:left w:type="dxa" w:w="200"/>
              <w:bottom w:type="dxa" w:w="100"/>
              <w:right w:type="dxa" w:w="120"/>
            </w:tcMar>
            <w:vAlign w:val="center"/>
          </w:tcPr>
          <w:p>
            <w:r>
              <w:rPr>
                <w:rFonts w:ascii="Arial" w:cs="Arial" w:eastAsia="Arial" w:hAnsi="Arial"/>
                <w:b/>
                <w:bCs/>
                <w:color w:val="1B3A6B"/>
                <w:sz w:val="28"/>
                <w:szCs w:val="28"/>
              </w:rPr>
              <w:t xml:space="preserve">Financial Projections</w:t>
            </w:r>
          </w:p>
        </w:tc>
      </w:tr>
    </w:tbl>
    <w:p>
      <w:pPr>
        <w:spacing w:before="80" w:after="0"/>
      </w:pPr>
      <w:r>
        <w:t xml:space="preserve"/>
      </w:r>
    </w:p>
    <w:p>
      <w:pPr>
        <w:spacing w:before="80" w:after="80"/>
      </w:pPr>
      <w:r>
        <w:rPr>
          <w:rFonts w:ascii="Arial" w:cs="Arial" w:eastAsia="Arial" w:hAnsi="Arial"/>
          <w:b/>
          <w:bCs/>
          <w:i/>
          <w:iCs/>
          <w:color w:val="1A1A1A"/>
          <w:sz w:val="22"/>
          <w:szCs w:val="22"/>
        </w:rPr>
        <w:t xml:space="preserve">Conservative, medium, and optimistic scenarios over 3 years.</w:t>
      </w:r>
    </w:p>
    <w:p>
      <w:pPr>
        <w:spacing w:before="120" w:after="0"/>
      </w:pPr>
      <w:r>
        <w:t xml:space="preserve"/>
      </w:r>
    </w:p>
    <w:p>
      <w:pPr>
        <w:pStyle w:val="Heading2"/>
        <w:spacing w:before="280" w:after="120"/>
      </w:pPr>
      <w:r>
        <w:rPr>
          <w:rFonts w:ascii="Arial" w:cs="Arial" w:eastAsia="Arial" w:hAnsi="Arial"/>
          <w:b/>
          <w:bCs/>
          <w:color w:val="1B3A6B"/>
          <w:sz w:val="28"/>
          <w:szCs w:val="28"/>
        </w:rPr>
        <w:t xml:space="preserve">9-Month Programme Targets (Oct 2026 – Jun 2027)</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D32" w:val="clear"/>
            <w:tcMar>
              <w:top w:type="dxa" w:w="140"/>
              <w:left w:type="dxa" w:w="120"/>
              <w:bottom w:type="dxa" w:w="140"/>
              <w:right w:type="dxa" w:w="120"/>
            </w:tcMar>
          </w:tcPr>
          <w:p>
            <w:pPr>
              <w:jc w:val="center"/>
            </w:pPr>
            <w:r>
              <w:rPr>
                <w:rFonts w:ascii="Arial" w:cs="Arial" w:eastAsia="Arial" w:hAnsi="Arial"/>
                <w:b/>
                <w:bCs/>
                <w:color w:val="FFFFFF"/>
                <w:sz w:val="36"/>
                <w:szCs w:val="36"/>
              </w:rPr>
              <w:t xml:space="preserve">15–25</w:t>
            </w:r>
          </w:p>
          <w:p>
            <w:pPr>
              <w:jc w:val="center"/>
            </w:pPr>
            <w:r>
              <w:rPr>
                <w:rFonts w:ascii="Arial" w:cs="Arial" w:eastAsia="Arial" w:hAnsi="Arial"/>
                <w:color w:val="C8E6C9"/>
                <w:sz w:val="18"/>
                <w:szCs w:val="18"/>
              </w:rPr>
              <w:t xml:space="preserve">Paying customers at Demo Day</w:t>
            </w:r>
          </w:p>
        </w:tc>
        <w:tc>
          <w:tcPr>
            <w:tcW w:type="dxa" w:w="2340"/>
            <w:tcBorders>
              <w:top w:val="single" w:color="CCCCCC" w:sz="1"/>
              <w:left w:val="single" w:color="CCCCCC" w:sz="1"/>
              <w:bottom w:val="single" w:color="CCCCCC" w:sz="1"/>
              <w:right w:val="single" w:color="CCCCCC" w:sz="1"/>
            </w:tcBorders>
            <w:shd w:fill="2E7D32" w:val="clear"/>
            <w:tcMar>
              <w:top w:type="dxa" w:w="140"/>
              <w:left w:type="dxa" w:w="120"/>
              <w:bottom w:type="dxa" w:w="140"/>
              <w:right w:type="dxa" w:w="120"/>
            </w:tcMar>
          </w:tcPr>
          <w:p>
            <w:pPr>
              <w:jc w:val="center"/>
            </w:pPr>
            <w:r>
              <w:rPr>
                <w:rFonts w:ascii="Arial" w:cs="Arial" w:eastAsia="Arial" w:hAnsi="Arial"/>
                <w:b/>
                <w:bCs/>
                <w:color w:val="FFFFFF"/>
                <w:sz w:val="36"/>
                <w:szCs w:val="36"/>
              </w:rPr>
              <w:t xml:space="preserve">€1.5K–3K</w:t>
            </w:r>
          </w:p>
          <w:p>
            <w:pPr>
              <w:jc w:val="center"/>
            </w:pPr>
            <w:r>
              <w:rPr>
                <w:rFonts w:ascii="Arial" w:cs="Arial" w:eastAsia="Arial" w:hAnsi="Arial"/>
                <w:color w:val="C8E6C9"/>
                <w:sz w:val="18"/>
                <w:szCs w:val="18"/>
              </w:rPr>
              <w:t xml:space="preserve">Monthly Recurring Revenue</w:t>
            </w:r>
          </w:p>
        </w:tc>
        <w:tc>
          <w:tcPr>
            <w:tcW w:type="dxa" w:w="2340"/>
            <w:tcBorders>
              <w:top w:val="single" w:color="CCCCCC" w:sz="1"/>
              <w:left w:val="single" w:color="CCCCCC" w:sz="1"/>
              <w:bottom w:val="single" w:color="CCCCCC" w:sz="1"/>
              <w:right w:val="single" w:color="CCCCCC" w:sz="1"/>
            </w:tcBorders>
            <w:shd w:fill="2E7D32" w:val="clear"/>
            <w:tcMar>
              <w:top w:type="dxa" w:w="140"/>
              <w:left w:type="dxa" w:w="120"/>
              <w:bottom w:type="dxa" w:w="140"/>
              <w:right w:type="dxa" w:w="120"/>
            </w:tcMar>
          </w:tcPr>
          <w:p>
            <w:pPr>
              <w:jc w:val="center"/>
            </w:pPr>
            <w:r>
              <w:rPr>
                <w:rFonts w:ascii="Arial" w:cs="Arial" w:eastAsia="Arial" w:hAnsi="Arial"/>
                <w:b/>
                <w:bCs/>
                <w:color w:val="FFFFFF"/>
                <w:sz w:val="36"/>
                <w:szCs w:val="36"/>
              </w:rPr>
              <w:t xml:space="preserve">3+</w:t>
            </w:r>
          </w:p>
          <w:p>
            <w:pPr>
              <w:jc w:val="center"/>
            </w:pPr>
            <w:r>
              <w:rPr>
                <w:rFonts w:ascii="Arial" w:cs="Arial" w:eastAsia="Arial" w:hAnsi="Arial"/>
                <w:color w:val="C8E6C9"/>
                <w:sz w:val="18"/>
                <w:szCs w:val="18"/>
              </w:rPr>
              <w:t xml:space="preserve">Real transactions completed</w:t>
            </w:r>
          </w:p>
        </w:tc>
        <w:tc>
          <w:tcPr>
            <w:tcW w:type="dxa" w:w="2340"/>
            <w:tcBorders>
              <w:top w:val="single" w:color="CCCCCC" w:sz="1"/>
              <w:left w:val="single" w:color="CCCCCC" w:sz="1"/>
              <w:bottom w:val="single" w:color="CCCCCC" w:sz="1"/>
              <w:right w:val="single" w:color="CCCCCC" w:sz="1"/>
            </w:tcBorders>
            <w:shd w:fill="2E7D32" w:val="clear"/>
            <w:tcMar>
              <w:top w:type="dxa" w:w="140"/>
              <w:left w:type="dxa" w:w="120"/>
              <w:bottom w:type="dxa" w:w="140"/>
              <w:right w:type="dxa" w:w="120"/>
            </w:tcMar>
          </w:tcPr>
          <w:p>
            <w:pPr>
              <w:jc w:val="center"/>
            </w:pPr>
            <w:r>
              <w:rPr>
                <w:rFonts w:ascii="Arial" w:cs="Arial" w:eastAsia="Arial" w:hAnsi="Arial"/>
                <w:b/>
                <w:bCs/>
                <w:color w:val="FFFFFF"/>
                <w:sz w:val="36"/>
                <w:szCs w:val="36"/>
              </w:rPr>
              <w:t xml:space="preserve">€0</w:t>
            </w:r>
          </w:p>
          <w:p>
            <w:pPr>
              <w:jc w:val="center"/>
            </w:pPr>
            <w:r>
              <w:rPr>
                <w:rFonts w:ascii="Arial" w:cs="Arial" w:eastAsia="Arial" w:hAnsi="Arial"/>
                <w:color w:val="C8E6C9"/>
                <w:sz w:val="18"/>
                <w:szCs w:val="18"/>
              </w:rPr>
              <w:t xml:space="preserve">External funding needed in period</w:t>
            </w:r>
          </w:p>
        </w:tc>
      </w:tr>
    </w:tbl>
    <w:p>
      <w:pPr>
        <w:spacing w:before="160" w:after="0"/>
      </w:pPr>
      <w:r>
        <w:t xml:space="preserve"/>
      </w:r>
    </w:p>
    <w:p>
      <w:pPr>
        <w:pStyle w:val="Heading2"/>
        <w:spacing w:before="280" w:after="120"/>
      </w:pPr>
      <w:r>
        <w:rPr>
          <w:rFonts w:ascii="Arial" w:cs="Arial" w:eastAsia="Arial" w:hAnsi="Arial"/>
          <w:b/>
          <w:bCs/>
          <w:color w:val="1B3A6B"/>
          <w:sz w:val="28"/>
          <w:szCs w:val="28"/>
        </w:rPr>
        <w:t xml:space="preserve">3-Year Financial Model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8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Metric</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Year 1 (2027)</w:t>
            </w:r>
          </w:p>
        </w:tc>
        <w:tc>
          <w:tcPr>
            <w:tcW w:type="dxa" w:w="23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Year 2 (2028)</w:t>
            </w:r>
          </w:p>
        </w:tc>
        <w:tc>
          <w:tcPr>
            <w:tcW w:type="dxa" w:w="28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Year 3 (2029)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Paying customers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40–60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150–250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600–1,000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Average Revenue Per User (ARPU/yr)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€900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€1,200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€1,440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Annual Recurring Revenue (ARR)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€36K–€54K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€180K–€300K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€864K–€1.44M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Transaction fees + ancillary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€5K–€10K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€25K–€50K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€80K–€150K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Total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€41K–€64K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€205K–€350K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€944K–€1.59M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Gross Margin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68%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74%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80%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Headcount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2 (founders)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4–5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8–12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Geographic presence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Carinthia + Styria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Austria + Bavaria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DACH + EU expansion</w:t>
            </w:r>
          </w:p>
        </w:tc>
      </w:tr>
    </w:tbl>
    <w:p>
      <w:pPr>
        <w:spacing w:before="160" w:after="0"/>
      </w:pPr>
      <w:r>
        <w:t xml:space="preserve"/>
      </w:r>
    </w:p>
    <w:p>
      <w:pPr>
        <w:pStyle w:val="Heading2"/>
        <w:spacing w:before="280" w:after="120"/>
      </w:pPr>
      <w:r>
        <w:rPr>
          <w:rFonts w:ascii="Arial" w:cs="Arial" w:eastAsia="Arial" w:hAnsi="Arial"/>
          <w:b/>
          <w:bCs/>
          <w:color w:val="1B3A6B"/>
          <w:sz w:val="28"/>
          <w:szCs w:val="28"/>
        </w:rPr>
        <w:t xml:space="preserve">Funding Strategy</w:t>
      </w:r>
    </w:p>
    <w:p>
      <w:pPr>
        <w:spacing w:before="80" w:after="80"/>
      </w:pPr>
      <w:r>
        <w:rPr>
          <w:rFonts w:ascii="Arial" w:cs="Arial" w:eastAsia="Arial" w:hAnsi="Arial"/>
          <w:color w:val="1A1A1A"/>
          <w:sz w:val="22"/>
          <w:szCs w:val="22"/>
        </w:rPr>
        <w:t xml:space="preserve">Phase 0 (Oct 2026 – Jun 2027): fully funded by vor.GRÜNDEN employment at AAU + KWF grant covering the €6,500 consulting budget. No external capital required during the programme.</w:t>
      </w:r>
    </w:p>
    <w:p>
      <w:pPr>
        <w:spacing w:before="80" w:after="0"/>
      </w:pPr>
      <w:r>
        <w:t xml:space="preserve"/>
      </w:r>
    </w:p>
    <w:p>
      <w:pPr>
        <w:spacing w:before="80" w:after="80"/>
      </w:pPr>
      <w:r>
        <w:rPr>
          <w:rFonts w:ascii="Arial" w:cs="Arial" w:eastAsia="Arial" w:hAnsi="Arial"/>
          <w:color w:val="1A1A1A"/>
          <w:sz w:val="22"/>
          <w:szCs w:val="22"/>
        </w:rPr>
        <w:t xml:space="preserve">Post-programme (Q3 2027): target a €300K–€500K pre-seed/seed round from Austrian impact investors. Primary targets: aws Gründerfonds (Austrian federal startup fund with green tech mandate), Ananda Impact Ventures (EU impact fund, circular economy thesis), Green Generation Fund (climate tech focus). At this stage, expected milestones: €3K+ MRR, WKO distribution partnership live, 30+ paying customers, Styrian expansion in progress.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14</w:t>
            </w:r>
          </w:p>
        </w:tc>
        <w:tc>
          <w:tcPr>
            <w:tcW w:type="dxa" w:w="8160"/>
            <w:tcBorders>
              <w:top w:val="none" w:color="FFFFFF" w:sz="0"/>
              <w:left w:val="none" w:color="FFFFFF" w:sz="0"/>
              <w:bottom w:val="none" w:color="FFFFFF" w:sz="0"/>
              <w:right w:val="none" w:color="FFFFFF" w:sz="0"/>
            </w:tcBorders>
            <w:shd w:fill="E8EEF7" w:val="clear"/>
            <w:tcMar>
              <w:top w:type="dxa" w:w="100"/>
              <w:left w:type="dxa" w:w="200"/>
              <w:bottom w:type="dxa" w:w="100"/>
              <w:right w:type="dxa" w:w="120"/>
            </w:tcMar>
            <w:vAlign w:val="center"/>
          </w:tcPr>
          <w:p>
            <w:r>
              <w:rPr>
                <w:rFonts w:ascii="Arial" w:cs="Arial" w:eastAsia="Arial" w:hAnsi="Arial"/>
                <w:b/>
                <w:bCs/>
                <w:color w:val="1B3A6B"/>
                <w:sz w:val="28"/>
                <w:szCs w:val="28"/>
              </w:rPr>
              <w:t xml:space="preserve">Risks &amp; Mitigation Strategies</w:t>
            </w:r>
          </w:p>
        </w:tc>
      </w:tr>
    </w:tbl>
    <w:p>
      <w:pPr>
        <w:spacing w:before="80" w:after="0"/>
      </w:pPr>
      <w:r>
        <w:t xml:space="preserve"/>
      </w:r>
    </w:p>
    <w:p>
      <w:pPr>
        <w:spacing w:before="80" w:after="80"/>
      </w:pPr>
      <w:r>
        <w:rPr>
          <w:rFonts w:ascii="Arial" w:cs="Arial" w:eastAsia="Arial" w:hAnsi="Arial"/>
          <w:b/>
          <w:bCs/>
          <w:i/>
          <w:iCs/>
          <w:color w:val="1A1A1A"/>
          <w:sz w:val="22"/>
          <w:szCs w:val="22"/>
        </w:rPr>
        <w:t xml:space="preserve">Honest assessment of what could go wrong and how to manage it.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Risk</w:t>
            </w:r>
          </w:p>
        </w:tc>
        <w:tc>
          <w:tcPr>
            <w:tcW w:type="dxa" w:w="61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 CRITICAL: Two-sided marketplace cold start</w:t>
            </w:r>
          </w:p>
          <w:p>
            <w:pPr>
              <w:spacing w:before="40" w:after="40"/>
            </w:pPr>
            <w:r>
              <w:rPr>
                <w:rFonts w:ascii="Arial" w:cs="Arial" w:eastAsia="Arial" w:hAnsi="Arial"/>
                <w:b/>
                <w:bCs/>
                <w:color w:val="1A1A1A"/>
                <w:sz w:val="20"/>
                <w:szCs w:val="20"/>
              </w:rPr>
              <w:t xml:space="preserve">If the waste exchange launches with no buyers, sellers have no reason to join, and vice versa.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Secure binding LOIs from minimum 3 sellers AND 3 buyers before launch. Approach Green Tech Valley and offer to automate their existing manual industrial symbiosis matchmaking — they already do this manually, so CirclOS is digitising their workflow, not competing with it.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 CRITICAL: Regulatory stagnation on green claims</w:t>
            </w:r>
          </w:p>
          <w:p>
            <w:pPr>
              <w:spacing w:before="40" w:after="40"/>
            </w:pPr>
            <w:r>
              <w:rPr>
                <w:rFonts w:ascii="Arial" w:cs="Arial" w:eastAsia="Arial" w:hAnsi="Arial"/>
                <w:b/>
                <w:bCs/>
                <w:color w:val="1A1A1A"/>
                <w:sz w:val="20"/>
                <w:szCs w:val="20"/>
              </w:rPr>
              <w:t xml:space="preserve">If ECGT enforcement in Austria is delayed or weak, compliance urgency narrative fades.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Build the waste exchange as the primary product — compliance is the upsell, not the core. If compliance urgency fades, there is still a functional marketplace. German and Austrian courts are enforcing strict standards independently of EU legislation.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 CRITICAL: B2C vs B2B scope gap</w:t>
            </w:r>
          </w:p>
          <w:p>
            <w:pPr>
              <w:spacing w:before="40" w:after="40"/>
            </w:pPr>
            <w:r>
              <w:rPr>
                <w:rFonts w:ascii="Arial" w:cs="Arial" w:eastAsia="Arial" w:hAnsi="Arial"/>
                <w:b/>
                <w:bCs/>
                <w:color w:val="1A1A1A"/>
                <w:sz w:val="20"/>
                <w:szCs w:val="20"/>
              </w:rPr>
              <w:t xml:space="preserve">If the majority of target SMEs are B2B-only, direct ECGT urgency does not apply to them.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Week 7 manual compliance audits must quantify the B2C vs B2B split. If predominantly B2B, reframe compliance product toward supply chain data (Scope 3) and VSME voluntary reporting rather than ECGT urgency.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 SIGNIFICANT: Legal liability from compliance tool</w:t>
            </w:r>
          </w:p>
          <w:p>
            <w:pPr>
              <w:spacing w:before="40" w:after="40"/>
            </w:pPr>
            <w:r>
              <w:rPr>
                <w:rFonts w:ascii="Arial" w:cs="Arial" w:eastAsia="Arial" w:hAnsi="Arial"/>
                <w:b/>
                <w:bCs/>
                <w:color w:val="1A1A1A"/>
                <w:sz w:val="20"/>
                <w:szCs w:val="20"/>
              </w:rPr>
              <w:t xml:space="preserve">If a company relies on CirclOS’s verdict and receives an enforcement action.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Explicit terms of service: the tool provides guidance, not legal advice. Co-sign methodology with Austrian law firm. Frame as demonstrating good-faith compliance effort. Mandatory disclaimer on all certificates.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 SIGNIFICANT: SME data reluctance</w:t>
            </w:r>
          </w:p>
          <w:p>
            <w:pPr>
              <w:spacing w:before="40" w:after="40"/>
            </w:pPr>
            <w:r>
              <w:rPr>
                <w:rFonts w:ascii="Arial" w:cs="Arial" w:eastAsia="Arial" w:hAnsi="Arial"/>
                <w:b/>
                <w:bCs/>
                <w:color w:val="1A1A1A"/>
                <w:sz w:val="20"/>
                <w:szCs w:val="20"/>
              </w:rPr>
              <w:t xml:space="preserve">Austrian manufacturers reluctant to share production volumes.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Privacy-by-design: only material category and volume ranges visible to other participants. Exact schedules are private. Present the privacy model upfront in every sales conversation.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 MODERATE: Large player copies the concept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Moat is data and relationships, not software. A company with 2 years of documented waste flows and 50 successful transactions will not switch to a new entrant. Get deep before getting wide.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 MODERATE: Technical complexity of NLP for Austrian law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Regular model updates (quarterly retraining). Human-in-the-loop review for edge cases. Conservative flagging (amber/needs-review) reduces false confidence. Law firm advisory retainer for edge cases.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15</w:t>
            </w:r>
          </w:p>
        </w:tc>
        <w:tc>
          <w:tcPr>
            <w:tcW w:type="dxa" w:w="8160"/>
            <w:tcBorders>
              <w:top w:val="none" w:color="FFFFFF" w:sz="0"/>
              <w:left w:val="none" w:color="FFFFFF" w:sz="0"/>
              <w:bottom w:val="none" w:color="FFFFFF" w:sz="0"/>
              <w:right w:val="none" w:color="FFFFFF" w:sz="0"/>
            </w:tcBorders>
            <w:shd w:fill="E8EEF7" w:val="clear"/>
            <w:tcMar>
              <w:top w:type="dxa" w:w="100"/>
              <w:left w:type="dxa" w:w="200"/>
              <w:bottom w:type="dxa" w:w="100"/>
              <w:right w:type="dxa" w:w="120"/>
            </w:tcMar>
            <w:vAlign w:val="center"/>
          </w:tcPr>
          <w:p>
            <w:r>
              <w:rPr>
                <w:rFonts w:ascii="Arial" w:cs="Arial" w:eastAsia="Arial" w:hAnsi="Arial"/>
                <w:b/>
                <w:bCs/>
                <w:color w:val="1B3A6B"/>
                <w:sz w:val="28"/>
                <w:szCs w:val="28"/>
              </w:rPr>
              <w:t xml:space="preserve">Scale Strategy: Carinthia → EU</w:t>
            </w:r>
          </w:p>
        </w:tc>
      </w:tr>
    </w:tbl>
    <w:p>
      <w:pPr>
        <w:spacing w:before="80" w:after="0"/>
      </w:pPr>
      <w:r>
        <w:t xml:space="preserve"/>
      </w:r>
    </w:p>
    <w:p>
      <w:pPr>
        <w:spacing w:before="80" w:after="80"/>
      </w:pPr>
      <w:r>
        <w:rPr>
          <w:rFonts w:ascii="Arial" w:cs="Arial" w:eastAsia="Arial" w:hAnsi="Arial"/>
          <w:b/>
          <w:bCs/>
          <w:i/>
          <w:iCs/>
          <w:color w:val="1A1A1A"/>
          <w:sz w:val="22"/>
          <w:szCs w:val="22"/>
        </w:rPr>
        <w:t xml:space="preserve">How a Klagenfurt pilot becomes European infrastructure — step by step.</w:t>
      </w:r>
    </w:p>
    <w:p>
      <w:pPr>
        <w:spacing w:before="80" w:after="0"/>
      </w:pPr>
      <w:r>
        <w:t xml:space="preserve"/>
      </w:r>
    </w:p>
    <w:p>
      <w:pPr>
        <w:spacing w:before="80" w:after="80"/>
      </w:pPr>
      <w:r>
        <w:rPr>
          <w:rFonts w:ascii="Arial" w:cs="Arial" w:eastAsia="Arial" w:hAnsi="Arial"/>
          <w:color w:val="1A1A1A"/>
          <w:sz w:val="22"/>
          <w:szCs w:val="22"/>
        </w:rPr>
        <w:t xml:space="preserve">The geographic expansion strategy follows an industrial logic: each new region shares regulatory frameworks, similar industrial profiles, and complementary waste streams with the previous region. The product adapts minimally; data from one region seeds the matching algorithm for the next.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Step</w:t>
            </w:r>
          </w:p>
        </w:tc>
        <w:tc>
          <w:tcPr>
            <w:tcW w:type="dxa" w:w="63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Step 1 — Carinthia (Oct 2026 – Jun 2027)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Beachhead market. Green Tech Valley (260+ companies), Wood K plus, Silicon Alps. Target: 50 companies on platform, 3+ monthly transactions, 15–25 paying compliance customers. Language: German. Regulation: AWG 2002 + ECGT Austria transposition.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Step 2 — Styria (Q3 2027)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Natural extension — Green Tech Valley already spans both regions. Same cluster management relationships. Graz has a strong industrial and university ecosystem (TU Graz). No product changes needed. Requires 1 additional business development hire in Graz.</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Step 3 — Austria-wide (Q4 2027)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WKO national partnership (if Kärnten partnership succeeds) provides distribution. Upper Austria (Linz — heavy industry cluster), Vorarlberg (textiles/plastics). Compliance tool requires no changes — same Austrian law. Marketplace benefits from larger national network.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Step 4 — Bavaria / Germany (Q1 2028)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Same language, same regulatory pressure (German courts strictest in Europe on green claims). Adjust compliance tool for UWG and Kreislaufwirtschaftsgesetz. Target: Munich and Nuremberg industrial clusters. German market is 10x the size of Austria — this step alone is a €500K+ ARR opportunity.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Step 5 — Switzerland (Q2 2028)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German-speaking, high industrial SME density, strong sustainability culture. Compliance tool localisation for Swiss OR (Obligationenrecht). Proximity to Austrian/German market means existing customers may have Swiss supply chain connections.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1A"/>
                <w:sz w:val="20"/>
                <w:szCs w:val="20"/>
              </w:rPr>
              <w:t xml:space="preserve">Step 6 — EU-wide platform (2028–2029)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1A"/>
                <w:sz w:val="20"/>
                <w:szCs w:val="20"/>
              </w:rPr>
              <w:t xml:space="preserve">License the platform to industrial clusters in France (SUEZ partnership), Poland (large manufacturing base), Netherlands (port logistics). The waste taxonomy and matching algorithms are language-independent once material categories are translated. Regulatory reporting API becomes the key product: EU bodies need cross-border circular economy flow data.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16</w:t>
            </w:r>
          </w:p>
        </w:tc>
        <w:tc>
          <w:tcPr>
            <w:tcW w:type="dxa" w:w="8160"/>
            <w:tcBorders>
              <w:top w:val="none" w:color="FFFFFF" w:sz="0"/>
              <w:left w:val="none" w:color="FFFFFF" w:sz="0"/>
              <w:bottom w:val="none" w:color="FFFFFF" w:sz="0"/>
              <w:right w:val="none" w:color="FFFFFF" w:sz="0"/>
            </w:tcBorders>
            <w:shd w:fill="E8EEF7" w:val="clear"/>
            <w:tcMar>
              <w:top w:type="dxa" w:w="100"/>
              <w:left w:type="dxa" w:w="200"/>
              <w:bottom w:type="dxa" w:w="100"/>
              <w:right w:type="dxa" w:w="120"/>
            </w:tcMar>
            <w:vAlign w:val="center"/>
          </w:tcPr>
          <w:p>
            <w:r>
              <w:rPr>
                <w:rFonts w:ascii="Arial" w:cs="Arial" w:eastAsia="Arial" w:hAnsi="Arial"/>
                <w:b/>
                <w:bCs/>
                <w:color w:val="1B3A6B"/>
                <w:sz w:val="28"/>
                <w:szCs w:val="28"/>
              </w:rPr>
              <w:t xml:space="preserve">Sustainability &amp; Impact</w:t>
            </w:r>
          </w:p>
        </w:tc>
      </w:tr>
    </w:tbl>
    <w:p>
      <w:pPr>
        <w:spacing w:before="80" w:after="0"/>
      </w:pPr>
      <w:r>
        <w:t xml:space="preserve"/>
      </w:r>
    </w:p>
    <w:p>
      <w:pPr>
        <w:spacing w:before="80" w:after="80"/>
      </w:pPr>
      <w:r>
        <w:rPr>
          <w:rFonts w:ascii="Arial" w:cs="Arial" w:eastAsia="Arial" w:hAnsi="Arial"/>
          <w:b/>
          <w:bCs/>
          <w:i/>
          <w:iCs/>
          <w:color w:val="1A1A1A"/>
          <w:sz w:val="22"/>
          <w:szCs w:val="22"/>
        </w:rPr>
        <w:t xml:space="preserve">Beyond profit: the measurable positive impact CirclOS creates.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18"/>
              <w:bottom w:val="single" w:color="2E7D32" w:sz="6"/>
              <w:right w:val="single" w:color="2E7D32" w:sz="6"/>
            </w:tcBorders>
            <w:shd w:fill="E8F5E9" w:val="clear"/>
            <w:tcMar>
              <w:top w:type="dxa" w:w="120"/>
              <w:left w:type="dxa" w:w="180"/>
              <w:bottom w:type="dxa" w:w="120"/>
              <w:right w:type="dxa" w:w="180"/>
            </w:tcMar>
          </w:tcPr>
          <w:p>
            <w:r>
              <w:rPr>
                <w:rFonts w:ascii="Arial" w:cs="Arial" w:eastAsia="Arial" w:hAnsi="Arial"/>
                <w:color w:val="1A1A1A"/>
                <w:sz w:val="21"/>
                <w:szCs w:val="21"/>
              </w:rPr>
              <w:t xml:space="preserve">CirclOS is not sustainability-washing a commercial product. Circularity is the core business model: the platform only generates revenue when waste is diverted from landfill and matched to productive use. Every transaction is simultaneously an economic event and an environmental one. This is the structural alignment between commercial and impact objectives that investors and programme juries look for.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D32" w:val="clear"/>
            <w:tcMar>
              <w:top w:type="dxa" w:w="100"/>
              <w:left w:type="dxa" w:w="140"/>
              <w:bottom w:type="dxa" w:w="80"/>
              <w:right w:type="dxa" w:w="140"/>
            </w:tcMar>
          </w:tcPr>
          <w:p>
            <w:pPr>
              <w:jc w:val="center"/>
            </w:pPr>
            <w:r>
              <w:rPr>
                <w:rFonts w:ascii="Arial" w:cs="Arial" w:eastAsia="Arial" w:hAnsi="Arial"/>
                <w:b/>
                <w:bCs/>
                <w:color w:val="FFFFFF"/>
                <w:sz w:val="22"/>
                <w:szCs w:val="22"/>
              </w:rPr>
              <w:t xml:space="preserve">Environmental Impact</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80"/>
              <w:right w:type="dxa" w:w="140"/>
            </w:tcMar>
          </w:tcPr>
          <w:p>
            <w:pPr>
              <w:jc w:val="center"/>
            </w:pPr>
            <w:r>
              <w:rPr>
                <w:rFonts w:ascii="Arial" w:cs="Arial" w:eastAsia="Arial" w:hAnsi="Arial"/>
                <w:b/>
                <w:bCs/>
                <w:color w:val="FFFFFF"/>
                <w:sz w:val="22"/>
                <w:szCs w:val="22"/>
              </w:rPr>
              <w:t xml:space="preserve">Economic Impact</w:t>
            </w:r>
          </w:p>
        </w:tc>
        <w:tc>
          <w:tcPr>
            <w:tcW w:type="dxa" w:w="3120"/>
            <w:tcBorders>
              <w:top w:val="single" w:color="CCCCCC" w:sz="1"/>
              <w:left w:val="single" w:color="CCCCCC" w:sz="1"/>
              <w:bottom w:val="single" w:color="CCCCCC" w:sz="1"/>
              <w:right w:val="single" w:color="CCCCCC" w:sz="1"/>
            </w:tcBorders>
            <w:shd w:fill="6A1B9A" w:val="clear"/>
            <w:tcMar>
              <w:top w:type="dxa" w:w="100"/>
              <w:left w:type="dxa" w:w="140"/>
              <w:bottom w:type="dxa" w:w="80"/>
              <w:right w:type="dxa" w:w="140"/>
            </w:tcMar>
          </w:tcPr>
          <w:p>
            <w:pPr>
              <w:jc w:val="center"/>
            </w:pPr>
            <w:r>
              <w:rPr>
                <w:rFonts w:ascii="Arial" w:cs="Arial" w:eastAsia="Arial" w:hAnsi="Arial"/>
                <w:b/>
                <w:bCs/>
                <w:color w:val="FFFFFF"/>
                <w:sz w:val="22"/>
                <w:szCs w:val="22"/>
              </w:rPr>
              <w:t xml:space="preserve">Social / Governance Impact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pStyle w:val="ListParagraph"/>
              <w:numPr>
                <w:ilvl w:val="0"/>
                <w:numId w:val="2"/>
              </w:numPr>
              <w:spacing w:before="40" w:after="40"/>
            </w:pPr>
            <w:r>
              <w:rPr>
                <w:rFonts w:ascii="Arial" w:cs="Arial" w:eastAsia="Arial" w:hAnsi="Arial"/>
                <w:sz w:val="19"/>
                <w:szCs w:val="19"/>
              </w:rPr>
              <w:t xml:space="preserve">Every platform transaction directly diverts material from landfill or incineration</w:t>
            </w:r>
          </w:p>
          <w:p>
            <w:pPr>
              <w:pStyle w:val="ListParagraph"/>
              <w:numPr>
                <w:ilvl w:val="0"/>
                <w:numId w:val="2"/>
              </w:numPr>
              <w:spacing w:before="40" w:after="40"/>
            </w:pPr>
            <w:r>
              <w:rPr>
                <w:rFonts w:ascii="Arial" w:cs="Arial" w:eastAsia="Arial" w:hAnsi="Arial"/>
                <w:sz w:val="19"/>
                <w:szCs w:val="19"/>
              </w:rPr>
              <w:t xml:space="preserve">Reduces virgin material demand in receiving industries</w:t>
            </w:r>
          </w:p>
          <w:p>
            <w:pPr>
              <w:pStyle w:val="ListParagraph"/>
              <w:numPr>
                <w:ilvl w:val="0"/>
                <w:numId w:val="2"/>
              </w:numPr>
              <w:spacing w:before="40" w:after="40"/>
            </w:pPr>
            <w:r>
              <w:rPr>
                <w:rFonts w:ascii="Arial" w:cs="Arial" w:eastAsia="Arial" w:hAnsi="Arial"/>
                <w:sz w:val="19"/>
                <w:szCs w:val="19"/>
              </w:rPr>
              <w:t xml:space="preserve">Reduces industrial transport emissions: local matching prioritised</w:t>
            </w:r>
          </w:p>
          <w:p>
            <w:pPr>
              <w:pStyle w:val="ListParagraph"/>
              <w:numPr>
                <w:ilvl w:val="0"/>
                <w:numId w:val="2"/>
              </w:numPr>
              <w:spacing w:before="40" w:after="40"/>
            </w:pPr>
            <w:r>
              <w:rPr>
                <w:rFonts w:ascii="Arial" w:cs="Arial" w:eastAsia="Arial" w:hAnsi="Arial"/>
                <w:sz w:val="19"/>
                <w:szCs w:val="19"/>
              </w:rPr>
              <w:t xml:space="preserve">Measurable contribution to EU Circular Economy Action Plan KPIs</w:t>
            </w:r>
          </w:p>
          <w:p>
            <w:pPr>
              <w:pStyle w:val="ListParagraph"/>
              <w:numPr>
                <w:ilvl w:val="0"/>
                <w:numId w:val="2"/>
              </w:numPr>
              <w:spacing w:before="40" w:after="40"/>
            </w:pPr>
            <w:r>
              <w:rPr>
                <w:rFonts w:ascii="Arial" w:cs="Arial" w:eastAsia="Arial" w:hAnsi="Arial"/>
                <w:sz w:val="19"/>
                <w:szCs w:val="19"/>
              </w:rPr>
              <w:t xml:space="preserve">Generates verified data for municipal and regional environmental reporting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pStyle w:val="ListParagraph"/>
              <w:numPr>
                <w:ilvl w:val="0"/>
                <w:numId w:val="2"/>
              </w:numPr>
              <w:spacing w:before="40" w:after="40"/>
            </w:pPr>
            <w:r>
              <w:rPr>
                <w:rFonts w:ascii="Arial" w:cs="Arial" w:eastAsia="Arial" w:hAnsi="Arial"/>
                <w:sz w:val="19"/>
                <w:szCs w:val="19"/>
              </w:rPr>
              <w:t xml:space="preserve">Converts disposal costs (€80–450/tonne) into revenue or savings for waste producers</w:t>
            </w:r>
          </w:p>
          <w:p>
            <w:pPr>
              <w:pStyle w:val="ListParagraph"/>
              <w:numPr>
                <w:ilvl w:val="0"/>
                <w:numId w:val="2"/>
              </w:numPr>
              <w:spacing w:before="40" w:after="40"/>
            </w:pPr>
            <w:r>
              <w:rPr>
                <w:rFonts w:ascii="Arial" w:cs="Arial" w:eastAsia="Arial" w:hAnsi="Arial"/>
                <w:sz w:val="19"/>
                <w:szCs w:val="19"/>
              </w:rPr>
              <w:t xml:space="preserve">Reduces raw material procurement costs for receiving companies</w:t>
            </w:r>
          </w:p>
          <w:p>
            <w:pPr>
              <w:pStyle w:val="ListParagraph"/>
              <w:numPr>
                <w:ilvl w:val="0"/>
                <w:numId w:val="2"/>
              </w:numPr>
              <w:spacing w:before="40" w:after="40"/>
            </w:pPr>
            <w:r>
              <w:rPr>
                <w:rFonts w:ascii="Arial" w:cs="Arial" w:eastAsia="Arial" w:hAnsi="Arial"/>
                <w:sz w:val="19"/>
                <w:szCs w:val="19"/>
              </w:rPr>
              <w:t xml:space="preserve">Creates economic value from materials previously destroyed</w:t>
            </w:r>
          </w:p>
          <w:p>
            <w:pPr>
              <w:pStyle w:val="ListParagraph"/>
              <w:numPr>
                <w:ilvl w:val="0"/>
                <w:numId w:val="2"/>
              </w:numPr>
              <w:spacing w:before="40" w:after="40"/>
            </w:pPr>
            <w:r>
              <w:rPr>
                <w:rFonts w:ascii="Arial" w:cs="Arial" w:eastAsia="Arial" w:hAnsi="Arial"/>
                <w:sz w:val="19"/>
                <w:szCs w:val="19"/>
              </w:rPr>
              <w:t xml:space="preserve">Strengthens local industrial supply chains — reduces import dependence</w:t>
            </w:r>
          </w:p>
          <w:p>
            <w:pPr>
              <w:pStyle w:val="ListParagraph"/>
              <w:numPr>
                <w:ilvl w:val="0"/>
                <w:numId w:val="2"/>
              </w:numPr>
              <w:spacing w:before="40" w:after="40"/>
            </w:pPr>
            <w:r>
              <w:rPr>
                <w:rFonts w:ascii="Arial" w:cs="Arial" w:eastAsia="Arial" w:hAnsi="Arial"/>
                <w:sz w:val="19"/>
                <w:szCs w:val="19"/>
              </w:rPr>
              <w:t xml:space="preserve">Supports SME competitiveness: compliance tool prevents regulatory fines (€5K–€50K range)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pStyle w:val="ListParagraph"/>
              <w:numPr>
                <w:ilvl w:val="0"/>
                <w:numId w:val="2"/>
              </w:numPr>
              <w:spacing w:before="40" w:after="40"/>
            </w:pPr>
            <w:r>
              <w:rPr>
                <w:rFonts w:ascii="Arial" w:cs="Arial" w:eastAsia="Arial" w:hAnsi="Arial"/>
                <w:sz w:val="19"/>
                <w:szCs w:val="19"/>
              </w:rPr>
              <w:t xml:space="preserve">Democratises legal compliance access: €99/month vs €300/hour consultant</w:t>
            </w:r>
          </w:p>
          <w:p>
            <w:pPr>
              <w:pStyle w:val="ListParagraph"/>
              <w:numPr>
                <w:ilvl w:val="0"/>
                <w:numId w:val="2"/>
              </w:numPr>
              <w:spacing w:before="40" w:after="40"/>
            </w:pPr>
            <w:r>
              <w:rPr>
                <w:rFonts w:ascii="Arial" w:cs="Arial" w:eastAsia="Arial" w:hAnsi="Arial"/>
                <w:sz w:val="19"/>
                <w:szCs w:val="19"/>
              </w:rPr>
              <w:t xml:space="preserve">Levels playing field between large companies and SMEs</w:t>
            </w:r>
          </w:p>
          <w:p>
            <w:pPr>
              <w:pStyle w:val="ListParagraph"/>
              <w:numPr>
                <w:ilvl w:val="0"/>
                <w:numId w:val="2"/>
              </w:numPr>
              <w:spacing w:before="40" w:after="40"/>
            </w:pPr>
            <w:r>
              <w:rPr>
                <w:rFonts w:ascii="Arial" w:cs="Arial" w:eastAsia="Arial" w:hAnsi="Arial"/>
                <w:sz w:val="19"/>
                <w:szCs w:val="19"/>
              </w:rPr>
              <w:t xml:space="preserve">Creates transparency in supply chains — stakeholders can verify sustainability claims</w:t>
            </w:r>
          </w:p>
          <w:p>
            <w:pPr>
              <w:pStyle w:val="ListParagraph"/>
              <w:numPr>
                <w:ilvl w:val="0"/>
                <w:numId w:val="2"/>
              </w:numPr>
              <w:spacing w:before="40" w:after="40"/>
            </w:pPr>
            <w:r>
              <w:rPr>
                <w:rFonts w:ascii="Arial" w:cs="Arial" w:eastAsia="Arial" w:hAnsi="Arial"/>
                <w:sz w:val="19"/>
                <w:szCs w:val="19"/>
              </w:rPr>
              <w:t xml:space="preserve">Supports Austria’s federal circular economy strategy objectives</w:t>
            </w:r>
          </w:p>
          <w:p>
            <w:pPr>
              <w:pStyle w:val="ListParagraph"/>
              <w:numPr>
                <w:ilvl w:val="0"/>
                <w:numId w:val="2"/>
              </w:numPr>
              <w:spacing w:before="40" w:after="40"/>
            </w:pPr>
            <w:r>
              <w:rPr>
                <w:rFonts w:ascii="Arial" w:cs="Arial" w:eastAsia="Arial" w:hAnsi="Arial"/>
                <w:sz w:val="19"/>
                <w:szCs w:val="19"/>
              </w:rPr>
              <w:t xml:space="preserve">Contributes to academic research: transaction data shared (anonymised) with AAU for policy research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17</w:t>
            </w:r>
          </w:p>
        </w:tc>
        <w:tc>
          <w:tcPr>
            <w:tcW w:type="dxa" w:w="8160"/>
            <w:tcBorders>
              <w:top w:val="none" w:color="FFFFFF" w:sz="0"/>
              <w:left w:val="none" w:color="FFFFFF" w:sz="0"/>
              <w:bottom w:val="none" w:color="FFFFFF" w:sz="0"/>
              <w:right w:val="none" w:color="FFFFFF" w:sz="0"/>
            </w:tcBorders>
            <w:shd w:fill="E8EEF7" w:val="clear"/>
            <w:tcMar>
              <w:top w:type="dxa" w:w="100"/>
              <w:left w:type="dxa" w:w="200"/>
              <w:bottom w:type="dxa" w:w="100"/>
              <w:right w:type="dxa" w:w="120"/>
            </w:tcMar>
            <w:vAlign w:val="center"/>
          </w:tcPr>
          <w:p>
            <w:r>
              <w:rPr>
                <w:rFonts w:ascii="Arial" w:cs="Arial" w:eastAsia="Arial" w:hAnsi="Arial"/>
                <w:b/>
                <w:bCs/>
                <w:color w:val="1B3A6B"/>
                <w:sz w:val="28"/>
                <w:szCs w:val="28"/>
              </w:rPr>
              <w:t xml:space="preserve">vor.GRÜNDEN Application Context</w:t>
            </w:r>
          </w:p>
        </w:tc>
      </w:tr>
    </w:tbl>
    <w:p>
      <w:pPr>
        <w:spacing w:before="80" w:after="0"/>
      </w:pPr>
      <w:r>
        <w:t xml:space="preserve"/>
      </w:r>
    </w:p>
    <w:p>
      <w:pPr>
        <w:spacing w:before="80" w:after="80"/>
      </w:pPr>
      <w:r>
        <w:rPr>
          <w:rFonts w:ascii="Arial" w:cs="Arial" w:eastAsia="Arial" w:hAnsi="Arial"/>
          <w:b/>
          <w:bCs/>
          <w:i/>
          <w:iCs/>
          <w:color w:val="1A1A1A"/>
          <w:sz w:val="22"/>
          <w:szCs w:val="22"/>
        </w:rPr>
        <w:t xml:space="preserve">How CirclOS maps to every programme criterion — and why it is built to win.</w:t>
      </w:r>
    </w:p>
    <w:p>
      <w:pPr>
        <w:spacing w:before="120" w:after="0"/>
      </w:pPr>
      <w:r>
        <w:t xml:space="preserve"/>
      </w:r>
    </w:p>
    <w:p>
      <w:pPr>
        <w:pStyle w:val="Heading2"/>
        <w:spacing w:before="280" w:after="120"/>
      </w:pPr>
      <w:r>
        <w:rPr>
          <w:rFonts w:ascii="Arial" w:cs="Arial" w:eastAsia="Arial" w:hAnsi="Arial"/>
          <w:b/>
          <w:bCs/>
          <w:color w:val="1B3A6B"/>
          <w:sz w:val="28"/>
          <w:szCs w:val="28"/>
        </w:rPr>
        <w:t xml:space="preserve">Alignment with Programme Requirements</w:t>
      </w:r>
    </w:p>
    <w:p>
      <w:pPr>
        <w:spacing w:before="80" w:after="0"/>
      </w:pPr>
      <w:r>
        <w:t xml:space="preserve"/>
      </w:r>
    </w:p>
    <w:p>
      <w:pPr>
        <w:spacing w:before="80" w:after="80"/>
      </w:pPr>
      <w:r>
        <w:rPr>
          <w:rFonts w:ascii="Arial" w:cs="Arial" w:eastAsia="Arial" w:hAnsi="Arial"/>
          <w:b/>
          <w:bCs/>
          <w:color w:val="1A1A1A"/>
          <w:sz w:val="22"/>
          <w:szCs w:val="22"/>
        </w:rPr>
        <w:t xml:space="preserve">Business idea with innovative potential</w:t>
      </w:r>
    </w:p>
    <w:p>
      <w:pPr>
        <w:spacing w:before="80" w:after="80"/>
      </w:pPr>
      <w:r>
        <w:rPr>
          <w:rFonts w:ascii="Arial" w:cs="Arial" w:eastAsia="Arial" w:hAnsi="Arial"/>
          <w:color w:val="1A1A1A"/>
          <w:sz w:val="22"/>
          <w:szCs w:val="22"/>
        </w:rPr>
        <w:t xml:space="preserve">CirclOS combines AI industrial waste matching with EU legal claim compliance in a single data-flywheel platform. No existing product does both. The innovation is not incremental — it is architectural: using waste transaction data as compliance evidence is a structural insight that creates a defensible product category.</w:t>
      </w:r>
    </w:p>
    <w:p>
      <w:pPr>
        <w:spacing w:before="80" w:after="0"/>
      </w:pPr>
      <w:r>
        <w:t xml:space="preserve"/>
      </w:r>
    </w:p>
    <w:p>
      <w:pPr>
        <w:spacing w:before="80" w:after="80"/>
      </w:pPr>
      <w:r>
        <w:rPr>
          <w:rFonts w:ascii="Arial" w:cs="Arial" w:eastAsia="Arial" w:hAnsi="Arial"/>
          <w:b/>
          <w:bCs/>
          <w:color w:val="1A1A1A"/>
          <w:sz w:val="22"/>
          <w:szCs w:val="22"/>
        </w:rPr>
        <w:t xml:space="preserve">Project planning</w:t>
      </w:r>
    </w:p>
    <w:p>
      <w:pPr>
        <w:spacing w:before="80" w:after="80"/>
      </w:pPr>
      <w:r>
        <w:rPr>
          <w:rFonts w:ascii="Arial" w:cs="Arial" w:eastAsia="Arial" w:hAnsi="Arial"/>
          <w:color w:val="1A1A1A"/>
          <w:sz w:val="22"/>
          <w:szCs w:val="22"/>
        </w:rPr>
        <w:t xml:space="preserve">Detailed week-by-week 9-month execution plan with clear phase gates, dependencies, and deliverables. Phase sequencing is grounded in technical and commercial dependencies, not arbitrary milestones. Screening event (February) and Demo Day (June) each have specific target metrics that are achievable within the programme timeline.</w:t>
      </w:r>
    </w:p>
    <w:p>
      <w:pPr>
        <w:spacing w:before="80" w:after="0"/>
      </w:pPr>
      <w:r>
        <w:t xml:space="preserve"/>
      </w:r>
    </w:p>
    <w:p>
      <w:pPr>
        <w:spacing w:before="80" w:after="80"/>
      </w:pPr>
      <w:r>
        <w:rPr>
          <w:rFonts w:ascii="Arial" w:cs="Arial" w:eastAsia="Arial" w:hAnsi="Arial"/>
          <w:b/>
          <w:bCs/>
          <w:color w:val="1A1A1A"/>
          <w:sz w:val="22"/>
          <w:szCs w:val="22"/>
        </w:rPr>
        <w:t xml:space="preserve">Contribution to sustainability</w:t>
      </w:r>
    </w:p>
    <w:p>
      <w:pPr>
        <w:spacing w:before="80" w:after="80"/>
      </w:pPr>
      <w:r>
        <w:rPr>
          <w:rFonts w:ascii="Arial" w:cs="Arial" w:eastAsia="Arial" w:hAnsi="Arial"/>
          <w:color w:val="1A1A1A"/>
          <w:sz w:val="22"/>
          <w:szCs w:val="22"/>
        </w:rPr>
        <w:t xml:space="preserve">Sustainability is the core business model, not a side effect. Every transaction diverts industrial waste from landfill. The compliance tool incentivises accurate environmental claims, reducing greenwashing across the Austrian SME economy. Directly supports EU Circular Economy Action Plan, Austrian national circular economy strategy, and UN SDGs 12 (responsible consumption) and 13 (climate action).</w:t>
      </w:r>
    </w:p>
    <w:p>
      <w:pPr>
        <w:spacing w:before="80" w:after="0"/>
      </w:pPr>
      <w:r>
        <w:t xml:space="preserve"/>
      </w:r>
    </w:p>
    <w:p>
      <w:pPr>
        <w:spacing w:before="80" w:after="80"/>
      </w:pPr>
      <w:r>
        <w:rPr>
          <w:rFonts w:ascii="Arial" w:cs="Arial" w:eastAsia="Arial" w:hAnsi="Arial"/>
          <w:b/>
          <w:bCs/>
          <w:color w:val="1A1A1A"/>
          <w:sz w:val="22"/>
          <w:szCs w:val="22"/>
        </w:rPr>
        <w:t xml:space="preserve">Market situation</w:t>
      </w:r>
    </w:p>
    <w:p>
      <w:pPr>
        <w:spacing w:before="80" w:after="80"/>
      </w:pPr>
      <w:r>
        <w:rPr>
          <w:rFonts w:ascii="Arial" w:cs="Arial" w:eastAsia="Arial" w:hAnsi="Arial"/>
          <w:color w:val="1A1A1A"/>
          <w:sz w:val="22"/>
          <w:szCs w:val="22"/>
        </w:rPr>
        <w:t xml:space="preserve">EU waste management sector at €9.5B with lowest digitalisation of any sector. EU green compliance SaaS market at €1.8B with September 2026 enforcement deadline creating acute demand. Carinthia’s Green Tech Valley provides 260+ receptive first customers. WKO distribution channel covers 43,000+ Austrian SMEs for national scale.</w:t>
      </w:r>
    </w:p>
    <w:p>
      <w:pPr>
        <w:spacing w:before="80" w:after="0"/>
      </w:pPr>
      <w:r>
        <w:t xml:space="preserve"/>
      </w:r>
    </w:p>
    <w:p>
      <w:pPr>
        <w:spacing w:before="80" w:after="80"/>
      </w:pPr>
      <w:r>
        <w:rPr>
          <w:rFonts w:ascii="Arial" w:cs="Arial" w:eastAsia="Arial" w:hAnsi="Arial"/>
          <w:b/>
          <w:bCs/>
          <w:color w:val="1A1A1A"/>
          <w:sz w:val="22"/>
          <w:szCs w:val="22"/>
        </w:rPr>
        <w:t xml:space="preserve">Business planning</w:t>
      </w:r>
    </w:p>
    <w:p>
      <w:pPr>
        <w:spacing w:before="80" w:after="80"/>
      </w:pPr>
      <w:r>
        <w:rPr>
          <w:rFonts w:ascii="Arial" w:cs="Arial" w:eastAsia="Arial" w:hAnsi="Arial"/>
          <w:color w:val="1A1A1A"/>
          <w:sz w:val="22"/>
          <w:szCs w:val="22"/>
        </w:rPr>
        <w:t xml:space="preserve">Three-tier pricing (€49–€299/month) with clear upsell path from free marketplace to compliance SaaS. Gross margins of 68–80%. Conservative Year 3 ARR target of €864K–€1.44M. Funding path through aws Gründerfonds and impact investors post-programme. WKO partnership as distribution moat.</w:t>
      </w:r>
    </w:p>
    <w:p>
      <w:pPr>
        <w:spacing w:before="80" w:after="0"/>
      </w:pPr>
      <w:r>
        <w:t xml:space="preserve"/>
      </w:r>
    </w:p>
    <w:p>
      <w:pPr>
        <w:spacing w:before="80" w:after="80"/>
      </w:pPr>
      <w:r>
        <w:rPr>
          <w:rFonts w:ascii="Arial" w:cs="Arial" w:eastAsia="Arial" w:hAnsi="Arial"/>
          <w:b/>
          <w:bCs/>
          <w:color w:val="1A1A1A"/>
          <w:sz w:val="22"/>
          <w:szCs w:val="22"/>
        </w:rPr>
        <w:t xml:space="preserve">Why CirclOS is built for vor.GRÜNDEN</w:t>
      </w:r>
    </w:p>
    <w:p>
      <w:pPr>
        <w:spacing w:before="80" w:after="80"/>
      </w:pPr>
      <w:r>
        <w:rPr>
          <w:rFonts w:ascii="Arial" w:cs="Arial" w:eastAsia="Arial" w:hAnsi="Arial"/>
          <w:color w:val="1A1A1A"/>
          <w:sz w:val="22"/>
          <w:szCs w:val="22"/>
        </w:rPr>
        <w:t xml:space="preserve">The programme teaches us to build with regulatory awareness. CirclOS treats EU law not as a constraint but as the market driver. The AI-driven innovation (ML matching + NLP compliance), the international-first addressable market with no geographic ceiling, and the AAU academic anchor in the QED economics department — together these address all programme priorities simultaneously. CirclOS has European regulatory tailwind as the market driver, and AAU’s institutional credibility as the academic anchor.</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300"/>
              <w:left w:type="dxa" w:w="400"/>
              <w:bottom w:type="dxa" w:w="300"/>
              <w:right w:type="dxa" w:w="400"/>
            </w:tcMar>
          </w:tcPr>
          <w:p>
            <w:pPr>
              <w:jc w:val="center"/>
            </w:pPr>
            <w:r>
              <w:rPr>
                <w:rFonts w:ascii="Arial" w:cs="Arial" w:eastAsia="Arial" w:hAnsi="Arial"/>
                <w:b/>
                <w:bCs/>
                <w:color w:val="FFFFFF"/>
                <w:sz w:val="48"/>
                <w:szCs w:val="48"/>
              </w:rPr>
              <w:t xml:space="preserve">CirclOS</w:t>
            </w:r>
          </w:p>
          <w:p>
            <w:pPr>
              <w:spacing w:before="80"/>
              <w:jc w:val="center"/>
            </w:pPr>
            <w:r>
              <w:rPr>
                <w:rFonts w:ascii="Arial" w:cs="Arial" w:eastAsia="Arial" w:hAnsi="Arial"/>
                <w:i/>
                <w:iCs/>
                <w:color w:val="B8CCE8"/>
                <w:sz w:val="24"/>
                <w:szCs w:val="24"/>
              </w:rPr>
              <w:t xml:space="preserve">The operating system for circular and compliant manufacturing SMEs.</w:t>
            </w:r>
          </w:p>
          <w:p>
            <w:pPr>
              <w:spacing w:before="80"/>
              <w:jc w:val="center"/>
            </w:pPr>
            <w:r>
              <w:rPr>
                <w:rFonts w:ascii="Arial" w:cs="Arial" w:eastAsia="Arial" w:hAnsi="Arial"/>
                <w:color w:val="B8CCE8"/>
                <w:sz w:val="20"/>
                <w:szCs w:val="20"/>
              </w:rPr>
              <w:t xml:space="preserve">Klagenfurt, Carinthia, Austria · vor.GRÜNDEN 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2026-03-22T20:44:37.823Z</dcterms:created>
  <dcterms:modified xsi:type="dcterms:W3CDTF">2026-03-22T20:44:37.823Z</dcterms:modified>
</cp:coreProperties>
</file>

<file path=docProps/custom.xml><?xml version="1.0" encoding="utf-8"?>
<Properties xmlns="http://schemas.openxmlformats.org/officeDocument/2006/custom-properties" xmlns:vt="http://schemas.openxmlformats.org/officeDocument/2006/docPropsVTypes"/>
</file>