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09DD8" w14:textId="77777777" w:rsidR="000671D8" w:rsidRDefault="00DA25FF" w:rsidP="00B11DEF">
      <w:pPr>
        <w:spacing w:after="0" w:line="240" w:lineRule="auto"/>
        <w:jc w:val="right"/>
      </w:pPr>
      <w:r>
        <w:t xml:space="preserve"> Michael Torres</w:t>
      </w:r>
    </w:p>
    <w:p w14:paraId="689950DD" w14:textId="77777777" w:rsidR="00B11DEF" w:rsidRDefault="00B11DEF" w:rsidP="00B11DEF">
      <w:pPr>
        <w:spacing w:after="0" w:line="240" w:lineRule="auto"/>
        <w:jc w:val="right"/>
      </w:pPr>
      <w:r>
        <w:t>Lab Partner:</w:t>
      </w:r>
      <w:r w:rsidR="00DA25FF">
        <w:t xml:space="preserve"> Michael Moshi</w:t>
      </w:r>
    </w:p>
    <w:p w14:paraId="5CC01682" w14:textId="77777777" w:rsidR="00B11DEF" w:rsidRDefault="00B11DEF"/>
    <w:p w14:paraId="502C6C77" w14:textId="77777777" w:rsidR="00B11DEF" w:rsidRPr="00B11DEF" w:rsidRDefault="00864214" w:rsidP="00B11DEF">
      <w:pPr>
        <w:jc w:val="center"/>
        <w:rPr>
          <w:b/>
          <w:sz w:val="32"/>
          <w:szCs w:val="32"/>
        </w:rPr>
      </w:pPr>
      <w:r>
        <w:rPr>
          <w:b/>
          <w:sz w:val="32"/>
          <w:szCs w:val="32"/>
        </w:rPr>
        <w:t>Grignard Reaction</w:t>
      </w:r>
    </w:p>
    <w:p w14:paraId="5349F901" w14:textId="77777777" w:rsidR="00B11DEF" w:rsidRDefault="00B11DEF"/>
    <w:p w14:paraId="495DF107" w14:textId="34132792" w:rsidR="00520E75" w:rsidRDefault="00B11DEF" w:rsidP="00B11DEF">
      <w:pPr>
        <w:rPr>
          <w:sz w:val="24"/>
          <w:szCs w:val="24"/>
        </w:rPr>
      </w:pPr>
      <w:r>
        <w:rPr>
          <w:b/>
          <w:sz w:val="24"/>
          <w:szCs w:val="24"/>
        </w:rPr>
        <w:t>Purpose</w:t>
      </w:r>
      <w:r w:rsidRPr="00B11DEF">
        <w:rPr>
          <w:b/>
          <w:sz w:val="24"/>
          <w:szCs w:val="24"/>
        </w:rPr>
        <w:t>:</w:t>
      </w:r>
      <w:r w:rsidRPr="00B11DEF">
        <w:rPr>
          <w:sz w:val="24"/>
          <w:szCs w:val="24"/>
        </w:rPr>
        <w:t xml:space="preserve"> </w:t>
      </w:r>
      <w:r w:rsidR="00DA25FF">
        <w:rPr>
          <w:sz w:val="24"/>
          <w:szCs w:val="24"/>
        </w:rPr>
        <w:t xml:space="preserve">The purpose of this experiment is to further our understanding and conduct </w:t>
      </w:r>
      <w:r w:rsidR="00037B42">
        <w:rPr>
          <w:sz w:val="24"/>
          <w:szCs w:val="24"/>
        </w:rPr>
        <w:t>a</w:t>
      </w:r>
      <w:r w:rsidR="00DA25FF">
        <w:rPr>
          <w:sz w:val="24"/>
          <w:szCs w:val="24"/>
        </w:rPr>
        <w:t xml:space="preserve"> reaction known as the Grignard Reaction.  </w:t>
      </w:r>
      <w:r w:rsidR="00037B42">
        <w:rPr>
          <w:sz w:val="24"/>
          <w:szCs w:val="24"/>
        </w:rPr>
        <w:t xml:space="preserve">Through this reaction, we </w:t>
      </w:r>
      <w:proofErr w:type="gramStart"/>
      <w:r w:rsidR="00037B42">
        <w:rPr>
          <w:sz w:val="24"/>
          <w:szCs w:val="24"/>
        </w:rPr>
        <w:t>are able to</w:t>
      </w:r>
      <w:proofErr w:type="gramEnd"/>
      <w:r w:rsidR="00037B42">
        <w:rPr>
          <w:sz w:val="24"/>
          <w:szCs w:val="24"/>
        </w:rPr>
        <w:t xml:space="preserve"> synthesize </w:t>
      </w:r>
      <w:r w:rsidR="009024DC">
        <w:rPr>
          <w:sz w:val="24"/>
          <w:szCs w:val="24"/>
        </w:rPr>
        <w:t xml:space="preserve">a tertiary alcohol by using an excess of an </w:t>
      </w:r>
      <w:proofErr w:type="spellStart"/>
      <w:r w:rsidR="009024DC">
        <w:rPr>
          <w:sz w:val="24"/>
          <w:szCs w:val="24"/>
        </w:rPr>
        <w:t>organomagnesium</w:t>
      </w:r>
      <w:proofErr w:type="spellEnd"/>
      <w:r w:rsidR="009024DC">
        <w:rPr>
          <w:sz w:val="24"/>
          <w:szCs w:val="24"/>
        </w:rPr>
        <w:t xml:space="preserve"> halide such as </w:t>
      </w:r>
      <w:proofErr w:type="spellStart"/>
      <w:r w:rsidR="009024DC" w:rsidRPr="009024DC">
        <w:rPr>
          <w:sz w:val="24"/>
          <w:szCs w:val="24"/>
        </w:rPr>
        <w:t>phenylmagnesium</w:t>
      </w:r>
      <w:proofErr w:type="spellEnd"/>
      <w:r w:rsidR="009024DC" w:rsidRPr="009024DC">
        <w:rPr>
          <w:sz w:val="24"/>
          <w:szCs w:val="24"/>
        </w:rPr>
        <w:t xml:space="preserve"> bromide</w:t>
      </w:r>
      <w:r w:rsidR="009024DC">
        <w:rPr>
          <w:sz w:val="24"/>
          <w:szCs w:val="24"/>
        </w:rPr>
        <w:t xml:space="preserve">.  </w:t>
      </w:r>
    </w:p>
    <w:p w14:paraId="1D726D15" w14:textId="441030C8" w:rsidR="004276A7" w:rsidRDefault="00B11DEF" w:rsidP="00B11DEF">
      <w:pPr>
        <w:rPr>
          <w:sz w:val="24"/>
          <w:szCs w:val="24"/>
        </w:rPr>
      </w:pPr>
      <w:r w:rsidRPr="00B11DEF">
        <w:rPr>
          <w:b/>
          <w:sz w:val="24"/>
          <w:szCs w:val="24"/>
        </w:rPr>
        <w:t>Reaction(s):</w:t>
      </w:r>
      <w:r w:rsidR="004276A7">
        <w:rPr>
          <w:sz w:val="24"/>
          <w:szCs w:val="24"/>
        </w:rPr>
        <w:t xml:space="preserve"> </w:t>
      </w:r>
    </w:p>
    <w:p w14:paraId="427739BC" w14:textId="0224424D" w:rsidR="00B11DEF" w:rsidRDefault="005D469C" w:rsidP="00B11DEF">
      <w:pPr>
        <w:rPr>
          <w:sz w:val="24"/>
          <w:szCs w:val="24"/>
        </w:rPr>
      </w:pPr>
      <w:r>
        <w:rPr>
          <w:noProof/>
        </w:rPr>
        <w:object w:dxaOrig="8783" w:dyaOrig="4823" w14:anchorId="5BAFCB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38.45pt;height:241.1pt;mso-width-percent:0;mso-height-percent:0;mso-width-percent:0;mso-height-percent:0" o:ole="">
            <v:imagedata r:id="rId7" o:title=""/>
          </v:shape>
          <o:OLEObject Type="Embed" ProgID="ChemDraw.Document.6.0" ShapeID="_x0000_i1025" DrawAspect="Content" ObjectID="_1732975222" r:id="rId8"/>
        </w:object>
      </w:r>
    </w:p>
    <w:p w14:paraId="1C18563C" w14:textId="77777777" w:rsidR="0083093A" w:rsidRDefault="0083093A" w:rsidP="00B11DEF">
      <w:pPr>
        <w:rPr>
          <w:sz w:val="24"/>
          <w:szCs w:val="24"/>
        </w:rPr>
      </w:pPr>
    </w:p>
    <w:p w14:paraId="6CB101DA" w14:textId="15A38E9B" w:rsidR="000671D8" w:rsidRDefault="000671D8" w:rsidP="0083093A">
      <w:pPr>
        <w:rPr>
          <w:sz w:val="24"/>
          <w:szCs w:val="24"/>
        </w:rPr>
      </w:pPr>
      <w:r w:rsidRPr="0083093A">
        <w:rPr>
          <w:b/>
          <w:sz w:val="24"/>
          <w:szCs w:val="24"/>
        </w:rPr>
        <w:t>Physical Properties of Reagent</w:t>
      </w:r>
      <w:r w:rsidR="00FB7C5C">
        <w:rPr>
          <w:b/>
          <w:sz w:val="24"/>
          <w:szCs w:val="24"/>
        </w:rPr>
        <w:t>s:</w:t>
      </w:r>
    </w:p>
    <w:tbl>
      <w:tblPr>
        <w:tblStyle w:val="TableGrid"/>
        <w:tblW w:w="9463" w:type="dxa"/>
        <w:jc w:val="center"/>
        <w:tblLook w:val="04A0" w:firstRow="1" w:lastRow="0" w:firstColumn="1" w:lastColumn="0" w:noHBand="0" w:noVBand="1"/>
      </w:tblPr>
      <w:tblGrid>
        <w:gridCol w:w="2785"/>
        <w:gridCol w:w="2190"/>
        <w:gridCol w:w="1238"/>
        <w:gridCol w:w="1318"/>
        <w:gridCol w:w="919"/>
        <w:gridCol w:w="1013"/>
      </w:tblGrid>
      <w:tr w:rsidR="000671D8" w:rsidRPr="00B11DEF" w14:paraId="4CB54D90" w14:textId="77777777" w:rsidTr="002558E8">
        <w:trPr>
          <w:trHeight w:val="440"/>
          <w:jc w:val="center"/>
        </w:trPr>
        <w:tc>
          <w:tcPr>
            <w:tcW w:w="2785" w:type="dxa"/>
            <w:vAlign w:val="center"/>
          </w:tcPr>
          <w:p w14:paraId="5DA10207" w14:textId="77777777" w:rsidR="000671D8" w:rsidRPr="00B11DEF" w:rsidRDefault="000671D8" w:rsidP="0045502C">
            <w:pPr>
              <w:jc w:val="center"/>
              <w:rPr>
                <w:sz w:val="24"/>
                <w:szCs w:val="24"/>
              </w:rPr>
            </w:pPr>
            <w:r w:rsidRPr="00B11DEF">
              <w:rPr>
                <w:sz w:val="24"/>
                <w:szCs w:val="24"/>
              </w:rPr>
              <w:t>Reagent</w:t>
            </w:r>
          </w:p>
        </w:tc>
        <w:tc>
          <w:tcPr>
            <w:tcW w:w="2190" w:type="dxa"/>
            <w:vAlign w:val="center"/>
          </w:tcPr>
          <w:p w14:paraId="04D7ADDF" w14:textId="77777777" w:rsidR="000671D8" w:rsidRPr="00B11DEF" w:rsidRDefault="000671D8" w:rsidP="0045502C">
            <w:pPr>
              <w:jc w:val="center"/>
              <w:rPr>
                <w:sz w:val="24"/>
                <w:szCs w:val="24"/>
              </w:rPr>
            </w:pPr>
            <w:r w:rsidRPr="00B11DEF">
              <w:rPr>
                <w:sz w:val="24"/>
                <w:szCs w:val="24"/>
              </w:rPr>
              <w:t>Structure</w:t>
            </w:r>
          </w:p>
        </w:tc>
        <w:tc>
          <w:tcPr>
            <w:tcW w:w="1238" w:type="dxa"/>
            <w:vAlign w:val="center"/>
          </w:tcPr>
          <w:p w14:paraId="613609FE" w14:textId="77777777" w:rsidR="000671D8" w:rsidRPr="00B11DEF" w:rsidRDefault="000671D8" w:rsidP="0045502C">
            <w:pPr>
              <w:jc w:val="center"/>
              <w:rPr>
                <w:sz w:val="24"/>
                <w:szCs w:val="24"/>
              </w:rPr>
            </w:pPr>
            <w:r w:rsidRPr="00B11DEF">
              <w:rPr>
                <w:sz w:val="24"/>
                <w:szCs w:val="24"/>
              </w:rPr>
              <w:t>Molecular Formula</w:t>
            </w:r>
          </w:p>
        </w:tc>
        <w:tc>
          <w:tcPr>
            <w:tcW w:w="1318" w:type="dxa"/>
            <w:vAlign w:val="center"/>
          </w:tcPr>
          <w:p w14:paraId="712A4823" w14:textId="77777777" w:rsidR="000671D8" w:rsidRPr="00B11DEF" w:rsidRDefault="000671D8" w:rsidP="000671D8">
            <w:pPr>
              <w:jc w:val="center"/>
              <w:rPr>
                <w:sz w:val="24"/>
                <w:szCs w:val="24"/>
              </w:rPr>
            </w:pPr>
            <w:r w:rsidRPr="00B11DEF">
              <w:rPr>
                <w:sz w:val="24"/>
                <w:szCs w:val="24"/>
              </w:rPr>
              <w:t>Molecular Weight</w:t>
            </w:r>
            <w:r w:rsidRPr="00B11DEF">
              <w:rPr>
                <w:sz w:val="24"/>
                <w:szCs w:val="24"/>
              </w:rPr>
              <w:br/>
              <w:t>(g/mol)</w:t>
            </w:r>
          </w:p>
        </w:tc>
        <w:tc>
          <w:tcPr>
            <w:tcW w:w="919" w:type="dxa"/>
            <w:vAlign w:val="center"/>
          </w:tcPr>
          <w:p w14:paraId="7E1E5202" w14:textId="77777777" w:rsidR="000671D8" w:rsidRPr="00B11DEF" w:rsidRDefault="000671D8" w:rsidP="0045502C">
            <w:pPr>
              <w:jc w:val="center"/>
              <w:rPr>
                <w:sz w:val="24"/>
                <w:szCs w:val="24"/>
              </w:rPr>
            </w:pPr>
            <w:r w:rsidRPr="00B11DEF">
              <w:rPr>
                <w:sz w:val="24"/>
                <w:szCs w:val="24"/>
              </w:rPr>
              <w:t>Boiling Point (°C)</w:t>
            </w:r>
          </w:p>
        </w:tc>
        <w:tc>
          <w:tcPr>
            <w:tcW w:w="1013" w:type="dxa"/>
            <w:vAlign w:val="center"/>
          </w:tcPr>
          <w:p w14:paraId="6C3D1B1F" w14:textId="77777777" w:rsidR="000671D8" w:rsidRPr="00B11DEF" w:rsidRDefault="000671D8" w:rsidP="000671D8">
            <w:pPr>
              <w:jc w:val="center"/>
              <w:rPr>
                <w:sz w:val="24"/>
                <w:szCs w:val="24"/>
              </w:rPr>
            </w:pPr>
            <w:r w:rsidRPr="00B11DEF">
              <w:rPr>
                <w:sz w:val="24"/>
                <w:szCs w:val="24"/>
              </w:rPr>
              <w:t xml:space="preserve">Density </w:t>
            </w:r>
          </w:p>
          <w:p w14:paraId="7F4672F6" w14:textId="77777777" w:rsidR="000671D8" w:rsidRPr="00B11DEF" w:rsidRDefault="000671D8" w:rsidP="000671D8">
            <w:pPr>
              <w:jc w:val="center"/>
              <w:rPr>
                <w:sz w:val="24"/>
                <w:szCs w:val="24"/>
              </w:rPr>
            </w:pPr>
            <w:r w:rsidRPr="00B11DEF">
              <w:rPr>
                <w:sz w:val="24"/>
                <w:szCs w:val="24"/>
              </w:rPr>
              <w:t>(g/mL)</w:t>
            </w:r>
          </w:p>
        </w:tc>
      </w:tr>
      <w:tr w:rsidR="000671D8" w:rsidRPr="00B11DEF" w14:paraId="30DFE463" w14:textId="77777777" w:rsidTr="002558E8">
        <w:trPr>
          <w:trHeight w:val="1152"/>
          <w:jc w:val="center"/>
        </w:trPr>
        <w:tc>
          <w:tcPr>
            <w:tcW w:w="2785" w:type="dxa"/>
            <w:vAlign w:val="center"/>
          </w:tcPr>
          <w:p w14:paraId="626D7370" w14:textId="77777777" w:rsidR="000671D8" w:rsidRPr="00B11DEF" w:rsidRDefault="00864214" w:rsidP="0045502C">
            <w:pPr>
              <w:jc w:val="center"/>
              <w:rPr>
                <w:sz w:val="24"/>
                <w:szCs w:val="24"/>
              </w:rPr>
            </w:pPr>
            <w:r>
              <w:rPr>
                <w:sz w:val="24"/>
                <w:szCs w:val="24"/>
              </w:rPr>
              <w:t>Bromobenzene</w:t>
            </w:r>
          </w:p>
        </w:tc>
        <w:tc>
          <w:tcPr>
            <w:tcW w:w="2190" w:type="dxa"/>
            <w:vAlign w:val="center"/>
          </w:tcPr>
          <w:p w14:paraId="1BF27FA2" w14:textId="2903F2F2" w:rsidR="000671D8" w:rsidRPr="00B11DEF" w:rsidRDefault="0042699F" w:rsidP="0045502C">
            <w:pPr>
              <w:jc w:val="center"/>
              <w:rPr>
                <w:sz w:val="24"/>
                <w:szCs w:val="24"/>
              </w:rPr>
            </w:pPr>
            <w:r w:rsidRPr="0042699F">
              <w:rPr>
                <w:noProof/>
                <w:sz w:val="24"/>
                <w:szCs w:val="24"/>
                <w:lang w:eastAsia="en-US"/>
              </w:rPr>
              <w:drawing>
                <wp:inline distT="0" distB="0" distL="0" distR="0" wp14:anchorId="178BF613" wp14:editId="6F6BE74E">
                  <wp:extent cx="406400" cy="6731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400" cy="673100"/>
                          </a:xfrm>
                          <a:prstGeom prst="rect">
                            <a:avLst/>
                          </a:prstGeom>
                        </pic:spPr>
                      </pic:pic>
                    </a:graphicData>
                  </a:graphic>
                </wp:inline>
              </w:drawing>
            </w:r>
          </w:p>
        </w:tc>
        <w:tc>
          <w:tcPr>
            <w:tcW w:w="1238" w:type="dxa"/>
            <w:vAlign w:val="center"/>
          </w:tcPr>
          <w:p w14:paraId="41172B90" w14:textId="77777777" w:rsidR="000671D8" w:rsidRPr="00B11DEF" w:rsidRDefault="00277E1A" w:rsidP="00277E1A">
            <w:pPr>
              <w:jc w:val="center"/>
              <w:rPr>
                <w:sz w:val="24"/>
                <w:szCs w:val="24"/>
              </w:rPr>
            </w:pPr>
            <w:r w:rsidRPr="00277E1A">
              <w:rPr>
                <w:sz w:val="24"/>
                <w:szCs w:val="24"/>
              </w:rPr>
              <w:t>C</w:t>
            </w:r>
            <w:r w:rsidRPr="00277E1A">
              <w:rPr>
                <w:sz w:val="24"/>
                <w:szCs w:val="24"/>
                <w:vertAlign w:val="subscript"/>
              </w:rPr>
              <w:t>6</w:t>
            </w:r>
            <w:r w:rsidRPr="00277E1A">
              <w:rPr>
                <w:sz w:val="24"/>
                <w:szCs w:val="24"/>
              </w:rPr>
              <w:t>H</w:t>
            </w:r>
            <w:r w:rsidRPr="00277E1A">
              <w:rPr>
                <w:sz w:val="24"/>
                <w:szCs w:val="24"/>
                <w:vertAlign w:val="subscript"/>
              </w:rPr>
              <w:t>5</w:t>
            </w:r>
            <w:r w:rsidRPr="00277E1A">
              <w:rPr>
                <w:sz w:val="24"/>
                <w:szCs w:val="24"/>
              </w:rPr>
              <w:t>Br</w:t>
            </w:r>
          </w:p>
        </w:tc>
        <w:tc>
          <w:tcPr>
            <w:tcW w:w="1318" w:type="dxa"/>
            <w:vAlign w:val="center"/>
          </w:tcPr>
          <w:p w14:paraId="30EF189E" w14:textId="77777777" w:rsidR="000671D8" w:rsidRPr="00B11DEF" w:rsidRDefault="00277E1A" w:rsidP="0045502C">
            <w:pPr>
              <w:jc w:val="center"/>
              <w:rPr>
                <w:sz w:val="24"/>
                <w:szCs w:val="24"/>
              </w:rPr>
            </w:pPr>
            <w:r>
              <w:rPr>
                <w:sz w:val="24"/>
                <w:szCs w:val="24"/>
              </w:rPr>
              <w:t>157</w:t>
            </w:r>
          </w:p>
        </w:tc>
        <w:tc>
          <w:tcPr>
            <w:tcW w:w="919" w:type="dxa"/>
            <w:vAlign w:val="center"/>
          </w:tcPr>
          <w:p w14:paraId="5F902F0D" w14:textId="77777777" w:rsidR="000671D8" w:rsidRPr="00B11DEF" w:rsidRDefault="00277E1A" w:rsidP="0045502C">
            <w:pPr>
              <w:jc w:val="center"/>
              <w:rPr>
                <w:sz w:val="24"/>
                <w:szCs w:val="24"/>
              </w:rPr>
            </w:pPr>
            <w:r>
              <w:rPr>
                <w:sz w:val="24"/>
                <w:szCs w:val="24"/>
              </w:rPr>
              <w:t>156</w:t>
            </w:r>
          </w:p>
        </w:tc>
        <w:tc>
          <w:tcPr>
            <w:tcW w:w="1013" w:type="dxa"/>
            <w:vAlign w:val="center"/>
          </w:tcPr>
          <w:p w14:paraId="3969F4C4" w14:textId="77777777" w:rsidR="000671D8" w:rsidRPr="00B11DEF" w:rsidRDefault="00277E1A" w:rsidP="0045502C">
            <w:pPr>
              <w:jc w:val="center"/>
              <w:rPr>
                <w:sz w:val="24"/>
                <w:szCs w:val="24"/>
              </w:rPr>
            </w:pPr>
            <w:r>
              <w:rPr>
                <w:sz w:val="24"/>
                <w:szCs w:val="24"/>
              </w:rPr>
              <w:t>1.5</w:t>
            </w:r>
          </w:p>
        </w:tc>
      </w:tr>
      <w:tr w:rsidR="002558E8" w:rsidRPr="00B11DEF" w14:paraId="7603E6C5" w14:textId="77777777" w:rsidTr="002558E8">
        <w:trPr>
          <w:trHeight w:val="1152"/>
          <w:jc w:val="center"/>
        </w:trPr>
        <w:tc>
          <w:tcPr>
            <w:tcW w:w="2785" w:type="dxa"/>
            <w:vAlign w:val="center"/>
          </w:tcPr>
          <w:p w14:paraId="184973FF" w14:textId="77777777" w:rsidR="002558E8" w:rsidRDefault="00864214" w:rsidP="0045502C">
            <w:pPr>
              <w:jc w:val="center"/>
              <w:rPr>
                <w:sz w:val="24"/>
                <w:szCs w:val="24"/>
              </w:rPr>
            </w:pPr>
            <w:r>
              <w:rPr>
                <w:sz w:val="24"/>
                <w:szCs w:val="24"/>
              </w:rPr>
              <w:lastRenderedPageBreak/>
              <w:t>Methyl benzoate</w:t>
            </w:r>
          </w:p>
        </w:tc>
        <w:tc>
          <w:tcPr>
            <w:tcW w:w="2190" w:type="dxa"/>
            <w:vAlign w:val="center"/>
          </w:tcPr>
          <w:p w14:paraId="54F3C2CB" w14:textId="77E4819A" w:rsidR="002558E8" w:rsidRPr="00B11DEF" w:rsidRDefault="00B149CD" w:rsidP="0045502C">
            <w:pPr>
              <w:jc w:val="center"/>
              <w:rPr>
                <w:sz w:val="24"/>
                <w:szCs w:val="24"/>
              </w:rPr>
            </w:pPr>
            <w:r w:rsidRPr="00B149CD">
              <w:rPr>
                <w:noProof/>
                <w:sz w:val="24"/>
                <w:szCs w:val="24"/>
                <w:lang w:eastAsia="en-US"/>
              </w:rPr>
              <w:drawing>
                <wp:inline distT="0" distB="0" distL="0" distR="0" wp14:anchorId="144CF80B" wp14:editId="67D484A7">
                  <wp:extent cx="86360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63600" cy="685800"/>
                          </a:xfrm>
                          <a:prstGeom prst="rect">
                            <a:avLst/>
                          </a:prstGeom>
                        </pic:spPr>
                      </pic:pic>
                    </a:graphicData>
                  </a:graphic>
                </wp:inline>
              </w:drawing>
            </w:r>
          </w:p>
        </w:tc>
        <w:tc>
          <w:tcPr>
            <w:tcW w:w="1238" w:type="dxa"/>
            <w:vAlign w:val="center"/>
          </w:tcPr>
          <w:p w14:paraId="2684D8B0" w14:textId="77777777" w:rsidR="002558E8" w:rsidRPr="00A1684F" w:rsidRDefault="00A1684F" w:rsidP="0045502C">
            <w:pPr>
              <w:jc w:val="center"/>
              <w:rPr>
                <w:sz w:val="24"/>
                <w:szCs w:val="24"/>
              </w:rPr>
            </w:pPr>
            <w:r>
              <w:rPr>
                <w:sz w:val="24"/>
                <w:szCs w:val="24"/>
              </w:rPr>
              <w:t>C</w:t>
            </w:r>
            <w:r>
              <w:rPr>
                <w:sz w:val="24"/>
                <w:szCs w:val="24"/>
                <w:vertAlign w:val="subscript"/>
              </w:rPr>
              <w:t>8</w:t>
            </w:r>
            <w:r>
              <w:rPr>
                <w:sz w:val="24"/>
                <w:szCs w:val="24"/>
              </w:rPr>
              <w:t>H</w:t>
            </w:r>
            <w:r>
              <w:rPr>
                <w:sz w:val="24"/>
                <w:szCs w:val="24"/>
                <w:vertAlign w:val="subscript"/>
              </w:rPr>
              <w:t>8</w:t>
            </w:r>
            <w:r>
              <w:rPr>
                <w:sz w:val="24"/>
                <w:szCs w:val="24"/>
              </w:rPr>
              <w:t>O</w:t>
            </w:r>
            <w:r>
              <w:rPr>
                <w:sz w:val="24"/>
                <w:szCs w:val="24"/>
                <w:vertAlign w:val="subscript"/>
              </w:rPr>
              <w:t>2</w:t>
            </w:r>
          </w:p>
        </w:tc>
        <w:tc>
          <w:tcPr>
            <w:tcW w:w="1318" w:type="dxa"/>
            <w:vAlign w:val="center"/>
          </w:tcPr>
          <w:p w14:paraId="5179A3D7" w14:textId="77777777" w:rsidR="002558E8" w:rsidRPr="00B11DEF" w:rsidRDefault="00A1684F" w:rsidP="0045502C">
            <w:pPr>
              <w:jc w:val="center"/>
              <w:rPr>
                <w:sz w:val="24"/>
                <w:szCs w:val="24"/>
              </w:rPr>
            </w:pPr>
            <w:r>
              <w:rPr>
                <w:sz w:val="24"/>
                <w:szCs w:val="24"/>
              </w:rPr>
              <w:t>136.15</w:t>
            </w:r>
          </w:p>
        </w:tc>
        <w:tc>
          <w:tcPr>
            <w:tcW w:w="919" w:type="dxa"/>
            <w:vAlign w:val="center"/>
          </w:tcPr>
          <w:p w14:paraId="428F4905" w14:textId="77777777" w:rsidR="002558E8" w:rsidRPr="00B11DEF" w:rsidRDefault="00A1684F" w:rsidP="0045502C">
            <w:pPr>
              <w:jc w:val="center"/>
              <w:rPr>
                <w:sz w:val="24"/>
                <w:szCs w:val="24"/>
              </w:rPr>
            </w:pPr>
            <w:r>
              <w:rPr>
                <w:sz w:val="24"/>
                <w:szCs w:val="24"/>
              </w:rPr>
              <w:t>199</w:t>
            </w:r>
          </w:p>
        </w:tc>
        <w:tc>
          <w:tcPr>
            <w:tcW w:w="1013" w:type="dxa"/>
            <w:vAlign w:val="center"/>
          </w:tcPr>
          <w:p w14:paraId="0DF11D76" w14:textId="77777777" w:rsidR="002558E8" w:rsidRPr="00B11DEF" w:rsidRDefault="00A1684F" w:rsidP="0045502C">
            <w:pPr>
              <w:jc w:val="center"/>
              <w:rPr>
                <w:sz w:val="24"/>
                <w:szCs w:val="24"/>
              </w:rPr>
            </w:pPr>
            <w:r>
              <w:rPr>
                <w:sz w:val="24"/>
                <w:szCs w:val="24"/>
              </w:rPr>
              <w:t>1.08</w:t>
            </w:r>
          </w:p>
        </w:tc>
      </w:tr>
      <w:tr w:rsidR="00277E1A" w:rsidRPr="00B11DEF" w14:paraId="678CB238" w14:textId="77777777" w:rsidTr="002558E8">
        <w:trPr>
          <w:trHeight w:val="1152"/>
          <w:jc w:val="center"/>
        </w:trPr>
        <w:tc>
          <w:tcPr>
            <w:tcW w:w="2785" w:type="dxa"/>
            <w:vAlign w:val="center"/>
          </w:tcPr>
          <w:p w14:paraId="0EB90888" w14:textId="77777777" w:rsidR="00277E1A" w:rsidRPr="00B11DEF" w:rsidRDefault="00277E1A" w:rsidP="00520E75">
            <w:pPr>
              <w:jc w:val="center"/>
              <w:rPr>
                <w:sz w:val="24"/>
                <w:szCs w:val="24"/>
              </w:rPr>
            </w:pPr>
            <w:r>
              <w:rPr>
                <w:sz w:val="24"/>
                <w:szCs w:val="24"/>
              </w:rPr>
              <w:t>Diethyl ether</w:t>
            </w:r>
          </w:p>
        </w:tc>
        <w:tc>
          <w:tcPr>
            <w:tcW w:w="2190" w:type="dxa"/>
            <w:vAlign w:val="center"/>
          </w:tcPr>
          <w:p w14:paraId="6B8911B6" w14:textId="77777777" w:rsidR="00277E1A" w:rsidRPr="00B11DEF" w:rsidRDefault="00277E1A" w:rsidP="0045502C">
            <w:pPr>
              <w:jc w:val="center"/>
              <w:rPr>
                <w:sz w:val="24"/>
                <w:szCs w:val="24"/>
              </w:rPr>
            </w:pPr>
            <w:r w:rsidRPr="004708F7">
              <w:rPr>
                <w:noProof/>
                <w:sz w:val="24"/>
                <w:szCs w:val="24"/>
                <w:lang w:eastAsia="en-US"/>
              </w:rPr>
              <w:drawing>
                <wp:inline distT="0" distB="0" distL="0" distR="0" wp14:anchorId="155CE01E" wp14:editId="270E95E6">
                  <wp:extent cx="698500" cy="2159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8500" cy="215900"/>
                          </a:xfrm>
                          <a:prstGeom prst="rect">
                            <a:avLst/>
                          </a:prstGeom>
                        </pic:spPr>
                      </pic:pic>
                    </a:graphicData>
                  </a:graphic>
                </wp:inline>
              </w:drawing>
            </w:r>
          </w:p>
        </w:tc>
        <w:tc>
          <w:tcPr>
            <w:tcW w:w="1238" w:type="dxa"/>
            <w:vAlign w:val="center"/>
          </w:tcPr>
          <w:p w14:paraId="047957D3" w14:textId="77777777" w:rsidR="00277E1A" w:rsidRPr="00B11DEF" w:rsidRDefault="00277E1A" w:rsidP="0045502C">
            <w:pPr>
              <w:jc w:val="center"/>
              <w:rPr>
                <w:sz w:val="24"/>
                <w:szCs w:val="24"/>
              </w:rPr>
            </w:pPr>
            <w:r>
              <w:rPr>
                <w:sz w:val="24"/>
                <w:szCs w:val="24"/>
              </w:rPr>
              <w:t>(C</w:t>
            </w:r>
            <w:r>
              <w:rPr>
                <w:sz w:val="24"/>
                <w:szCs w:val="24"/>
                <w:vertAlign w:val="subscript"/>
              </w:rPr>
              <w:t>2</w:t>
            </w:r>
            <w:r>
              <w:rPr>
                <w:sz w:val="24"/>
                <w:szCs w:val="24"/>
              </w:rPr>
              <w:t>H</w:t>
            </w:r>
            <w:r>
              <w:rPr>
                <w:sz w:val="24"/>
                <w:szCs w:val="24"/>
                <w:vertAlign w:val="subscript"/>
              </w:rPr>
              <w:t>5</w:t>
            </w:r>
            <w:r>
              <w:rPr>
                <w:sz w:val="24"/>
                <w:szCs w:val="24"/>
              </w:rPr>
              <w:t>)</w:t>
            </w:r>
            <w:r>
              <w:rPr>
                <w:sz w:val="24"/>
                <w:szCs w:val="24"/>
                <w:vertAlign w:val="subscript"/>
              </w:rPr>
              <w:t>2</w:t>
            </w:r>
            <w:r>
              <w:rPr>
                <w:sz w:val="24"/>
                <w:szCs w:val="24"/>
              </w:rPr>
              <w:t>O</w:t>
            </w:r>
          </w:p>
        </w:tc>
        <w:tc>
          <w:tcPr>
            <w:tcW w:w="1318" w:type="dxa"/>
            <w:vAlign w:val="center"/>
          </w:tcPr>
          <w:p w14:paraId="3E2AF1ED" w14:textId="77777777" w:rsidR="00277E1A" w:rsidRPr="00B11DEF" w:rsidRDefault="00277E1A" w:rsidP="00AA2DF6">
            <w:pPr>
              <w:jc w:val="center"/>
              <w:rPr>
                <w:sz w:val="24"/>
                <w:szCs w:val="24"/>
              </w:rPr>
            </w:pPr>
            <w:r>
              <w:rPr>
                <w:sz w:val="24"/>
                <w:szCs w:val="24"/>
              </w:rPr>
              <w:t>74.12</w:t>
            </w:r>
          </w:p>
        </w:tc>
        <w:tc>
          <w:tcPr>
            <w:tcW w:w="919" w:type="dxa"/>
            <w:vAlign w:val="center"/>
          </w:tcPr>
          <w:p w14:paraId="108FD463" w14:textId="77777777" w:rsidR="00277E1A" w:rsidRPr="00B11DEF" w:rsidRDefault="00277E1A" w:rsidP="00AA2DF6">
            <w:pPr>
              <w:jc w:val="center"/>
              <w:rPr>
                <w:sz w:val="24"/>
                <w:szCs w:val="24"/>
              </w:rPr>
            </w:pPr>
            <w:r>
              <w:rPr>
                <w:sz w:val="24"/>
                <w:szCs w:val="24"/>
              </w:rPr>
              <w:t>94.28</w:t>
            </w:r>
          </w:p>
        </w:tc>
        <w:tc>
          <w:tcPr>
            <w:tcW w:w="1013" w:type="dxa"/>
            <w:vAlign w:val="center"/>
          </w:tcPr>
          <w:p w14:paraId="78D391C9" w14:textId="77777777" w:rsidR="00277E1A" w:rsidRPr="00B11DEF" w:rsidRDefault="00277E1A" w:rsidP="00AA2DF6">
            <w:pPr>
              <w:jc w:val="center"/>
              <w:rPr>
                <w:sz w:val="24"/>
                <w:szCs w:val="24"/>
              </w:rPr>
            </w:pPr>
            <w:r>
              <w:rPr>
                <w:sz w:val="24"/>
                <w:szCs w:val="24"/>
              </w:rPr>
              <w:t>0.71</w:t>
            </w:r>
          </w:p>
        </w:tc>
      </w:tr>
      <w:tr w:rsidR="00277E1A" w:rsidRPr="00B11DEF" w14:paraId="4AC320C4" w14:textId="77777777" w:rsidTr="002558E8">
        <w:trPr>
          <w:trHeight w:val="1152"/>
          <w:jc w:val="center"/>
        </w:trPr>
        <w:tc>
          <w:tcPr>
            <w:tcW w:w="2785" w:type="dxa"/>
            <w:vAlign w:val="center"/>
          </w:tcPr>
          <w:p w14:paraId="1B9E0542" w14:textId="77777777" w:rsidR="00277E1A" w:rsidRDefault="00277E1A" w:rsidP="00520E75">
            <w:pPr>
              <w:jc w:val="center"/>
              <w:rPr>
                <w:sz w:val="24"/>
                <w:szCs w:val="24"/>
              </w:rPr>
            </w:pPr>
            <w:r>
              <w:rPr>
                <w:sz w:val="24"/>
                <w:szCs w:val="24"/>
              </w:rPr>
              <w:t>Dichloromethane</w:t>
            </w:r>
          </w:p>
        </w:tc>
        <w:tc>
          <w:tcPr>
            <w:tcW w:w="2190" w:type="dxa"/>
            <w:vAlign w:val="center"/>
          </w:tcPr>
          <w:p w14:paraId="183C7292" w14:textId="77777777" w:rsidR="00277E1A" w:rsidRPr="00B11DEF" w:rsidRDefault="00277E1A" w:rsidP="0045502C">
            <w:pPr>
              <w:jc w:val="center"/>
              <w:rPr>
                <w:sz w:val="24"/>
                <w:szCs w:val="24"/>
              </w:rPr>
            </w:pPr>
            <w:r w:rsidRPr="004708F7">
              <w:rPr>
                <w:noProof/>
                <w:sz w:val="24"/>
                <w:szCs w:val="24"/>
                <w:lang w:eastAsia="en-US"/>
              </w:rPr>
              <w:drawing>
                <wp:inline distT="0" distB="0" distL="0" distR="0" wp14:anchorId="524808A5" wp14:editId="30808346">
                  <wp:extent cx="558800" cy="2159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800" cy="215900"/>
                          </a:xfrm>
                          <a:prstGeom prst="rect">
                            <a:avLst/>
                          </a:prstGeom>
                        </pic:spPr>
                      </pic:pic>
                    </a:graphicData>
                  </a:graphic>
                </wp:inline>
              </w:drawing>
            </w:r>
          </w:p>
        </w:tc>
        <w:tc>
          <w:tcPr>
            <w:tcW w:w="1238" w:type="dxa"/>
            <w:vAlign w:val="center"/>
          </w:tcPr>
          <w:p w14:paraId="62040A5A" w14:textId="77777777" w:rsidR="00277E1A" w:rsidRPr="00CE078B" w:rsidRDefault="00277E1A" w:rsidP="00AA2DF6">
            <w:pPr>
              <w:jc w:val="center"/>
              <w:rPr>
                <w:sz w:val="24"/>
                <w:szCs w:val="24"/>
                <w:vertAlign w:val="subscript"/>
              </w:rPr>
            </w:pPr>
            <w:r>
              <w:rPr>
                <w:sz w:val="24"/>
                <w:szCs w:val="24"/>
              </w:rPr>
              <w:t>CH</w:t>
            </w:r>
            <w:r>
              <w:rPr>
                <w:sz w:val="24"/>
                <w:szCs w:val="24"/>
                <w:vertAlign w:val="subscript"/>
              </w:rPr>
              <w:t>2</w:t>
            </w:r>
            <w:r>
              <w:rPr>
                <w:sz w:val="24"/>
                <w:szCs w:val="24"/>
              </w:rPr>
              <w:t>Cl</w:t>
            </w:r>
            <w:r>
              <w:rPr>
                <w:sz w:val="24"/>
                <w:szCs w:val="24"/>
                <w:vertAlign w:val="subscript"/>
              </w:rPr>
              <w:t>2</w:t>
            </w:r>
          </w:p>
        </w:tc>
        <w:tc>
          <w:tcPr>
            <w:tcW w:w="1318" w:type="dxa"/>
            <w:vAlign w:val="center"/>
          </w:tcPr>
          <w:p w14:paraId="500E0B31" w14:textId="77777777" w:rsidR="00277E1A" w:rsidRPr="00B11DEF" w:rsidRDefault="00277E1A" w:rsidP="00AA2DF6">
            <w:pPr>
              <w:jc w:val="center"/>
              <w:rPr>
                <w:sz w:val="24"/>
                <w:szCs w:val="24"/>
              </w:rPr>
            </w:pPr>
            <w:r>
              <w:rPr>
                <w:sz w:val="24"/>
                <w:szCs w:val="24"/>
              </w:rPr>
              <w:t>84.93</w:t>
            </w:r>
          </w:p>
        </w:tc>
        <w:tc>
          <w:tcPr>
            <w:tcW w:w="919" w:type="dxa"/>
            <w:vAlign w:val="center"/>
          </w:tcPr>
          <w:p w14:paraId="45D0313D" w14:textId="77777777" w:rsidR="00277E1A" w:rsidRPr="00B11DEF" w:rsidRDefault="00277E1A" w:rsidP="00AA2DF6">
            <w:pPr>
              <w:jc w:val="center"/>
              <w:rPr>
                <w:sz w:val="24"/>
                <w:szCs w:val="24"/>
              </w:rPr>
            </w:pPr>
            <w:r>
              <w:rPr>
                <w:sz w:val="24"/>
                <w:szCs w:val="24"/>
              </w:rPr>
              <w:t>103.3</w:t>
            </w:r>
          </w:p>
        </w:tc>
        <w:tc>
          <w:tcPr>
            <w:tcW w:w="1013" w:type="dxa"/>
            <w:vAlign w:val="center"/>
          </w:tcPr>
          <w:p w14:paraId="5EFDD437" w14:textId="77777777" w:rsidR="00277E1A" w:rsidRPr="00B11DEF" w:rsidRDefault="00277E1A" w:rsidP="00AA2DF6">
            <w:pPr>
              <w:jc w:val="center"/>
              <w:rPr>
                <w:sz w:val="24"/>
                <w:szCs w:val="24"/>
              </w:rPr>
            </w:pPr>
            <w:r>
              <w:rPr>
                <w:sz w:val="24"/>
                <w:szCs w:val="24"/>
              </w:rPr>
              <w:t>1.33</w:t>
            </w:r>
          </w:p>
        </w:tc>
      </w:tr>
      <w:tr w:rsidR="00277E1A" w:rsidRPr="00B11DEF" w14:paraId="1691D88F" w14:textId="77777777" w:rsidTr="002558E8">
        <w:trPr>
          <w:trHeight w:val="1152"/>
          <w:jc w:val="center"/>
        </w:trPr>
        <w:tc>
          <w:tcPr>
            <w:tcW w:w="2785" w:type="dxa"/>
            <w:vAlign w:val="center"/>
          </w:tcPr>
          <w:p w14:paraId="3ACCD06D" w14:textId="77777777" w:rsidR="00277E1A" w:rsidRDefault="00277E1A" w:rsidP="00520E75">
            <w:pPr>
              <w:jc w:val="center"/>
              <w:rPr>
                <w:sz w:val="24"/>
                <w:szCs w:val="24"/>
              </w:rPr>
            </w:pPr>
            <w:r>
              <w:rPr>
                <w:sz w:val="24"/>
                <w:szCs w:val="24"/>
              </w:rPr>
              <w:t>Hexane</w:t>
            </w:r>
          </w:p>
        </w:tc>
        <w:tc>
          <w:tcPr>
            <w:tcW w:w="2190" w:type="dxa"/>
            <w:vAlign w:val="center"/>
          </w:tcPr>
          <w:p w14:paraId="5E64BB8A" w14:textId="600FB49B" w:rsidR="00277E1A" w:rsidRPr="00B11DEF" w:rsidRDefault="007022E7" w:rsidP="0045502C">
            <w:pPr>
              <w:jc w:val="center"/>
              <w:rPr>
                <w:sz w:val="24"/>
                <w:szCs w:val="24"/>
              </w:rPr>
            </w:pPr>
            <w:r w:rsidRPr="007022E7">
              <w:rPr>
                <w:noProof/>
                <w:sz w:val="24"/>
                <w:szCs w:val="24"/>
                <w:lang w:eastAsia="en-US"/>
              </w:rPr>
              <w:drawing>
                <wp:inline distT="0" distB="0" distL="0" distR="0" wp14:anchorId="559077C6" wp14:editId="224FBC20">
                  <wp:extent cx="863600" cy="1651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63600" cy="165100"/>
                          </a:xfrm>
                          <a:prstGeom prst="rect">
                            <a:avLst/>
                          </a:prstGeom>
                        </pic:spPr>
                      </pic:pic>
                    </a:graphicData>
                  </a:graphic>
                </wp:inline>
              </w:drawing>
            </w:r>
          </w:p>
        </w:tc>
        <w:tc>
          <w:tcPr>
            <w:tcW w:w="1238" w:type="dxa"/>
            <w:vAlign w:val="center"/>
          </w:tcPr>
          <w:p w14:paraId="597B8415" w14:textId="77777777" w:rsidR="00277E1A" w:rsidRPr="004F61A1" w:rsidRDefault="004F61A1" w:rsidP="0045502C">
            <w:pPr>
              <w:jc w:val="center"/>
              <w:rPr>
                <w:sz w:val="24"/>
                <w:szCs w:val="24"/>
              </w:rPr>
            </w:pPr>
            <w:r>
              <w:rPr>
                <w:sz w:val="24"/>
                <w:szCs w:val="24"/>
              </w:rPr>
              <w:t>C</w:t>
            </w:r>
            <w:r>
              <w:rPr>
                <w:sz w:val="24"/>
                <w:szCs w:val="24"/>
                <w:vertAlign w:val="subscript"/>
              </w:rPr>
              <w:t>6</w:t>
            </w:r>
            <w:r>
              <w:rPr>
                <w:sz w:val="24"/>
                <w:szCs w:val="24"/>
              </w:rPr>
              <w:t>H</w:t>
            </w:r>
            <w:r>
              <w:rPr>
                <w:sz w:val="24"/>
                <w:szCs w:val="24"/>
                <w:vertAlign w:val="subscript"/>
              </w:rPr>
              <w:t>14</w:t>
            </w:r>
          </w:p>
        </w:tc>
        <w:tc>
          <w:tcPr>
            <w:tcW w:w="1318" w:type="dxa"/>
            <w:vAlign w:val="center"/>
          </w:tcPr>
          <w:p w14:paraId="7287097E" w14:textId="77777777" w:rsidR="00277E1A" w:rsidRPr="00B11DEF" w:rsidRDefault="004F61A1" w:rsidP="000671D8">
            <w:pPr>
              <w:jc w:val="center"/>
              <w:rPr>
                <w:sz w:val="24"/>
                <w:szCs w:val="24"/>
              </w:rPr>
            </w:pPr>
            <w:r>
              <w:rPr>
                <w:sz w:val="24"/>
                <w:szCs w:val="24"/>
              </w:rPr>
              <w:t>86.18</w:t>
            </w:r>
          </w:p>
        </w:tc>
        <w:tc>
          <w:tcPr>
            <w:tcW w:w="919" w:type="dxa"/>
            <w:vAlign w:val="center"/>
          </w:tcPr>
          <w:p w14:paraId="41842E3E" w14:textId="77777777" w:rsidR="00277E1A" w:rsidRPr="00B11DEF" w:rsidRDefault="004F61A1" w:rsidP="0045502C">
            <w:pPr>
              <w:jc w:val="center"/>
              <w:rPr>
                <w:sz w:val="24"/>
                <w:szCs w:val="24"/>
              </w:rPr>
            </w:pPr>
            <w:r>
              <w:rPr>
                <w:sz w:val="24"/>
                <w:szCs w:val="24"/>
              </w:rPr>
              <w:t>68.0</w:t>
            </w:r>
          </w:p>
        </w:tc>
        <w:tc>
          <w:tcPr>
            <w:tcW w:w="1013" w:type="dxa"/>
            <w:vAlign w:val="center"/>
          </w:tcPr>
          <w:p w14:paraId="06EEE9F4" w14:textId="77777777" w:rsidR="00277E1A" w:rsidRPr="00B11DEF" w:rsidRDefault="00A1684F" w:rsidP="0045502C">
            <w:pPr>
              <w:jc w:val="center"/>
              <w:rPr>
                <w:sz w:val="24"/>
                <w:szCs w:val="24"/>
              </w:rPr>
            </w:pPr>
            <w:r>
              <w:rPr>
                <w:sz w:val="24"/>
                <w:szCs w:val="24"/>
              </w:rPr>
              <w:t>0.655</w:t>
            </w:r>
          </w:p>
        </w:tc>
      </w:tr>
    </w:tbl>
    <w:p w14:paraId="742DB226" w14:textId="77777777" w:rsidR="000671D8" w:rsidRPr="0083093A" w:rsidRDefault="000671D8" w:rsidP="0083093A">
      <w:pPr>
        <w:rPr>
          <w:sz w:val="24"/>
          <w:szCs w:val="24"/>
        </w:rPr>
      </w:pPr>
    </w:p>
    <w:p w14:paraId="18185198" w14:textId="5824E444" w:rsidR="00332D45" w:rsidRDefault="00864214" w:rsidP="0083093A">
      <w:pPr>
        <w:rPr>
          <w:sz w:val="24"/>
          <w:szCs w:val="24"/>
        </w:rPr>
      </w:pPr>
      <w:r>
        <w:rPr>
          <w:b/>
          <w:sz w:val="24"/>
          <w:szCs w:val="24"/>
        </w:rPr>
        <w:t xml:space="preserve">Procedure: </w:t>
      </w:r>
    </w:p>
    <w:p w14:paraId="4584F7BF" w14:textId="17A3750C" w:rsidR="00191B40" w:rsidRDefault="00075F1C" w:rsidP="00A60DE5">
      <w:pPr>
        <w:ind w:firstLine="720"/>
        <w:rPr>
          <w:sz w:val="24"/>
          <w:szCs w:val="24"/>
        </w:rPr>
      </w:pPr>
      <w:r>
        <w:rPr>
          <w:sz w:val="24"/>
          <w:szCs w:val="24"/>
        </w:rPr>
        <w:t xml:space="preserve">Start by gathering the necessary lab materials and dressing in the proper lab attire.  Next, begin by forming the Grignard reagent.  </w:t>
      </w:r>
      <w:r w:rsidR="009E0A1A">
        <w:rPr>
          <w:sz w:val="24"/>
          <w:szCs w:val="24"/>
        </w:rPr>
        <w:t xml:space="preserve">First, </w:t>
      </w:r>
      <w:r w:rsidR="00A20A6D">
        <w:rPr>
          <w:sz w:val="24"/>
          <w:szCs w:val="24"/>
        </w:rPr>
        <w:t xml:space="preserve">measure and </w:t>
      </w:r>
      <w:r w:rsidR="009E0A1A">
        <w:rPr>
          <w:sz w:val="24"/>
          <w:szCs w:val="24"/>
        </w:rPr>
        <w:t>add 4.2 mmol of magnesium shavings into a 10 mL</w:t>
      </w:r>
      <w:r w:rsidR="00191B40">
        <w:rPr>
          <w:sz w:val="24"/>
          <w:szCs w:val="24"/>
        </w:rPr>
        <w:t xml:space="preserve"> round-bottom flask with a spin vane, 3mL of diethyl ether, and a few crystals of iodine.  You will place this over a hot plate with the heat off but utilizing the spin feature.  You will assemble the apparatus from the figure provided from the handout.  </w:t>
      </w:r>
      <w:r w:rsidR="00A60DE5">
        <w:rPr>
          <w:sz w:val="24"/>
          <w:szCs w:val="24"/>
        </w:rPr>
        <w:t xml:space="preserve">Be sure to close off the open end of the apparatus with a rubber septum to ensure that no product is lost in the process. </w:t>
      </w:r>
    </w:p>
    <w:p w14:paraId="192131AE" w14:textId="20959396" w:rsidR="00191B40" w:rsidRDefault="00191B40" w:rsidP="00A60DE5">
      <w:pPr>
        <w:jc w:val="center"/>
        <w:rPr>
          <w:sz w:val="24"/>
          <w:szCs w:val="24"/>
        </w:rPr>
      </w:pPr>
      <w:r w:rsidRPr="00FD7352">
        <w:rPr>
          <w:rFonts w:ascii="Times New Roman" w:hAnsi="Times New Roman" w:cs="Times New Roman"/>
          <w:bCs/>
          <w:noProof/>
          <w:sz w:val="24"/>
          <w:szCs w:val="24"/>
          <w:lang w:eastAsia="en-US"/>
        </w:rPr>
        <w:drawing>
          <wp:inline distT="0" distB="0" distL="0" distR="0" wp14:anchorId="254B95B8" wp14:editId="5FBB7E79">
            <wp:extent cx="1676400" cy="26480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91501" cy="2671952"/>
                    </a:xfrm>
                    <a:prstGeom prst="rect">
                      <a:avLst/>
                    </a:prstGeom>
                    <a:noFill/>
                    <a:ln>
                      <a:noFill/>
                    </a:ln>
                  </pic:spPr>
                </pic:pic>
              </a:graphicData>
            </a:graphic>
          </wp:inline>
        </w:drawing>
      </w:r>
    </w:p>
    <w:p w14:paraId="37139DFF" w14:textId="4006738A" w:rsidR="00A60DE5" w:rsidRDefault="00A20A6D" w:rsidP="00A20A6D">
      <w:pPr>
        <w:ind w:firstLine="720"/>
        <w:rPr>
          <w:sz w:val="24"/>
          <w:szCs w:val="24"/>
        </w:rPr>
      </w:pPr>
      <w:r>
        <w:rPr>
          <w:sz w:val="24"/>
          <w:szCs w:val="24"/>
        </w:rPr>
        <w:t xml:space="preserve">Measure and add 5.0 mmol of bromobenzene using an analytical balance into a 5 mL conical vial followed by 1.5 mL of diethyl ether.  Next, you will carefully utilize a 3mL syringe </w:t>
      </w:r>
      <w:r>
        <w:rPr>
          <w:sz w:val="24"/>
          <w:szCs w:val="24"/>
        </w:rPr>
        <w:lastRenderedPageBreak/>
        <w:t xml:space="preserve">and </w:t>
      </w:r>
      <w:r w:rsidR="0054767A">
        <w:rPr>
          <w:sz w:val="24"/>
          <w:szCs w:val="24"/>
        </w:rPr>
        <w:t xml:space="preserve">completely </w:t>
      </w:r>
      <w:r>
        <w:rPr>
          <w:sz w:val="24"/>
          <w:szCs w:val="24"/>
        </w:rPr>
        <w:t>extract the newly made solution.  Insert the syrin</w:t>
      </w:r>
      <w:r w:rsidR="0054767A">
        <w:rPr>
          <w:sz w:val="24"/>
          <w:szCs w:val="24"/>
        </w:rPr>
        <w:t xml:space="preserve">ge containing the solution through the rubber septum.  Over the course of 30 minutes carefully and slowly add the solution into the 10 mL round bottom flask.  During this time, the temperature of the hot plate should be set at 2.  Allow the reflux to continue until </w:t>
      </w:r>
      <w:r w:rsidR="008A32F7">
        <w:rPr>
          <w:sz w:val="24"/>
          <w:szCs w:val="24"/>
        </w:rPr>
        <w:t>all</w:t>
      </w:r>
      <w:r w:rsidR="0054767A">
        <w:rPr>
          <w:sz w:val="24"/>
          <w:szCs w:val="24"/>
        </w:rPr>
        <w:t xml:space="preserve"> the magnesium shavings have completely dissolved.  Over the course of the experiment be sure to document any noticeable observations.  </w:t>
      </w:r>
    </w:p>
    <w:p w14:paraId="314B8D7C" w14:textId="58B759A5" w:rsidR="0054767A" w:rsidRDefault="00044F99" w:rsidP="00A20A6D">
      <w:pPr>
        <w:ind w:firstLine="720"/>
        <w:rPr>
          <w:sz w:val="24"/>
          <w:szCs w:val="24"/>
        </w:rPr>
      </w:pPr>
      <w:r>
        <w:rPr>
          <w:sz w:val="24"/>
          <w:szCs w:val="24"/>
        </w:rPr>
        <w:t xml:space="preserve">Next, conduct the final formation of the product, triphenylmethanol.  Do this by placing 2.0 mmol of methyl benzoate into a 3.0 mL conical vial followed by 1.5 mL of diethyl ether.  Using an additional 3.0 mL syringe, carefully and completely extract the solution.  </w:t>
      </w:r>
      <w:r w:rsidR="00C56072">
        <w:rPr>
          <w:sz w:val="24"/>
          <w:szCs w:val="24"/>
        </w:rPr>
        <w:t>Insert the syringe into the rubber stopp</w:t>
      </w:r>
      <w:r w:rsidR="00FA4E8C">
        <w:rPr>
          <w:sz w:val="24"/>
          <w:szCs w:val="24"/>
        </w:rPr>
        <w:t xml:space="preserve">er and add the solution into the 10 mL round bottom over the course of 5 minutes.  After this has been completed, you will allow the solution to reflux for a total of 30 minutes.  Be sure to record any observations during this time.  After the reflux has been completed, allow the solution to cool to room temperature by removing it from the hot plate.  Next, add 20 drops of water to the round bottom flask under the fume hood.  Additionally, add 3M HCl using a micropipette to the flask until no more bubbles emerge from the solution.  Be sure to spin continuously over a hot plate </w:t>
      </w:r>
      <w:r w:rsidR="00A533C2">
        <w:rPr>
          <w:sz w:val="24"/>
          <w:szCs w:val="24"/>
        </w:rPr>
        <w:t xml:space="preserve">without the heat function.  During this time, one will notice the emergence of the aqueous and organic layer.  </w:t>
      </w:r>
    </w:p>
    <w:p w14:paraId="03BBDA6E" w14:textId="6D3369B3" w:rsidR="00807A58" w:rsidRDefault="00A533C2" w:rsidP="00A20A6D">
      <w:pPr>
        <w:ind w:firstLine="720"/>
        <w:rPr>
          <w:sz w:val="24"/>
          <w:szCs w:val="24"/>
        </w:rPr>
      </w:pPr>
      <w:r>
        <w:rPr>
          <w:sz w:val="24"/>
          <w:szCs w:val="24"/>
        </w:rPr>
        <w:t xml:space="preserve">Next, it is time to perform the extraction of the product.  </w:t>
      </w:r>
      <w:r w:rsidR="007D032A">
        <w:rPr>
          <w:sz w:val="24"/>
          <w:szCs w:val="24"/>
        </w:rPr>
        <w:t>Carefully remove the spin vane and b</w:t>
      </w:r>
      <w:r>
        <w:rPr>
          <w:sz w:val="24"/>
          <w:szCs w:val="24"/>
        </w:rPr>
        <w:t xml:space="preserve">egin by </w:t>
      </w:r>
      <w:r w:rsidR="007D032A">
        <w:rPr>
          <w:sz w:val="24"/>
          <w:szCs w:val="24"/>
        </w:rPr>
        <w:t xml:space="preserve">transferring the solution from the 10mL round bottom flask into the separatory funnel.   </w:t>
      </w:r>
      <w:r w:rsidR="00467000">
        <w:rPr>
          <w:sz w:val="24"/>
          <w:szCs w:val="24"/>
        </w:rPr>
        <w:t xml:space="preserve">Using a 10 mL graduated cylinder, add 10 mL of distilled water and 10mL of diethyl ether to the separatory funnel.  Place a glass stopper </w:t>
      </w:r>
      <w:r w:rsidR="00BA3467">
        <w:rPr>
          <w:sz w:val="24"/>
          <w:szCs w:val="24"/>
        </w:rPr>
        <w:t xml:space="preserve">on the </w:t>
      </w:r>
      <w:r w:rsidR="000E77F9">
        <w:rPr>
          <w:sz w:val="24"/>
          <w:szCs w:val="24"/>
        </w:rPr>
        <w:t xml:space="preserve">top of the separatory.  Firmly and securely mix the solution within the </w:t>
      </w:r>
      <w:proofErr w:type="gramStart"/>
      <w:r w:rsidR="000E77F9">
        <w:rPr>
          <w:sz w:val="24"/>
          <w:szCs w:val="24"/>
        </w:rPr>
        <w:t>funnel, and</w:t>
      </w:r>
      <w:proofErr w:type="gramEnd"/>
      <w:r w:rsidR="000E77F9">
        <w:rPr>
          <w:sz w:val="24"/>
          <w:szCs w:val="24"/>
        </w:rPr>
        <w:t xml:space="preserve"> vent the trapped gas.  Return it to its upright position and allow the layers to separate.  Remove the aqueous layer by collecting it in a 100 mL beaker.  Next, wash the remaining organic layer with 10 mL of water and 10 mL of NaCl using a graduated cylinder.  Collect the remaining organic layer in a 50 mL Erlenmeyer flask and </w:t>
      </w:r>
      <w:r w:rsidR="008B4331">
        <w:rPr>
          <w:sz w:val="24"/>
          <w:szCs w:val="24"/>
        </w:rPr>
        <w:t xml:space="preserve">add sodium sulfate until it no longer clumps.  Transfer the solution into an additional 50mL Erlenmeyer flask with a boiling chip.  Use a hot plate under the fume hood to boil off the excess solution and collect the precipitate.  Perform the recrystallization process by </w:t>
      </w:r>
      <w:r w:rsidR="0037062D">
        <w:rPr>
          <w:sz w:val="24"/>
          <w:szCs w:val="24"/>
        </w:rPr>
        <w:t xml:space="preserve">using dichloromethane to completely dissolve the participates collected in the previous step.  </w:t>
      </w:r>
      <w:r w:rsidR="00587036">
        <w:rPr>
          <w:sz w:val="24"/>
          <w:szCs w:val="24"/>
        </w:rPr>
        <w:t>Next add roughly four times the amount of hexane</w:t>
      </w:r>
      <w:r w:rsidR="004B15DF">
        <w:rPr>
          <w:sz w:val="24"/>
          <w:szCs w:val="24"/>
        </w:rPr>
        <w:t>.  Heat under the fume hood until the solution clears up.  Allow the solution to cool and observe as the solution begins to crystalize.  Be sure not to move or distu</w:t>
      </w:r>
      <w:r w:rsidR="002255C8">
        <w:rPr>
          <w:sz w:val="24"/>
          <w:szCs w:val="24"/>
        </w:rPr>
        <w:t xml:space="preserve">rb the solution too much during this process.  Use an ice bath to help the crystallization process.  Set up the vacuum filtration apparatus and pre-wet the filter paper with hexane.  Use vacuum filtration to collect and dry the crystals.  Dry the crystals on the Hirsch funnel </w:t>
      </w:r>
      <w:r w:rsidR="00807A58">
        <w:rPr>
          <w:sz w:val="24"/>
          <w:szCs w:val="24"/>
        </w:rPr>
        <w:t xml:space="preserve">for 5 minutes.  After you have completed this, transfer as much of the product onto a watch glass that has been pre-weighed.  </w:t>
      </w:r>
    </w:p>
    <w:p w14:paraId="686AE259" w14:textId="77777777" w:rsidR="00807A58" w:rsidRDefault="00807A58">
      <w:pPr>
        <w:rPr>
          <w:sz w:val="24"/>
          <w:szCs w:val="24"/>
        </w:rPr>
      </w:pPr>
      <w:r>
        <w:rPr>
          <w:sz w:val="24"/>
          <w:szCs w:val="24"/>
        </w:rPr>
        <w:br w:type="page"/>
      </w:r>
    </w:p>
    <w:p w14:paraId="4F55A597" w14:textId="23AD6DFA" w:rsidR="00117724" w:rsidRDefault="00807A58" w:rsidP="005D304B">
      <w:pPr>
        <w:ind w:firstLine="720"/>
        <w:rPr>
          <w:sz w:val="24"/>
          <w:szCs w:val="24"/>
        </w:rPr>
      </w:pPr>
      <w:r>
        <w:rPr>
          <w:sz w:val="24"/>
          <w:szCs w:val="24"/>
        </w:rPr>
        <w:lastRenderedPageBreak/>
        <w:t xml:space="preserve">To perform the melting point, use a capillary tube and crush the crystals into a powder.  Tap the capillary tube onto the powder until roughly 3-5 cm has entered the tube.  Utilize the melting point apparatus by setting a plateau and watching as the inserted capillary tube containing the compound melts under a given temperature.  Perform the IR first by creating the necessary KBr pellets used to conduct the reading.  Mix a small sample of your recrystallized product with the KBr salt.  Next compress a small amount of the new mixture into a flat disk and conduct the IR reading.  To perform the NMR reading, </w:t>
      </w:r>
      <w:r w:rsidR="000176F8">
        <w:rPr>
          <w:sz w:val="24"/>
          <w:szCs w:val="24"/>
        </w:rPr>
        <w:t xml:space="preserve">mix </w:t>
      </w:r>
      <w:r w:rsidR="00117724">
        <w:rPr>
          <w:sz w:val="24"/>
          <w:szCs w:val="24"/>
        </w:rPr>
        <w:t>.700 g of dichloromethane</w:t>
      </w:r>
      <w:r w:rsidR="00C83121">
        <w:rPr>
          <w:sz w:val="24"/>
          <w:szCs w:val="24"/>
        </w:rPr>
        <w:t xml:space="preserve"> with 10mg of the product.  Add this mix</w:t>
      </w:r>
      <w:r w:rsidR="00117724">
        <w:rPr>
          <w:sz w:val="24"/>
          <w:szCs w:val="24"/>
        </w:rPr>
        <w:t xml:space="preserve">ture into a clean NMR tube and perform the reading.  </w:t>
      </w:r>
    </w:p>
    <w:p w14:paraId="4F60C65E" w14:textId="77777777" w:rsidR="005D304B" w:rsidRPr="0083093A" w:rsidRDefault="005D304B" w:rsidP="005D304B">
      <w:pPr>
        <w:ind w:firstLine="720"/>
        <w:rPr>
          <w:sz w:val="24"/>
          <w:szCs w:val="24"/>
        </w:rPr>
      </w:pPr>
    </w:p>
    <w:p w14:paraId="312D09C8" w14:textId="059B5C4E" w:rsidR="0083093A" w:rsidRDefault="00864214" w:rsidP="0083093A">
      <w:pPr>
        <w:rPr>
          <w:sz w:val="24"/>
          <w:szCs w:val="24"/>
        </w:rPr>
      </w:pPr>
      <w:r w:rsidRPr="00864214">
        <w:rPr>
          <w:b/>
          <w:sz w:val="24"/>
          <w:szCs w:val="24"/>
        </w:rPr>
        <w:t>Observation:</w:t>
      </w:r>
      <w:r w:rsidR="005D304B">
        <w:rPr>
          <w:sz w:val="24"/>
          <w:szCs w:val="24"/>
        </w:rPr>
        <w:t xml:space="preserve"> </w:t>
      </w:r>
    </w:p>
    <w:p w14:paraId="6C4E7CF5" w14:textId="58F3029C" w:rsidR="005D304B" w:rsidRDefault="00117724" w:rsidP="0083093A">
      <w:pPr>
        <w:rPr>
          <w:sz w:val="24"/>
          <w:szCs w:val="24"/>
        </w:rPr>
      </w:pPr>
      <w:r>
        <w:rPr>
          <w:sz w:val="24"/>
          <w:szCs w:val="24"/>
        </w:rPr>
        <w:tab/>
      </w:r>
      <w:r w:rsidR="00712195">
        <w:rPr>
          <w:sz w:val="24"/>
          <w:szCs w:val="24"/>
        </w:rPr>
        <w:t xml:space="preserve">Beginning Mixture: </w:t>
      </w:r>
      <w:r w:rsidR="005D304B">
        <w:rPr>
          <w:sz w:val="24"/>
          <w:szCs w:val="24"/>
        </w:rPr>
        <w:t>Dark brown color</w:t>
      </w:r>
    </w:p>
    <w:p w14:paraId="7DB7F0B0" w14:textId="7F4278FA" w:rsidR="005D304B" w:rsidRDefault="005D304B" w:rsidP="0083093A">
      <w:pPr>
        <w:rPr>
          <w:sz w:val="24"/>
          <w:szCs w:val="24"/>
        </w:rPr>
      </w:pPr>
      <w:r>
        <w:rPr>
          <w:sz w:val="24"/>
          <w:szCs w:val="24"/>
        </w:rPr>
        <w:tab/>
        <w:t>4 minutes into reflux: Faded from dark brown to light brown</w:t>
      </w:r>
    </w:p>
    <w:p w14:paraId="6859AF1E" w14:textId="7EB63C59" w:rsidR="0083093A" w:rsidRDefault="005D304B" w:rsidP="0083093A">
      <w:pPr>
        <w:rPr>
          <w:sz w:val="24"/>
          <w:szCs w:val="24"/>
        </w:rPr>
      </w:pPr>
      <w:r>
        <w:rPr>
          <w:sz w:val="24"/>
          <w:szCs w:val="24"/>
        </w:rPr>
        <w:tab/>
        <w:t>6minutes 30 seconds into reflux: dark yellow-orange color</w:t>
      </w:r>
    </w:p>
    <w:p w14:paraId="30360B9C" w14:textId="48E41CC5" w:rsidR="005D304B" w:rsidRDefault="005D304B" w:rsidP="0083093A">
      <w:pPr>
        <w:rPr>
          <w:sz w:val="24"/>
          <w:szCs w:val="24"/>
        </w:rPr>
      </w:pPr>
      <w:r>
        <w:rPr>
          <w:sz w:val="24"/>
          <w:szCs w:val="24"/>
        </w:rPr>
        <w:tab/>
        <w:t>9 minutes 30 seconds into reflux: Dusty yellow color</w:t>
      </w:r>
    </w:p>
    <w:p w14:paraId="24681B18" w14:textId="55D80ED7" w:rsidR="005D304B" w:rsidRDefault="005D304B" w:rsidP="0083093A">
      <w:pPr>
        <w:rPr>
          <w:sz w:val="24"/>
          <w:szCs w:val="24"/>
        </w:rPr>
      </w:pPr>
      <w:r>
        <w:rPr>
          <w:sz w:val="24"/>
          <w:szCs w:val="24"/>
        </w:rPr>
        <w:tab/>
        <w:t xml:space="preserve">30 minutes into reflux: Returned to dark drown color </w:t>
      </w:r>
    </w:p>
    <w:p w14:paraId="5CBE411E" w14:textId="09D51523" w:rsidR="005D304B" w:rsidRDefault="005D304B" w:rsidP="0083093A">
      <w:pPr>
        <w:rPr>
          <w:sz w:val="24"/>
          <w:szCs w:val="24"/>
        </w:rPr>
      </w:pPr>
      <w:r>
        <w:rPr>
          <w:sz w:val="24"/>
          <w:szCs w:val="24"/>
        </w:rPr>
        <w:tab/>
        <w:t>55 minutes into reflux: No more magnesium present</w:t>
      </w:r>
    </w:p>
    <w:p w14:paraId="387E7385" w14:textId="5C9E6940" w:rsidR="005D304B" w:rsidRDefault="005D304B" w:rsidP="0083093A">
      <w:pPr>
        <w:rPr>
          <w:sz w:val="24"/>
          <w:szCs w:val="24"/>
        </w:rPr>
      </w:pPr>
      <w:r>
        <w:rPr>
          <w:sz w:val="24"/>
          <w:szCs w:val="24"/>
        </w:rPr>
        <w:tab/>
        <w:t>Upon adding 3mL methyl benzoate/diethyl ether: turned reddish brown</w:t>
      </w:r>
    </w:p>
    <w:p w14:paraId="72307C1E" w14:textId="34044A91" w:rsidR="005D304B" w:rsidRDefault="005D304B" w:rsidP="0083093A">
      <w:pPr>
        <w:rPr>
          <w:sz w:val="24"/>
          <w:szCs w:val="24"/>
        </w:rPr>
      </w:pPr>
      <w:r>
        <w:rPr>
          <w:sz w:val="24"/>
          <w:szCs w:val="24"/>
        </w:rPr>
        <w:tab/>
        <w:t>7 minutes into addition of solution: turned dusty light orange color</w:t>
      </w:r>
    </w:p>
    <w:p w14:paraId="3AA4B201" w14:textId="0B682967" w:rsidR="009A10E7" w:rsidRDefault="00D668F6" w:rsidP="00BA63B0">
      <w:pPr>
        <w:rPr>
          <w:sz w:val="24"/>
          <w:szCs w:val="24"/>
        </w:rPr>
      </w:pPr>
      <w:r>
        <w:rPr>
          <w:b/>
          <w:sz w:val="24"/>
          <w:szCs w:val="24"/>
        </w:rPr>
        <w:t>Data/</w:t>
      </w:r>
      <w:r w:rsidR="000671D8" w:rsidRPr="0083093A">
        <w:rPr>
          <w:b/>
          <w:sz w:val="24"/>
          <w:szCs w:val="24"/>
        </w:rPr>
        <w:t>Result</w:t>
      </w:r>
      <w:r w:rsidR="007F00F6" w:rsidRPr="0083093A">
        <w:rPr>
          <w:b/>
          <w:sz w:val="24"/>
          <w:szCs w:val="24"/>
        </w:rPr>
        <w:t>s</w:t>
      </w:r>
      <w:r w:rsidR="0083093A" w:rsidRPr="0083093A">
        <w:rPr>
          <w:b/>
          <w:sz w:val="24"/>
          <w:szCs w:val="24"/>
        </w:rPr>
        <w:t>:</w:t>
      </w:r>
      <w:r w:rsidR="00CA342F">
        <w:rPr>
          <w:b/>
          <w:sz w:val="24"/>
          <w:szCs w:val="24"/>
        </w:rPr>
        <w:t xml:space="preserve"> </w:t>
      </w:r>
      <w:r w:rsidR="005D304B">
        <w:rPr>
          <w:sz w:val="24"/>
          <w:szCs w:val="24"/>
        </w:rPr>
        <w:t>See notes for calculations</w:t>
      </w:r>
    </w:p>
    <w:p w14:paraId="715D7893" w14:textId="4497A111" w:rsidR="00BA63B0" w:rsidRDefault="00BA63B0" w:rsidP="00BA63B0">
      <w:pPr>
        <w:pStyle w:val="ListParagraph"/>
        <w:numPr>
          <w:ilvl w:val="0"/>
          <w:numId w:val="10"/>
        </w:numPr>
        <w:rPr>
          <w:sz w:val="24"/>
          <w:szCs w:val="24"/>
        </w:rPr>
      </w:pPr>
      <w:r>
        <w:rPr>
          <w:sz w:val="24"/>
          <w:szCs w:val="24"/>
        </w:rPr>
        <w:t>Theoretical Yield:</w:t>
      </w:r>
    </w:p>
    <w:p w14:paraId="2A381558" w14:textId="0F4CC990" w:rsidR="00BA63B0" w:rsidRDefault="00CA342F" w:rsidP="00BA63B0">
      <w:pPr>
        <w:pStyle w:val="ListParagraph"/>
        <w:numPr>
          <w:ilvl w:val="1"/>
          <w:numId w:val="10"/>
        </w:numPr>
        <w:rPr>
          <w:sz w:val="24"/>
          <w:szCs w:val="24"/>
        </w:rPr>
      </w:pPr>
      <w:r>
        <w:rPr>
          <w:sz w:val="24"/>
          <w:szCs w:val="24"/>
        </w:rPr>
        <w:t>Start: Methyl Benzoate (Limiting reactant):  0.273g</w:t>
      </w:r>
    </w:p>
    <w:p w14:paraId="1A1DB977" w14:textId="72D27889" w:rsidR="00CA342F" w:rsidRDefault="00CA342F" w:rsidP="00BA63B0">
      <w:pPr>
        <w:pStyle w:val="ListParagraph"/>
        <w:numPr>
          <w:ilvl w:val="1"/>
          <w:numId w:val="10"/>
        </w:numPr>
        <w:rPr>
          <w:sz w:val="24"/>
          <w:szCs w:val="24"/>
        </w:rPr>
      </w:pPr>
      <w:r>
        <w:rPr>
          <w:sz w:val="24"/>
          <w:szCs w:val="24"/>
        </w:rPr>
        <w:t>Yield: Triphenylmethanol: 0.522 g</w:t>
      </w:r>
    </w:p>
    <w:p w14:paraId="1A1D5855" w14:textId="026203DC" w:rsidR="00CA342F" w:rsidRDefault="00CA342F" w:rsidP="00CA342F">
      <w:pPr>
        <w:pStyle w:val="ListParagraph"/>
        <w:numPr>
          <w:ilvl w:val="0"/>
          <w:numId w:val="10"/>
        </w:numPr>
        <w:rPr>
          <w:sz w:val="24"/>
          <w:szCs w:val="24"/>
        </w:rPr>
      </w:pPr>
      <w:r>
        <w:rPr>
          <w:sz w:val="24"/>
          <w:szCs w:val="24"/>
        </w:rPr>
        <w:t>Actual Yield:</w:t>
      </w:r>
    </w:p>
    <w:p w14:paraId="0F6720CD" w14:textId="6A7844DF" w:rsidR="00CA342F" w:rsidRDefault="003D025B" w:rsidP="00CA342F">
      <w:pPr>
        <w:pStyle w:val="ListParagraph"/>
        <w:numPr>
          <w:ilvl w:val="1"/>
          <w:numId w:val="10"/>
        </w:numPr>
        <w:rPr>
          <w:sz w:val="24"/>
          <w:szCs w:val="24"/>
        </w:rPr>
      </w:pPr>
      <w:r>
        <w:rPr>
          <w:sz w:val="24"/>
          <w:szCs w:val="24"/>
        </w:rPr>
        <w:t>Yield: Triphenylmethanol: 0.201 g</w:t>
      </w:r>
    </w:p>
    <w:p w14:paraId="22F713FA" w14:textId="7BC6260C" w:rsidR="003D025B" w:rsidRDefault="003D025B" w:rsidP="003D025B">
      <w:pPr>
        <w:pStyle w:val="ListParagraph"/>
        <w:numPr>
          <w:ilvl w:val="0"/>
          <w:numId w:val="10"/>
        </w:numPr>
        <w:rPr>
          <w:sz w:val="24"/>
          <w:szCs w:val="24"/>
        </w:rPr>
      </w:pPr>
      <w:r>
        <w:rPr>
          <w:sz w:val="24"/>
          <w:szCs w:val="24"/>
        </w:rPr>
        <w:t>Percent Yield</w:t>
      </w:r>
    </w:p>
    <w:p w14:paraId="424032CC" w14:textId="290DF582" w:rsidR="00117724" w:rsidRDefault="00000000" w:rsidP="00117724">
      <w:pPr>
        <w:pStyle w:val="ListParagraph"/>
        <w:numPr>
          <w:ilvl w:val="1"/>
          <w:numId w:val="10"/>
        </w:numPr>
        <w:rPr>
          <w:sz w:val="24"/>
          <w:szCs w:val="24"/>
        </w:rPr>
      </w:pPr>
      <m:oMath>
        <m:f>
          <m:fPr>
            <m:ctrlPr>
              <w:rPr>
                <w:rFonts w:ascii="Cambria Math" w:hAnsi="Cambria Math"/>
                <w:i/>
                <w:sz w:val="24"/>
                <w:szCs w:val="24"/>
              </w:rPr>
            </m:ctrlPr>
          </m:fPr>
          <m:num>
            <m:r>
              <w:rPr>
                <w:rFonts w:ascii="Cambria Math" w:hAnsi="Cambria Math"/>
                <w:sz w:val="24"/>
                <w:szCs w:val="24"/>
              </w:rPr>
              <m:t>0.201g</m:t>
            </m:r>
          </m:num>
          <m:den>
            <m:r>
              <w:rPr>
                <w:rFonts w:ascii="Cambria Math" w:hAnsi="Cambria Math"/>
                <w:sz w:val="24"/>
                <w:szCs w:val="24"/>
              </w:rPr>
              <m:t>0.522g</m:t>
            </m:r>
          </m:den>
        </m:f>
      </m:oMath>
      <w:r w:rsidR="00117724">
        <w:rPr>
          <w:sz w:val="24"/>
          <w:szCs w:val="24"/>
        </w:rPr>
        <w:t xml:space="preserve"> = 38.51%</w:t>
      </w:r>
    </w:p>
    <w:p w14:paraId="17904FA0" w14:textId="77777777" w:rsidR="00117724" w:rsidRPr="00117724" w:rsidRDefault="00117724" w:rsidP="00117724">
      <w:pPr>
        <w:pStyle w:val="ListParagraph"/>
        <w:ind w:left="1440"/>
        <w:rPr>
          <w:sz w:val="24"/>
          <w:szCs w:val="24"/>
        </w:rPr>
      </w:pPr>
    </w:p>
    <w:p w14:paraId="5B4D9A9E" w14:textId="7501D155" w:rsidR="00D668F6" w:rsidRDefault="00D668F6" w:rsidP="009A10E7">
      <w:pPr>
        <w:pStyle w:val="ListParagraph"/>
        <w:numPr>
          <w:ilvl w:val="0"/>
          <w:numId w:val="10"/>
        </w:numPr>
        <w:rPr>
          <w:sz w:val="24"/>
          <w:szCs w:val="24"/>
        </w:rPr>
      </w:pPr>
      <w:r>
        <w:rPr>
          <w:sz w:val="24"/>
          <w:szCs w:val="24"/>
        </w:rPr>
        <w:t>Experimental melting point</w:t>
      </w:r>
    </w:p>
    <w:p w14:paraId="61C89A32" w14:textId="75743D4D" w:rsidR="003D025B" w:rsidRDefault="003D025B" w:rsidP="003D025B">
      <w:pPr>
        <w:pStyle w:val="ListParagraph"/>
        <w:numPr>
          <w:ilvl w:val="1"/>
          <w:numId w:val="10"/>
        </w:numPr>
        <w:rPr>
          <w:sz w:val="24"/>
          <w:szCs w:val="24"/>
        </w:rPr>
      </w:pPr>
      <w:r>
        <w:rPr>
          <w:sz w:val="24"/>
          <w:szCs w:val="24"/>
        </w:rPr>
        <w:t>162-165</w:t>
      </w:r>
      <w:r>
        <w:rPr>
          <w:sz w:val="24"/>
          <w:szCs w:val="24"/>
          <w:vertAlign w:val="superscript"/>
        </w:rPr>
        <w:t>o</w:t>
      </w:r>
      <w:r>
        <w:rPr>
          <w:sz w:val="24"/>
          <w:szCs w:val="24"/>
        </w:rPr>
        <w:t>C</w:t>
      </w:r>
    </w:p>
    <w:p w14:paraId="4B317976" w14:textId="77777777" w:rsidR="00520E75" w:rsidRDefault="00520E75" w:rsidP="009A10E7">
      <w:pPr>
        <w:pStyle w:val="ListParagraph"/>
        <w:numPr>
          <w:ilvl w:val="0"/>
          <w:numId w:val="10"/>
        </w:numPr>
        <w:rPr>
          <w:sz w:val="24"/>
          <w:szCs w:val="24"/>
        </w:rPr>
      </w:pPr>
      <w:r>
        <w:rPr>
          <w:sz w:val="24"/>
          <w:szCs w:val="24"/>
        </w:rPr>
        <w:t>List absorption bands detected from IR spectrum</w:t>
      </w:r>
    </w:p>
    <w:p w14:paraId="611F45B7" w14:textId="36FD12C9" w:rsidR="00806613" w:rsidRDefault="00806613" w:rsidP="00806613">
      <w:pPr>
        <w:pStyle w:val="ListParagraph"/>
        <w:numPr>
          <w:ilvl w:val="1"/>
          <w:numId w:val="10"/>
        </w:numPr>
        <w:rPr>
          <w:sz w:val="24"/>
          <w:szCs w:val="24"/>
        </w:rPr>
      </w:pPr>
      <w:r>
        <w:rPr>
          <w:sz w:val="24"/>
          <w:szCs w:val="24"/>
        </w:rPr>
        <w:t>C(sp2)-H: 3150-3050</w:t>
      </w:r>
      <w:r w:rsidR="00E8216D" w:rsidRPr="00E8216D">
        <w:rPr>
          <w:sz w:val="24"/>
          <w:szCs w:val="24"/>
        </w:rPr>
        <w:t xml:space="preserve"> </w:t>
      </w:r>
      <w:r w:rsidR="00E8216D">
        <w:rPr>
          <w:sz w:val="24"/>
          <w:szCs w:val="24"/>
        </w:rPr>
        <w:t>cm</w:t>
      </w:r>
      <w:r w:rsidR="00E8216D">
        <w:rPr>
          <w:sz w:val="24"/>
          <w:szCs w:val="24"/>
          <w:vertAlign w:val="superscript"/>
        </w:rPr>
        <w:t>-1</w:t>
      </w:r>
    </w:p>
    <w:p w14:paraId="68CA8E31" w14:textId="4C65FA48" w:rsidR="00117724" w:rsidRDefault="00806613" w:rsidP="00117724">
      <w:pPr>
        <w:pStyle w:val="ListParagraph"/>
        <w:numPr>
          <w:ilvl w:val="1"/>
          <w:numId w:val="10"/>
        </w:numPr>
        <w:rPr>
          <w:sz w:val="24"/>
          <w:szCs w:val="24"/>
        </w:rPr>
      </w:pPr>
      <w:r>
        <w:rPr>
          <w:sz w:val="24"/>
          <w:szCs w:val="24"/>
        </w:rPr>
        <w:t>OH: 3600-3400</w:t>
      </w:r>
      <w:r w:rsidR="00E8216D" w:rsidRPr="00E8216D">
        <w:rPr>
          <w:sz w:val="24"/>
          <w:szCs w:val="24"/>
        </w:rPr>
        <w:t xml:space="preserve"> </w:t>
      </w:r>
      <w:proofErr w:type="gramStart"/>
      <w:r w:rsidR="00E8216D">
        <w:rPr>
          <w:sz w:val="24"/>
          <w:szCs w:val="24"/>
        </w:rPr>
        <w:t>cm</w:t>
      </w:r>
      <w:r w:rsidR="00E8216D">
        <w:rPr>
          <w:sz w:val="24"/>
          <w:szCs w:val="24"/>
          <w:vertAlign w:val="superscript"/>
        </w:rPr>
        <w:t>-1</w:t>
      </w:r>
      <w:proofErr w:type="gramEnd"/>
    </w:p>
    <w:p w14:paraId="4C10652B" w14:textId="77777777" w:rsidR="00117724" w:rsidRPr="00117724" w:rsidRDefault="00117724" w:rsidP="00117724">
      <w:pPr>
        <w:pStyle w:val="ListParagraph"/>
        <w:ind w:left="1440"/>
        <w:rPr>
          <w:sz w:val="24"/>
          <w:szCs w:val="24"/>
        </w:rPr>
      </w:pPr>
    </w:p>
    <w:p w14:paraId="0CDAC733" w14:textId="2EBB8634" w:rsidR="00864214" w:rsidRPr="005D304B" w:rsidRDefault="00117724" w:rsidP="005D304B">
      <w:pPr>
        <w:pStyle w:val="ListParagraph"/>
        <w:numPr>
          <w:ilvl w:val="0"/>
          <w:numId w:val="10"/>
        </w:numPr>
        <w:rPr>
          <w:sz w:val="24"/>
          <w:szCs w:val="24"/>
        </w:rPr>
      </w:pPr>
      <w:r>
        <w:rPr>
          <w:sz w:val="24"/>
          <w:szCs w:val="24"/>
        </w:rPr>
        <w:t>NMR: See Attached for assigned peaks</w:t>
      </w:r>
    </w:p>
    <w:p w14:paraId="4018AFBE" w14:textId="691F031A" w:rsidR="009A10E7" w:rsidRPr="00520E75" w:rsidRDefault="00A37111" w:rsidP="00520E75">
      <w:pPr>
        <w:jc w:val="both"/>
        <w:rPr>
          <w:sz w:val="24"/>
          <w:szCs w:val="24"/>
        </w:rPr>
      </w:pPr>
      <w:r w:rsidRPr="009A10E7">
        <w:rPr>
          <w:b/>
          <w:sz w:val="24"/>
          <w:szCs w:val="24"/>
        </w:rPr>
        <w:lastRenderedPageBreak/>
        <w:t>Discussion</w:t>
      </w:r>
      <w:r w:rsidR="009A10E7">
        <w:rPr>
          <w:b/>
          <w:sz w:val="24"/>
          <w:szCs w:val="24"/>
        </w:rPr>
        <w:t>:</w:t>
      </w:r>
      <w:r w:rsidRPr="009A10E7">
        <w:rPr>
          <w:sz w:val="24"/>
          <w:szCs w:val="24"/>
        </w:rPr>
        <w:t xml:space="preserve"> </w:t>
      </w:r>
    </w:p>
    <w:p w14:paraId="0E1AD90E" w14:textId="4D86533D" w:rsidR="001B77DC" w:rsidRDefault="006340EB" w:rsidP="00631B33">
      <w:pPr>
        <w:ind w:firstLine="720"/>
        <w:rPr>
          <w:sz w:val="24"/>
          <w:szCs w:val="24"/>
        </w:rPr>
      </w:pPr>
      <w:r w:rsidRPr="00631B33">
        <w:rPr>
          <w:sz w:val="24"/>
          <w:szCs w:val="24"/>
        </w:rPr>
        <w:t xml:space="preserve"> </w:t>
      </w:r>
      <w:r w:rsidR="005D304B" w:rsidRPr="00631B33">
        <w:rPr>
          <w:sz w:val="24"/>
          <w:szCs w:val="24"/>
        </w:rPr>
        <w:t xml:space="preserve">Based on the results that we achieved through this </w:t>
      </w:r>
      <w:proofErr w:type="gramStart"/>
      <w:r w:rsidR="005D304B" w:rsidRPr="00631B33">
        <w:rPr>
          <w:sz w:val="24"/>
          <w:szCs w:val="24"/>
        </w:rPr>
        <w:t>experiment,</w:t>
      </w:r>
      <w:proofErr w:type="gramEnd"/>
      <w:r w:rsidR="00631B33" w:rsidRPr="00631B33">
        <w:rPr>
          <w:sz w:val="24"/>
          <w:szCs w:val="24"/>
        </w:rPr>
        <w:t xml:space="preserve"> we may conclude </w:t>
      </w:r>
      <w:r w:rsidR="005D304B" w:rsidRPr="00631B33">
        <w:rPr>
          <w:sz w:val="24"/>
          <w:szCs w:val="24"/>
        </w:rPr>
        <w:t xml:space="preserve">that we were able to run a successful experiment.  </w:t>
      </w:r>
      <w:r w:rsidR="00631B33">
        <w:rPr>
          <w:sz w:val="24"/>
          <w:szCs w:val="24"/>
        </w:rPr>
        <w:t xml:space="preserve">While we were only able to receive a yield of 38.51% </w:t>
      </w:r>
      <w:r w:rsidR="00CE3468">
        <w:rPr>
          <w:sz w:val="24"/>
          <w:szCs w:val="24"/>
        </w:rPr>
        <w:t xml:space="preserve">there are many variables to account </w:t>
      </w:r>
      <w:r w:rsidR="00470E52">
        <w:rPr>
          <w:sz w:val="24"/>
          <w:szCs w:val="24"/>
        </w:rPr>
        <w:t xml:space="preserve">errors or inconsistency </w:t>
      </w:r>
      <w:r w:rsidR="00CE3468">
        <w:rPr>
          <w:sz w:val="24"/>
          <w:szCs w:val="24"/>
        </w:rPr>
        <w:t xml:space="preserve">for such yield.  </w:t>
      </w:r>
      <w:r w:rsidR="007F09F0">
        <w:rPr>
          <w:sz w:val="24"/>
          <w:szCs w:val="24"/>
        </w:rPr>
        <w:t xml:space="preserve">For one, the frequent transfer amongst the solutions into various beakers accounts for a significant loss of the product.  Additionally, there was the inability to complexly remove </w:t>
      </w:r>
      <w:proofErr w:type="gramStart"/>
      <w:r w:rsidR="007F09F0">
        <w:rPr>
          <w:sz w:val="24"/>
          <w:szCs w:val="24"/>
        </w:rPr>
        <w:t>all of</w:t>
      </w:r>
      <w:proofErr w:type="gramEnd"/>
      <w:r w:rsidR="007F09F0">
        <w:rPr>
          <w:sz w:val="24"/>
          <w:szCs w:val="24"/>
        </w:rPr>
        <w:t xml:space="preserve"> the product from the filter paper after performing recrystallization.  </w:t>
      </w:r>
      <w:r w:rsidR="005342AB">
        <w:rPr>
          <w:sz w:val="24"/>
          <w:szCs w:val="24"/>
        </w:rPr>
        <w:t>Additionally,</w:t>
      </w:r>
      <w:r w:rsidR="00470E52">
        <w:rPr>
          <w:sz w:val="24"/>
          <w:szCs w:val="24"/>
        </w:rPr>
        <w:t xml:space="preserve"> any impurities present within the system may have resulted inside reactions which may have </w:t>
      </w:r>
      <w:r w:rsidR="007F09F0">
        <w:rPr>
          <w:sz w:val="24"/>
          <w:szCs w:val="24"/>
        </w:rPr>
        <w:t xml:space="preserve">All of these account for various reasons as to why the yield was so low.  </w:t>
      </w:r>
    </w:p>
    <w:p w14:paraId="3CAB611E" w14:textId="0B211974" w:rsidR="007F09F0" w:rsidRPr="00E8216D" w:rsidRDefault="007F09F0" w:rsidP="00631B33">
      <w:pPr>
        <w:ind w:firstLine="720"/>
        <w:rPr>
          <w:sz w:val="24"/>
          <w:szCs w:val="24"/>
        </w:rPr>
      </w:pPr>
      <w:r>
        <w:rPr>
          <w:sz w:val="24"/>
          <w:szCs w:val="24"/>
        </w:rPr>
        <w:t xml:space="preserve">After analyzing our results, we </w:t>
      </w:r>
      <w:r w:rsidR="008A32F7">
        <w:rPr>
          <w:sz w:val="24"/>
          <w:szCs w:val="24"/>
        </w:rPr>
        <w:t>can</w:t>
      </w:r>
      <w:r>
        <w:rPr>
          <w:sz w:val="24"/>
          <w:szCs w:val="24"/>
        </w:rPr>
        <w:t xml:space="preserve"> see that we were able to </w:t>
      </w:r>
      <w:r w:rsidR="00E23B28">
        <w:rPr>
          <w:sz w:val="24"/>
          <w:szCs w:val="24"/>
        </w:rPr>
        <w:t xml:space="preserve">receive results in line with the expected outcome.  </w:t>
      </w:r>
      <w:r w:rsidR="00BE26FA">
        <w:rPr>
          <w:sz w:val="24"/>
          <w:szCs w:val="24"/>
        </w:rPr>
        <w:t>After conducting the melting point and receiving a given value of 162-165</w:t>
      </w:r>
      <w:r w:rsidR="00BE26FA">
        <w:rPr>
          <w:sz w:val="24"/>
          <w:szCs w:val="24"/>
          <w:vertAlign w:val="superscript"/>
        </w:rPr>
        <w:t>o</w:t>
      </w:r>
      <w:r w:rsidR="00BE26FA">
        <w:rPr>
          <w:sz w:val="24"/>
          <w:szCs w:val="24"/>
        </w:rPr>
        <w:t xml:space="preserve">C, we </w:t>
      </w:r>
      <w:proofErr w:type="gramStart"/>
      <w:r w:rsidR="00BE26FA">
        <w:rPr>
          <w:sz w:val="24"/>
          <w:szCs w:val="24"/>
        </w:rPr>
        <w:t>are able to</w:t>
      </w:r>
      <w:proofErr w:type="gramEnd"/>
      <w:r w:rsidR="00BE26FA">
        <w:rPr>
          <w:sz w:val="24"/>
          <w:szCs w:val="24"/>
        </w:rPr>
        <w:t xml:space="preserve"> see that it is in line with the theoretical value </w:t>
      </w:r>
      <w:r w:rsidR="00170634">
        <w:rPr>
          <w:sz w:val="24"/>
          <w:szCs w:val="24"/>
        </w:rPr>
        <w:t>with is 162</w:t>
      </w:r>
      <w:r w:rsidR="00170634">
        <w:rPr>
          <w:sz w:val="24"/>
          <w:szCs w:val="24"/>
          <w:vertAlign w:val="superscript"/>
        </w:rPr>
        <w:t>o</w:t>
      </w:r>
      <w:r w:rsidR="00170634">
        <w:rPr>
          <w:sz w:val="24"/>
          <w:szCs w:val="24"/>
        </w:rPr>
        <w:t xml:space="preserve">C.  This means that the sample had relatively few impurities since the melting point did not deviate from the expected value.  Additionally, after conducting the IR spectroscopy we </w:t>
      </w:r>
      <w:r w:rsidR="008A32F7">
        <w:rPr>
          <w:sz w:val="24"/>
          <w:szCs w:val="24"/>
        </w:rPr>
        <w:t>can</w:t>
      </w:r>
      <w:r w:rsidR="00170634">
        <w:rPr>
          <w:sz w:val="24"/>
          <w:szCs w:val="24"/>
        </w:rPr>
        <w:t xml:space="preserve"> confirm the give</w:t>
      </w:r>
      <w:r w:rsidR="00E8216D">
        <w:rPr>
          <w:sz w:val="24"/>
          <w:szCs w:val="24"/>
        </w:rPr>
        <w:t xml:space="preserve">n structure of our compound.  We </w:t>
      </w:r>
      <w:proofErr w:type="gramStart"/>
      <w:r w:rsidR="00E8216D">
        <w:rPr>
          <w:sz w:val="24"/>
          <w:szCs w:val="24"/>
        </w:rPr>
        <w:t>are able to</w:t>
      </w:r>
      <w:proofErr w:type="gramEnd"/>
      <w:r w:rsidR="00E8216D">
        <w:rPr>
          <w:sz w:val="24"/>
          <w:szCs w:val="24"/>
        </w:rPr>
        <w:t xml:space="preserve"> see this from the absorption band from 3400-3600 cm</w:t>
      </w:r>
      <w:r w:rsidR="00E8216D">
        <w:rPr>
          <w:sz w:val="24"/>
          <w:szCs w:val="24"/>
          <w:vertAlign w:val="superscript"/>
        </w:rPr>
        <w:t>-1</w:t>
      </w:r>
      <w:r w:rsidR="00E8216D">
        <w:rPr>
          <w:sz w:val="24"/>
          <w:szCs w:val="24"/>
        </w:rPr>
        <w:t xml:space="preserve"> signifying an alcohol.  The IR spectrum</w:t>
      </w:r>
      <w:r w:rsidR="00387305">
        <w:rPr>
          <w:sz w:val="24"/>
          <w:szCs w:val="24"/>
        </w:rPr>
        <w:t xml:space="preserve"> is also telling that the Grignard</w:t>
      </w:r>
      <w:r w:rsidR="00E8216D">
        <w:rPr>
          <w:sz w:val="24"/>
          <w:szCs w:val="24"/>
        </w:rPr>
        <w:t xml:space="preserve"> Reaction went to completion from the C(sp2)-H absorption band from 3150-3050 cm</w:t>
      </w:r>
      <w:r w:rsidR="00E8216D">
        <w:rPr>
          <w:sz w:val="24"/>
          <w:szCs w:val="24"/>
          <w:vertAlign w:val="superscript"/>
        </w:rPr>
        <w:t>-1</w:t>
      </w:r>
      <w:r w:rsidR="000D2483">
        <w:rPr>
          <w:sz w:val="24"/>
          <w:szCs w:val="24"/>
        </w:rPr>
        <w:t xml:space="preserve">.  Finally, the NMR reading </w:t>
      </w:r>
      <w:r w:rsidR="00470E52">
        <w:rPr>
          <w:sz w:val="24"/>
          <w:szCs w:val="24"/>
        </w:rPr>
        <w:t xml:space="preserve">confirms the </w:t>
      </w:r>
      <w:r w:rsidR="005342AB">
        <w:rPr>
          <w:sz w:val="24"/>
          <w:szCs w:val="24"/>
        </w:rPr>
        <w:t xml:space="preserve">given structure by analyzing the given peaks of the hydrogen.  We </w:t>
      </w:r>
      <w:proofErr w:type="gramStart"/>
      <w:r w:rsidR="005342AB">
        <w:rPr>
          <w:sz w:val="24"/>
          <w:szCs w:val="24"/>
        </w:rPr>
        <w:t>are abl</w:t>
      </w:r>
      <w:r w:rsidR="00337D70">
        <w:rPr>
          <w:sz w:val="24"/>
          <w:szCs w:val="24"/>
        </w:rPr>
        <w:t>e to</w:t>
      </w:r>
      <w:proofErr w:type="gramEnd"/>
      <w:r w:rsidR="00337D70">
        <w:rPr>
          <w:sz w:val="24"/>
          <w:szCs w:val="24"/>
        </w:rPr>
        <w:t xml:space="preserve"> see the downfield and up field electrons</w:t>
      </w:r>
      <w:r w:rsidR="00A45433">
        <w:rPr>
          <w:sz w:val="24"/>
          <w:szCs w:val="24"/>
        </w:rPr>
        <w:t xml:space="preserve"> in relation to the alcohol.  </w:t>
      </w:r>
    </w:p>
    <w:p w14:paraId="16229C83" w14:textId="113195B9" w:rsidR="009A10E7" w:rsidRDefault="00A45433" w:rsidP="002D4F36">
      <w:pPr>
        <w:rPr>
          <w:sz w:val="24"/>
          <w:szCs w:val="24"/>
        </w:rPr>
      </w:pPr>
      <w:r>
        <w:rPr>
          <w:sz w:val="24"/>
          <w:szCs w:val="24"/>
        </w:rPr>
        <w:tab/>
        <w:t>I would improve this experiment by usin</w:t>
      </w:r>
      <w:r w:rsidR="00387305">
        <w:rPr>
          <w:sz w:val="24"/>
          <w:szCs w:val="24"/>
        </w:rPr>
        <w:t>g a stock solution of the Grignard</w:t>
      </w:r>
      <w:r>
        <w:rPr>
          <w:sz w:val="24"/>
          <w:szCs w:val="24"/>
        </w:rPr>
        <w:t xml:space="preserve"> reagents instead of synthesizing our own products to limit errors as well impurities that may be introduced into the system through synthesizing our own reagents.  This would just help to confirm the outcome of the reaction.  </w:t>
      </w:r>
    </w:p>
    <w:p w14:paraId="62B4D117" w14:textId="77777777" w:rsidR="00F72457" w:rsidRDefault="00F72457" w:rsidP="002D4F36">
      <w:pPr>
        <w:rPr>
          <w:sz w:val="24"/>
          <w:szCs w:val="24"/>
        </w:rPr>
      </w:pPr>
    </w:p>
    <w:p w14:paraId="4DC656F1" w14:textId="77777777" w:rsidR="00F72457" w:rsidRDefault="00F72457" w:rsidP="002D4F36">
      <w:pPr>
        <w:rPr>
          <w:sz w:val="24"/>
          <w:szCs w:val="24"/>
        </w:rPr>
      </w:pPr>
    </w:p>
    <w:p w14:paraId="4D02317E" w14:textId="77777777" w:rsidR="00F72457" w:rsidRDefault="00F72457" w:rsidP="002D4F36">
      <w:pPr>
        <w:rPr>
          <w:sz w:val="24"/>
          <w:szCs w:val="24"/>
        </w:rPr>
      </w:pPr>
    </w:p>
    <w:p w14:paraId="683195B9" w14:textId="77777777" w:rsidR="00F72457" w:rsidRDefault="00F72457" w:rsidP="002D4F36">
      <w:pPr>
        <w:rPr>
          <w:sz w:val="24"/>
          <w:szCs w:val="24"/>
        </w:rPr>
      </w:pPr>
    </w:p>
    <w:p w14:paraId="5149CA13" w14:textId="77777777" w:rsidR="00F72457" w:rsidRDefault="00F72457" w:rsidP="002D4F36">
      <w:pPr>
        <w:rPr>
          <w:sz w:val="24"/>
          <w:szCs w:val="24"/>
        </w:rPr>
      </w:pPr>
    </w:p>
    <w:p w14:paraId="16DA1C03" w14:textId="77777777" w:rsidR="00F72457" w:rsidRDefault="00F72457" w:rsidP="002D4F36">
      <w:pPr>
        <w:rPr>
          <w:sz w:val="24"/>
          <w:szCs w:val="24"/>
        </w:rPr>
      </w:pPr>
    </w:p>
    <w:p w14:paraId="48716227" w14:textId="77777777" w:rsidR="00F72457" w:rsidRDefault="00F72457" w:rsidP="002D4F36">
      <w:pPr>
        <w:rPr>
          <w:sz w:val="24"/>
          <w:szCs w:val="24"/>
        </w:rPr>
      </w:pPr>
    </w:p>
    <w:p w14:paraId="40CF3B73" w14:textId="77777777" w:rsidR="00F72457" w:rsidRDefault="00F72457" w:rsidP="002D4F36">
      <w:pPr>
        <w:rPr>
          <w:sz w:val="24"/>
          <w:szCs w:val="24"/>
        </w:rPr>
      </w:pPr>
    </w:p>
    <w:p w14:paraId="692876FA" w14:textId="77777777" w:rsidR="00F72457" w:rsidRDefault="00F72457" w:rsidP="002D4F36">
      <w:pPr>
        <w:rPr>
          <w:sz w:val="24"/>
          <w:szCs w:val="24"/>
        </w:rPr>
      </w:pPr>
    </w:p>
    <w:p w14:paraId="72600AD3" w14:textId="661BBB18" w:rsidR="00F72457" w:rsidRPr="002D4F36" w:rsidRDefault="00F72457" w:rsidP="002D4F36">
      <w:pPr>
        <w:rPr>
          <w:sz w:val="24"/>
          <w:szCs w:val="24"/>
        </w:rPr>
      </w:pPr>
    </w:p>
    <w:sectPr w:rsidR="00F72457" w:rsidRPr="002D4F36">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C21D4" w14:textId="77777777" w:rsidR="005D469C" w:rsidRDefault="005D469C" w:rsidP="00263ABA">
      <w:pPr>
        <w:spacing w:after="0" w:line="240" w:lineRule="auto"/>
      </w:pPr>
      <w:r>
        <w:separator/>
      </w:r>
    </w:p>
  </w:endnote>
  <w:endnote w:type="continuationSeparator" w:id="0">
    <w:p w14:paraId="0CA0AABC" w14:textId="77777777" w:rsidR="005D469C" w:rsidRDefault="005D469C" w:rsidP="00263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3D26E" w14:textId="77777777" w:rsidR="005D469C" w:rsidRDefault="005D469C" w:rsidP="00263ABA">
      <w:pPr>
        <w:spacing w:after="0" w:line="240" w:lineRule="auto"/>
      </w:pPr>
      <w:r>
        <w:separator/>
      </w:r>
    </w:p>
  </w:footnote>
  <w:footnote w:type="continuationSeparator" w:id="0">
    <w:p w14:paraId="5A730AB4" w14:textId="77777777" w:rsidR="005D469C" w:rsidRDefault="005D469C" w:rsidP="00263A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36937" w14:textId="2915A1F4" w:rsidR="00263ABA" w:rsidRDefault="00F65332" w:rsidP="00263ABA">
    <w:pPr>
      <w:pStyle w:val="Header"/>
      <w:jc w:val="right"/>
    </w:pPr>
    <w:r>
      <w:t>UNLV Undergraduate Research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D363A"/>
    <w:multiLevelType w:val="hybridMultilevel"/>
    <w:tmpl w:val="805CC7D0"/>
    <w:lvl w:ilvl="0" w:tplc="6A5222E8">
      <w:start w:val="9"/>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733443"/>
    <w:multiLevelType w:val="hybridMultilevel"/>
    <w:tmpl w:val="F9AE0E38"/>
    <w:lvl w:ilvl="0" w:tplc="66346B68">
      <w:start w:val="9"/>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15227"/>
    <w:multiLevelType w:val="hybridMultilevel"/>
    <w:tmpl w:val="A718C8F8"/>
    <w:lvl w:ilvl="0" w:tplc="7132F8C0">
      <w:start w:val="5"/>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EA3C2A"/>
    <w:multiLevelType w:val="hybridMultilevel"/>
    <w:tmpl w:val="7A56983C"/>
    <w:lvl w:ilvl="0" w:tplc="664A8B60">
      <w:start w:val="6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FF5D16"/>
    <w:multiLevelType w:val="hybridMultilevel"/>
    <w:tmpl w:val="F580D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3F1116"/>
    <w:multiLevelType w:val="hybridMultilevel"/>
    <w:tmpl w:val="2D7AF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20478C"/>
    <w:multiLevelType w:val="hybridMultilevel"/>
    <w:tmpl w:val="63C26696"/>
    <w:lvl w:ilvl="0" w:tplc="4AE8FC58">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CE385C"/>
    <w:multiLevelType w:val="hybridMultilevel"/>
    <w:tmpl w:val="034E2DEA"/>
    <w:lvl w:ilvl="0" w:tplc="9C281C6E">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8BE5D28"/>
    <w:multiLevelType w:val="hybridMultilevel"/>
    <w:tmpl w:val="6EB69760"/>
    <w:lvl w:ilvl="0" w:tplc="958CA696">
      <w:start w:val="5"/>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C0E67CF"/>
    <w:multiLevelType w:val="hybridMultilevel"/>
    <w:tmpl w:val="F42E40EE"/>
    <w:lvl w:ilvl="0" w:tplc="45C88D66">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03543735">
    <w:abstractNumId w:val="5"/>
  </w:num>
  <w:num w:numId="2" w16cid:durableId="31000664">
    <w:abstractNumId w:val="3"/>
  </w:num>
  <w:num w:numId="3" w16cid:durableId="1718968671">
    <w:abstractNumId w:val="2"/>
  </w:num>
  <w:num w:numId="4" w16cid:durableId="1298492441">
    <w:abstractNumId w:val="9"/>
  </w:num>
  <w:num w:numId="5" w16cid:durableId="1660426922">
    <w:abstractNumId w:val="7"/>
  </w:num>
  <w:num w:numId="6" w16cid:durableId="1822774695">
    <w:abstractNumId w:val="8"/>
  </w:num>
  <w:num w:numId="7" w16cid:durableId="1248493017">
    <w:abstractNumId w:val="4"/>
  </w:num>
  <w:num w:numId="8" w16cid:durableId="51084801">
    <w:abstractNumId w:val="1"/>
  </w:num>
  <w:num w:numId="9" w16cid:durableId="875045599">
    <w:abstractNumId w:val="0"/>
  </w:num>
  <w:num w:numId="10" w16cid:durableId="11450047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1D8"/>
    <w:rsid w:val="000176F8"/>
    <w:rsid w:val="00037B42"/>
    <w:rsid w:val="00044F99"/>
    <w:rsid w:val="000671D8"/>
    <w:rsid w:val="000744B1"/>
    <w:rsid w:val="00075F1C"/>
    <w:rsid w:val="000949C3"/>
    <w:rsid w:val="000D2483"/>
    <w:rsid w:val="000E77F9"/>
    <w:rsid w:val="000E7B0E"/>
    <w:rsid w:val="00117724"/>
    <w:rsid w:val="00170634"/>
    <w:rsid w:val="00191B40"/>
    <w:rsid w:val="001B77DC"/>
    <w:rsid w:val="002255C8"/>
    <w:rsid w:val="002558E8"/>
    <w:rsid w:val="00263ABA"/>
    <w:rsid w:val="00277E1A"/>
    <w:rsid w:val="002B177C"/>
    <w:rsid w:val="002D4F36"/>
    <w:rsid w:val="0031761E"/>
    <w:rsid w:val="00332D45"/>
    <w:rsid w:val="00337D70"/>
    <w:rsid w:val="003506BE"/>
    <w:rsid w:val="0037062D"/>
    <w:rsid w:val="00387305"/>
    <w:rsid w:val="003D025B"/>
    <w:rsid w:val="003F2656"/>
    <w:rsid w:val="0042699F"/>
    <w:rsid w:val="004276A7"/>
    <w:rsid w:val="00460238"/>
    <w:rsid w:val="00467000"/>
    <w:rsid w:val="00470E52"/>
    <w:rsid w:val="004A519B"/>
    <w:rsid w:val="004B15DF"/>
    <w:rsid w:val="004F61A1"/>
    <w:rsid w:val="00520E75"/>
    <w:rsid w:val="005342AB"/>
    <w:rsid w:val="0054510C"/>
    <w:rsid w:val="0054767A"/>
    <w:rsid w:val="00587036"/>
    <w:rsid w:val="005D304B"/>
    <w:rsid w:val="005D469C"/>
    <w:rsid w:val="005F621D"/>
    <w:rsid w:val="005F7576"/>
    <w:rsid w:val="00631B33"/>
    <w:rsid w:val="006340EB"/>
    <w:rsid w:val="006B71EA"/>
    <w:rsid w:val="006E6DBD"/>
    <w:rsid w:val="007022E7"/>
    <w:rsid w:val="00712195"/>
    <w:rsid w:val="00774AA3"/>
    <w:rsid w:val="00797575"/>
    <w:rsid w:val="007D032A"/>
    <w:rsid w:val="007D5DEE"/>
    <w:rsid w:val="007F00F6"/>
    <w:rsid w:val="007F09F0"/>
    <w:rsid w:val="00806613"/>
    <w:rsid w:val="00807A58"/>
    <w:rsid w:val="0083093A"/>
    <w:rsid w:val="00864214"/>
    <w:rsid w:val="008A32F7"/>
    <w:rsid w:val="008B4331"/>
    <w:rsid w:val="009024DC"/>
    <w:rsid w:val="009A10E7"/>
    <w:rsid w:val="009B436B"/>
    <w:rsid w:val="009E0A1A"/>
    <w:rsid w:val="00A06E20"/>
    <w:rsid w:val="00A1684F"/>
    <w:rsid w:val="00A20A6D"/>
    <w:rsid w:val="00A37111"/>
    <w:rsid w:val="00A45433"/>
    <w:rsid w:val="00A533C2"/>
    <w:rsid w:val="00A60DE5"/>
    <w:rsid w:val="00A75DC3"/>
    <w:rsid w:val="00AC66E9"/>
    <w:rsid w:val="00B11DEF"/>
    <w:rsid w:val="00B149CD"/>
    <w:rsid w:val="00B705DB"/>
    <w:rsid w:val="00B712B8"/>
    <w:rsid w:val="00B97FAE"/>
    <w:rsid w:val="00BA3467"/>
    <w:rsid w:val="00BA63B0"/>
    <w:rsid w:val="00BE26FA"/>
    <w:rsid w:val="00C56072"/>
    <w:rsid w:val="00C72855"/>
    <w:rsid w:val="00C83121"/>
    <w:rsid w:val="00CA342F"/>
    <w:rsid w:val="00CE33F4"/>
    <w:rsid w:val="00CE3468"/>
    <w:rsid w:val="00D03A80"/>
    <w:rsid w:val="00D668F6"/>
    <w:rsid w:val="00DA25FF"/>
    <w:rsid w:val="00E23B28"/>
    <w:rsid w:val="00E40C77"/>
    <w:rsid w:val="00E526A6"/>
    <w:rsid w:val="00E8216D"/>
    <w:rsid w:val="00E91005"/>
    <w:rsid w:val="00EF0D12"/>
    <w:rsid w:val="00F26545"/>
    <w:rsid w:val="00F65332"/>
    <w:rsid w:val="00F72457"/>
    <w:rsid w:val="00FA4E8C"/>
    <w:rsid w:val="00FA517F"/>
    <w:rsid w:val="00FB7C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AB619"/>
  <w15:chartTrackingRefBased/>
  <w15:docId w15:val="{4570CD73-3CC2-4045-8610-1E6CD4E7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1D8"/>
    <w:pPr>
      <w:ind w:left="720"/>
      <w:contextualSpacing/>
    </w:pPr>
  </w:style>
  <w:style w:type="table" w:styleId="TableGrid">
    <w:name w:val="Table Grid"/>
    <w:basedOn w:val="TableNormal"/>
    <w:uiPriority w:val="59"/>
    <w:rsid w:val="00067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975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7575"/>
    <w:rPr>
      <w:rFonts w:ascii="Segoe UI" w:hAnsi="Segoe UI" w:cs="Segoe UI"/>
      <w:sz w:val="18"/>
      <w:szCs w:val="18"/>
    </w:rPr>
  </w:style>
  <w:style w:type="paragraph" w:styleId="Header">
    <w:name w:val="header"/>
    <w:basedOn w:val="Normal"/>
    <w:link w:val="HeaderChar"/>
    <w:uiPriority w:val="99"/>
    <w:unhideWhenUsed/>
    <w:rsid w:val="00263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ABA"/>
  </w:style>
  <w:style w:type="paragraph" w:styleId="Footer">
    <w:name w:val="footer"/>
    <w:basedOn w:val="Normal"/>
    <w:link w:val="FooterChar"/>
    <w:uiPriority w:val="99"/>
    <w:unhideWhenUsed/>
    <w:rsid w:val="00263A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A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418358">
      <w:bodyDiv w:val="1"/>
      <w:marLeft w:val="0"/>
      <w:marRight w:val="0"/>
      <w:marTop w:val="0"/>
      <w:marBottom w:val="0"/>
      <w:divBdr>
        <w:top w:val="none" w:sz="0" w:space="0" w:color="auto"/>
        <w:left w:val="none" w:sz="0" w:space="0" w:color="auto"/>
        <w:bottom w:val="none" w:sz="0" w:space="0" w:color="auto"/>
        <w:right w:val="none" w:sz="0" w:space="0" w:color="auto"/>
      </w:divBdr>
    </w:div>
    <w:div w:id="128145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1230</Words>
  <Characters>7014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jayjay koh</dc:creator>
  <cp:keywords/>
  <dc:description/>
  <cp:lastModifiedBy>Michael Torres</cp:lastModifiedBy>
  <cp:revision>5</cp:revision>
  <cp:lastPrinted>2018-02-13T16:42:00Z</cp:lastPrinted>
  <dcterms:created xsi:type="dcterms:W3CDTF">2018-03-19T07:37:00Z</dcterms:created>
  <dcterms:modified xsi:type="dcterms:W3CDTF">2022-12-20T01:14:00Z</dcterms:modified>
</cp:coreProperties>
</file>