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978F" w14:textId="77777777" w:rsidR="0083592B" w:rsidRDefault="0083592B" w:rsidP="0083592B">
      <w:pPr>
        <w:spacing w:after="0" w:line="240" w:lineRule="auto"/>
        <w:jc w:val="right"/>
      </w:pPr>
      <w:r>
        <w:t>Michael Torres</w:t>
      </w:r>
    </w:p>
    <w:p w14:paraId="3CA4E50B" w14:textId="77777777" w:rsidR="0083592B" w:rsidRDefault="0083592B" w:rsidP="0083592B">
      <w:pPr>
        <w:spacing w:after="0" w:line="240" w:lineRule="auto"/>
        <w:jc w:val="right"/>
      </w:pPr>
      <w:r>
        <w:t>Lab Partner: Michael Moshi</w:t>
      </w:r>
    </w:p>
    <w:p w14:paraId="1CF3B76E" w14:textId="77777777" w:rsidR="00B11DEF" w:rsidRDefault="00B11DEF" w:rsidP="0083592B">
      <w:pPr>
        <w:jc w:val="right"/>
      </w:pPr>
    </w:p>
    <w:p w14:paraId="0096C948" w14:textId="24BABA8D" w:rsidR="00B11DEF" w:rsidRPr="00F811CD" w:rsidRDefault="002558E8" w:rsidP="00F811CD">
      <w:pPr>
        <w:jc w:val="center"/>
        <w:rPr>
          <w:b/>
          <w:sz w:val="32"/>
          <w:szCs w:val="32"/>
        </w:rPr>
      </w:pPr>
      <w:r>
        <w:rPr>
          <w:b/>
          <w:sz w:val="32"/>
          <w:szCs w:val="32"/>
        </w:rPr>
        <w:t>Sodium Borohydride Reduction of Ketone</w:t>
      </w:r>
    </w:p>
    <w:p w14:paraId="33B471A0" w14:textId="77777777" w:rsidR="00B11DEF" w:rsidRDefault="00B11DEF"/>
    <w:p w14:paraId="136BF270" w14:textId="60705E3F" w:rsidR="005721C5" w:rsidRDefault="00B11DEF" w:rsidP="00B11DEF">
      <w:pPr>
        <w:rPr>
          <w:sz w:val="24"/>
          <w:szCs w:val="24"/>
        </w:rPr>
      </w:pPr>
      <w:r>
        <w:rPr>
          <w:b/>
          <w:sz w:val="24"/>
          <w:szCs w:val="24"/>
        </w:rPr>
        <w:t>Purpose</w:t>
      </w:r>
      <w:r w:rsidRPr="00B11DEF">
        <w:rPr>
          <w:b/>
          <w:sz w:val="24"/>
          <w:szCs w:val="24"/>
        </w:rPr>
        <w:t>:</w:t>
      </w:r>
      <w:r w:rsidRPr="00B11DEF">
        <w:rPr>
          <w:sz w:val="24"/>
          <w:szCs w:val="24"/>
        </w:rPr>
        <w:t xml:space="preserve"> </w:t>
      </w:r>
    </w:p>
    <w:p w14:paraId="375676E3" w14:textId="29769608" w:rsidR="00520E75" w:rsidRDefault="005721C5" w:rsidP="00B11DEF">
      <w:pPr>
        <w:rPr>
          <w:sz w:val="24"/>
          <w:szCs w:val="24"/>
        </w:rPr>
      </w:pPr>
      <w:r>
        <w:rPr>
          <w:sz w:val="24"/>
          <w:szCs w:val="24"/>
        </w:rPr>
        <w:tab/>
        <w:t xml:space="preserve">The purpose of this </w:t>
      </w:r>
      <w:r w:rsidR="0079658C">
        <w:rPr>
          <w:sz w:val="24"/>
          <w:szCs w:val="24"/>
        </w:rPr>
        <w:t>experiment</w:t>
      </w:r>
      <w:r>
        <w:rPr>
          <w:sz w:val="24"/>
          <w:szCs w:val="24"/>
        </w:rPr>
        <w:t xml:space="preserve"> is to u</w:t>
      </w:r>
      <w:r w:rsidR="0079658C">
        <w:rPr>
          <w:sz w:val="24"/>
          <w:szCs w:val="24"/>
        </w:rPr>
        <w:t>tilize a reduction agent, in this case NaBH</w:t>
      </w:r>
      <w:r w:rsidR="0079658C">
        <w:rPr>
          <w:sz w:val="24"/>
          <w:szCs w:val="24"/>
          <w:vertAlign w:val="subscript"/>
        </w:rPr>
        <w:t xml:space="preserve">4, </w:t>
      </w:r>
      <w:r w:rsidR="0079658C">
        <w:rPr>
          <w:sz w:val="24"/>
          <w:szCs w:val="24"/>
        </w:rPr>
        <w:t xml:space="preserve">to reduce a compound such as an aldehyde or a ketone to an alcohol.  This is achieved by the addition or removal of oxygen from the compounds.  </w:t>
      </w:r>
    </w:p>
    <w:p w14:paraId="0B1BA86A" w14:textId="77777777" w:rsidR="00520E75" w:rsidRDefault="00520E75" w:rsidP="00B11DEF">
      <w:pPr>
        <w:rPr>
          <w:sz w:val="24"/>
          <w:szCs w:val="24"/>
        </w:rPr>
      </w:pPr>
    </w:p>
    <w:p w14:paraId="3F18A04F" w14:textId="77777777" w:rsidR="00360DC9" w:rsidRDefault="00B11DEF" w:rsidP="00B11DEF">
      <w:pPr>
        <w:rPr>
          <w:sz w:val="24"/>
          <w:szCs w:val="24"/>
        </w:rPr>
      </w:pPr>
      <w:r w:rsidRPr="00B11DEF">
        <w:rPr>
          <w:b/>
          <w:sz w:val="24"/>
          <w:szCs w:val="24"/>
        </w:rPr>
        <w:t>Reaction(s):</w:t>
      </w:r>
      <w:r w:rsidR="00360DC9">
        <w:rPr>
          <w:sz w:val="24"/>
          <w:szCs w:val="24"/>
        </w:rPr>
        <w:t xml:space="preserve"> </w:t>
      </w:r>
    </w:p>
    <w:p w14:paraId="2ECABA36" w14:textId="77777777" w:rsidR="00B11DEF" w:rsidRDefault="00360DC9" w:rsidP="00360DC9">
      <w:pPr>
        <w:jc w:val="center"/>
        <w:rPr>
          <w:sz w:val="24"/>
          <w:szCs w:val="24"/>
        </w:rPr>
      </w:pPr>
      <w:r w:rsidRPr="00360DC9">
        <w:rPr>
          <w:noProof/>
          <w:sz w:val="24"/>
          <w:szCs w:val="24"/>
          <w:lang w:eastAsia="en-US"/>
        </w:rPr>
        <w:drawing>
          <wp:inline distT="0" distB="0" distL="0" distR="0" wp14:anchorId="7334EAAD" wp14:editId="501BD400">
            <wp:extent cx="41656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5600" cy="1320800"/>
                    </a:xfrm>
                    <a:prstGeom prst="rect">
                      <a:avLst/>
                    </a:prstGeom>
                  </pic:spPr>
                </pic:pic>
              </a:graphicData>
            </a:graphic>
          </wp:inline>
        </w:drawing>
      </w:r>
    </w:p>
    <w:p w14:paraId="32567658" w14:textId="77777777" w:rsidR="0083093A" w:rsidRDefault="0083093A" w:rsidP="00B11DEF">
      <w:pPr>
        <w:rPr>
          <w:sz w:val="24"/>
          <w:szCs w:val="24"/>
        </w:rPr>
      </w:pPr>
    </w:p>
    <w:p w14:paraId="3A06E7CF" w14:textId="3163A6A3" w:rsidR="000671D8" w:rsidRDefault="000671D8" w:rsidP="0083093A">
      <w:pPr>
        <w:rPr>
          <w:sz w:val="24"/>
          <w:szCs w:val="24"/>
        </w:rPr>
      </w:pPr>
      <w:r w:rsidRPr="0083093A">
        <w:rPr>
          <w:b/>
          <w:sz w:val="24"/>
          <w:szCs w:val="24"/>
        </w:rPr>
        <w:t>Physical Properties of Reagents</w:t>
      </w:r>
      <w:r w:rsidR="00F318A3">
        <w:rPr>
          <w:sz w:val="24"/>
          <w:szCs w:val="24"/>
        </w:rPr>
        <w:t>:</w:t>
      </w:r>
    </w:p>
    <w:tbl>
      <w:tblPr>
        <w:tblStyle w:val="TableGrid"/>
        <w:tblW w:w="9463" w:type="dxa"/>
        <w:jc w:val="center"/>
        <w:tblLook w:val="04A0" w:firstRow="1" w:lastRow="0" w:firstColumn="1" w:lastColumn="0" w:noHBand="0" w:noVBand="1"/>
      </w:tblPr>
      <w:tblGrid>
        <w:gridCol w:w="2626"/>
        <w:gridCol w:w="2416"/>
        <w:gridCol w:w="1229"/>
        <w:gridCol w:w="1288"/>
        <w:gridCol w:w="908"/>
        <w:gridCol w:w="996"/>
      </w:tblGrid>
      <w:tr w:rsidR="000671D8" w:rsidRPr="00B11DEF" w14:paraId="67F0359B" w14:textId="77777777" w:rsidTr="00360DC9">
        <w:trPr>
          <w:trHeight w:val="440"/>
          <w:jc w:val="center"/>
        </w:trPr>
        <w:tc>
          <w:tcPr>
            <w:tcW w:w="2626" w:type="dxa"/>
            <w:vAlign w:val="center"/>
          </w:tcPr>
          <w:p w14:paraId="35F7C1DF" w14:textId="77777777" w:rsidR="000671D8" w:rsidRPr="00B11DEF" w:rsidRDefault="000671D8" w:rsidP="0045502C">
            <w:pPr>
              <w:jc w:val="center"/>
              <w:rPr>
                <w:sz w:val="24"/>
                <w:szCs w:val="24"/>
              </w:rPr>
            </w:pPr>
            <w:r w:rsidRPr="00B11DEF">
              <w:rPr>
                <w:sz w:val="24"/>
                <w:szCs w:val="24"/>
              </w:rPr>
              <w:t>Reagent</w:t>
            </w:r>
          </w:p>
        </w:tc>
        <w:tc>
          <w:tcPr>
            <w:tcW w:w="2416" w:type="dxa"/>
            <w:vAlign w:val="center"/>
          </w:tcPr>
          <w:p w14:paraId="7CD56166" w14:textId="77777777" w:rsidR="000671D8" w:rsidRPr="00B11DEF" w:rsidRDefault="000671D8" w:rsidP="0045502C">
            <w:pPr>
              <w:jc w:val="center"/>
              <w:rPr>
                <w:sz w:val="24"/>
                <w:szCs w:val="24"/>
              </w:rPr>
            </w:pPr>
            <w:r w:rsidRPr="00B11DEF">
              <w:rPr>
                <w:sz w:val="24"/>
                <w:szCs w:val="24"/>
              </w:rPr>
              <w:t>Structure</w:t>
            </w:r>
          </w:p>
        </w:tc>
        <w:tc>
          <w:tcPr>
            <w:tcW w:w="1229" w:type="dxa"/>
            <w:vAlign w:val="center"/>
          </w:tcPr>
          <w:p w14:paraId="21067AA5" w14:textId="77777777" w:rsidR="000671D8" w:rsidRPr="00B11DEF" w:rsidRDefault="000671D8" w:rsidP="0045502C">
            <w:pPr>
              <w:jc w:val="center"/>
              <w:rPr>
                <w:sz w:val="24"/>
                <w:szCs w:val="24"/>
              </w:rPr>
            </w:pPr>
            <w:r w:rsidRPr="00B11DEF">
              <w:rPr>
                <w:sz w:val="24"/>
                <w:szCs w:val="24"/>
              </w:rPr>
              <w:t>Molecular Formula</w:t>
            </w:r>
          </w:p>
        </w:tc>
        <w:tc>
          <w:tcPr>
            <w:tcW w:w="1288" w:type="dxa"/>
            <w:vAlign w:val="center"/>
          </w:tcPr>
          <w:p w14:paraId="109BD7B2" w14:textId="77777777" w:rsidR="000671D8" w:rsidRPr="00B11DEF" w:rsidRDefault="000671D8" w:rsidP="000671D8">
            <w:pPr>
              <w:jc w:val="center"/>
              <w:rPr>
                <w:sz w:val="24"/>
                <w:szCs w:val="24"/>
              </w:rPr>
            </w:pPr>
            <w:r w:rsidRPr="00B11DEF">
              <w:rPr>
                <w:sz w:val="24"/>
                <w:szCs w:val="24"/>
              </w:rPr>
              <w:t>Molecular Weight</w:t>
            </w:r>
            <w:r w:rsidRPr="00B11DEF">
              <w:rPr>
                <w:sz w:val="24"/>
                <w:szCs w:val="24"/>
              </w:rPr>
              <w:br/>
              <w:t>(g/mol)</w:t>
            </w:r>
          </w:p>
        </w:tc>
        <w:tc>
          <w:tcPr>
            <w:tcW w:w="908" w:type="dxa"/>
            <w:vAlign w:val="center"/>
          </w:tcPr>
          <w:p w14:paraId="45AE93A4" w14:textId="77777777" w:rsidR="000671D8" w:rsidRPr="00B11DEF" w:rsidRDefault="000671D8" w:rsidP="0045502C">
            <w:pPr>
              <w:jc w:val="center"/>
              <w:rPr>
                <w:sz w:val="24"/>
                <w:szCs w:val="24"/>
              </w:rPr>
            </w:pPr>
            <w:r w:rsidRPr="00B11DEF">
              <w:rPr>
                <w:sz w:val="24"/>
                <w:szCs w:val="24"/>
              </w:rPr>
              <w:t>Boiling Point (°C)</w:t>
            </w:r>
          </w:p>
        </w:tc>
        <w:tc>
          <w:tcPr>
            <w:tcW w:w="996" w:type="dxa"/>
            <w:vAlign w:val="center"/>
          </w:tcPr>
          <w:p w14:paraId="5562DB76" w14:textId="77777777" w:rsidR="000671D8" w:rsidRPr="00B11DEF" w:rsidRDefault="000671D8" w:rsidP="000671D8">
            <w:pPr>
              <w:jc w:val="center"/>
              <w:rPr>
                <w:sz w:val="24"/>
                <w:szCs w:val="24"/>
              </w:rPr>
            </w:pPr>
            <w:r w:rsidRPr="00B11DEF">
              <w:rPr>
                <w:sz w:val="24"/>
                <w:szCs w:val="24"/>
              </w:rPr>
              <w:t xml:space="preserve">Density </w:t>
            </w:r>
          </w:p>
          <w:p w14:paraId="4C8A1263" w14:textId="77777777" w:rsidR="000671D8" w:rsidRPr="00B11DEF" w:rsidRDefault="000671D8" w:rsidP="000671D8">
            <w:pPr>
              <w:jc w:val="center"/>
              <w:rPr>
                <w:sz w:val="24"/>
                <w:szCs w:val="24"/>
              </w:rPr>
            </w:pPr>
            <w:r w:rsidRPr="00B11DEF">
              <w:rPr>
                <w:sz w:val="24"/>
                <w:szCs w:val="24"/>
              </w:rPr>
              <w:t>(g/mL)</w:t>
            </w:r>
          </w:p>
        </w:tc>
      </w:tr>
      <w:tr w:rsidR="000671D8" w:rsidRPr="00B11DEF" w14:paraId="7C0DA99B" w14:textId="77777777" w:rsidTr="00360DC9">
        <w:trPr>
          <w:trHeight w:val="1152"/>
          <w:jc w:val="center"/>
        </w:trPr>
        <w:tc>
          <w:tcPr>
            <w:tcW w:w="2626" w:type="dxa"/>
            <w:vAlign w:val="center"/>
          </w:tcPr>
          <w:p w14:paraId="05456CC1" w14:textId="77777777" w:rsidR="000671D8" w:rsidRPr="00B11DEF" w:rsidRDefault="002558E8" w:rsidP="0045502C">
            <w:pPr>
              <w:jc w:val="center"/>
              <w:rPr>
                <w:sz w:val="24"/>
                <w:szCs w:val="24"/>
              </w:rPr>
            </w:pPr>
            <w:r>
              <w:rPr>
                <w:sz w:val="24"/>
                <w:szCs w:val="24"/>
              </w:rPr>
              <w:t>4-t-butylcyclohexanone</w:t>
            </w:r>
          </w:p>
        </w:tc>
        <w:tc>
          <w:tcPr>
            <w:tcW w:w="2416" w:type="dxa"/>
            <w:vAlign w:val="center"/>
          </w:tcPr>
          <w:p w14:paraId="5369DBBD" w14:textId="77777777" w:rsidR="000671D8" w:rsidRPr="00B11DEF" w:rsidRDefault="00360DC9" w:rsidP="0045502C">
            <w:pPr>
              <w:jc w:val="center"/>
              <w:rPr>
                <w:sz w:val="24"/>
                <w:szCs w:val="24"/>
              </w:rPr>
            </w:pPr>
            <w:r w:rsidRPr="00360DC9">
              <w:rPr>
                <w:noProof/>
                <w:sz w:val="24"/>
                <w:szCs w:val="24"/>
                <w:lang w:eastAsia="en-US"/>
              </w:rPr>
              <w:drawing>
                <wp:inline distT="0" distB="0" distL="0" distR="0" wp14:anchorId="264AD2A9" wp14:editId="1F80584A">
                  <wp:extent cx="1016000" cy="419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6000" cy="419100"/>
                          </a:xfrm>
                          <a:prstGeom prst="rect">
                            <a:avLst/>
                          </a:prstGeom>
                        </pic:spPr>
                      </pic:pic>
                    </a:graphicData>
                  </a:graphic>
                </wp:inline>
              </w:drawing>
            </w:r>
          </w:p>
        </w:tc>
        <w:tc>
          <w:tcPr>
            <w:tcW w:w="1229" w:type="dxa"/>
            <w:vAlign w:val="center"/>
          </w:tcPr>
          <w:p w14:paraId="1F1FC145" w14:textId="0D1ED569" w:rsidR="000671D8" w:rsidRPr="0079658C" w:rsidRDefault="0079658C" w:rsidP="0045502C">
            <w:pPr>
              <w:jc w:val="center"/>
              <w:rPr>
                <w:sz w:val="24"/>
                <w:szCs w:val="24"/>
              </w:rPr>
            </w:pPr>
            <w:r>
              <w:rPr>
                <w:sz w:val="24"/>
                <w:szCs w:val="24"/>
              </w:rPr>
              <w:t>C</w:t>
            </w:r>
            <w:r>
              <w:rPr>
                <w:sz w:val="24"/>
                <w:szCs w:val="24"/>
                <w:vertAlign w:val="subscript"/>
              </w:rPr>
              <w:t>10</w:t>
            </w:r>
            <w:r>
              <w:rPr>
                <w:sz w:val="24"/>
                <w:szCs w:val="24"/>
              </w:rPr>
              <w:t>H</w:t>
            </w:r>
            <w:r>
              <w:rPr>
                <w:sz w:val="24"/>
                <w:szCs w:val="24"/>
                <w:vertAlign w:val="subscript"/>
              </w:rPr>
              <w:t>18</w:t>
            </w:r>
            <w:r>
              <w:rPr>
                <w:sz w:val="24"/>
                <w:szCs w:val="24"/>
              </w:rPr>
              <w:t>O</w:t>
            </w:r>
          </w:p>
        </w:tc>
        <w:tc>
          <w:tcPr>
            <w:tcW w:w="1288" w:type="dxa"/>
            <w:vAlign w:val="center"/>
          </w:tcPr>
          <w:p w14:paraId="20464537" w14:textId="2AFB77D2" w:rsidR="000671D8" w:rsidRPr="00B11DEF" w:rsidRDefault="0079658C" w:rsidP="0045502C">
            <w:pPr>
              <w:jc w:val="center"/>
              <w:rPr>
                <w:sz w:val="24"/>
                <w:szCs w:val="24"/>
              </w:rPr>
            </w:pPr>
            <w:r>
              <w:rPr>
                <w:sz w:val="24"/>
                <w:szCs w:val="24"/>
              </w:rPr>
              <w:t>154.25</w:t>
            </w:r>
          </w:p>
        </w:tc>
        <w:tc>
          <w:tcPr>
            <w:tcW w:w="908" w:type="dxa"/>
            <w:vAlign w:val="center"/>
          </w:tcPr>
          <w:p w14:paraId="42DA1DF4" w14:textId="3A222503" w:rsidR="000671D8" w:rsidRPr="00B11DEF" w:rsidRDefault="0079658C" w:rsidP="0045502C">
            <w:pPr>
              <w:jc w:val="center"/>
              <w:rPr>
                <w:sz w:val="24"/>
                <w:szCs w:val="24"/>
              </w:rPr>
            </w:pPr>
            <w:r>
              <w:rPr>
                <w:sz w:val="24"/>
                <w:szCs w:val="24"/>
              </w:rPr>
              <w:t>225.1</w:t>
            </w:r>
          </w:p>
        </w:tc>
        <w:tc>
          <w:tcPr>
            <w:tcW w:w="996" w:type="dxa"/>
            <w:vAlign w:val="center"/>
          </w:tcPr>
          <w:p w14:paraId="44BC04B7" w14:textId="4AF2AAE6" w:rsidR="000671D8" w:rsidRPr="00B11DEF" w:rsidRDefault="0079658C" w:rsidP="0045502C">
            <w:pPr>
              <w:jc w:val="center"/>
              <w:rPr>
                <w:sz w:val="24"/>
                <w:szCs w:val="24"/>
              </w:rPr>
            </w:pPr>
            <w:r>
              <w:rPr>
                <w:sz w:val="24"/>
                <w:szCs w:val="24"/>
              </w:rPr>
              <w:t>0.911</w:t>
            </w:r>
          </w:p>
        </w:tc>
      </w:tr>
      <w:tr w:rsidR="002558E8" w:rsidRPr="00B11DEF" w14:paraId="7AE70597" w14:textId="77777777" w:rsidTr="00360DC9">
        <w:trPr>
          <w:trHeight w:val="1152"/>
          <w:jc w:val="center"/>
        </w:trPr>
        <w:tc>
          <w:tcPr>
            <w:tcW w:w="2626" w:type="dxa"/>
            <w:vAlign w:val="center"/>
          </w:tcPr>
          <w:p w14:paraId="3330AA4D" w14:textId="77777777" w:rsidR="002558E8" w:rsidRDefault="002558E8" w:rsidP="0045502C">
            <w:pPr>
              <w:jc w:val="center"/>
              <w:rPr>
                <w:sz w:val="24"/>
                <w:szCs w:val="24"/>
              </w:rPr>
            </w:pPr>
            <w:r>
              <w:rPr>
                <w:sz w:val="24"/>
                <w:szCs w:val="24"/>
              </w:rPr>
              <w:t>Sodium borohydride</w:t>
            </w:r>
          </w:p>
        </w:tc>
        <w:tc>
          <w:tcPr>
            <w:tcW w:w="2416" w:type="dxa"/>
            <w:vAlign w:val="center"/>
          </w:tcPr>
          <w:p w14:paraId="6D0223B6" w14:textId="77777777" w:rsidR="002558E8" w:rsidRPr="00B11DEF" w:rsidRDefault="00360DC9" w:rsidP="0045502C">
            <w:pPr>
              <w:jc w:val="center"/>
              <w:rPr>
                <w:sz w:val="24"/>
                <w:szCs w:val="24"/>
              </w:rPr>
            </w:pPr>
            <w:r w:rsidRPr="00360DC9">
              <w:rPr>
                <w:noProof/>
                <w:sz w:val="24"/>
                <w:szCs w:val="24"/>
                <w:lang w:eastAsia="en-US"/>
              </w:rPr>
              <w:drawing>
                <wp:inline distT="0" distB="0" distL="0" distR="0" wp14:anchorId="19C7DFE2" wp14:editId="23E4A224">
                  <wp:extent cx="1384300" cy="711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4300" cy="711200"/>
                          </a:xfrm>
                          <a:prstGeom prst="rect">
                            <a:avLst/>
                          </a:prstGeom>
                        </pic:spPr>
                      </pic:pic>
                    </a:graphicData>
                  </a:graphic>
                </wp:inline>
              </w:drawing>
            </w:r>
          </w:p>
        </w:tc>
        <w:tc>
          <w:tcPr>
            <w:tcW w:w="1229" w:type="dxa"/>
            <w:vAlign w:val="center"/>
          </w:tcPr>
          <w:p w14:paraId="0620F1DC" w14:textId="74C1265B" w:rsidR="002558E8" w:rsidRPr="00F318A3" w:rsidRDefault="00F318A3" w:rsidP="0045502C">
            <w:pPr>
              <w:jc w:val="center"/>
              <w:rPr>
                <w:sz w:val="24"/>
                <w:szCs w:val="24"/>
              </w:rPr>
            </w:pPr>
            <w:r>
              <w:rPr>
                <w:sz w:val="24"/>
                <w:szCs w:val="24"/>
              </w:rPr>
              <w:t>NaBH</w:t>
            </w:r>
            <w:r>
              <w:rPr>
                <w:sz w:val="24"/>
                <w:szCs w:val="24"/>
                <w:vertAlign w:val="subscript"/>
              </w:rPr>
              <w:t>4</w:t>
            </w:r>
          </w:p>
        </w:tc>
        <w:tc>
          <w:tcPr>
            <w:tcW w:w="1288" w:type="dxa"/>
            <w:vAlign w:val="center"/>
          </w:tcPr>
          <w:p w14:paraId="38EB3866" w14:textId="6D95D2FB" w:rsidR="002558E8" w:rsidRPr="00B11DEF" w:rsidRDefault="00F318A3" w:rsidP="0045502C">
            <w:pPr>
              <w:jc w:val="center"/>
              <w:rPr>
                <w:sz w:val="24"/>
                <w:szCs w:val="24"/>
              </w:rPr>
            </w:pPr>
            <w:r>
              <w:rPr>
                <w:sz w:val="24"/>
                <w:szCs w:val="24"/>
              </w:rPr>
              <w:t>37.83</w:t>
            </w:r>
          </w:p>
        </w:tc>
        <w:tc>
          <w:tcPr>
            <w:tcW w:w="908" w:type="dxa"/>
            <w:vAlign w:val="center"/>
          </w:tcPr>
          <w:p w14:paraId="32DF72BA" w14:textId="4FF506B3" w:rsidR="002558E8" w:rsidRPr="00B11DEF" w:rsidRDefault="00F318A3" w:rsidP="0045502C">
            <w:pPr>
              <w:jc w:val="center"/>
              <w:rPr>
                <w:sz w:val="24"/>
                <w:szCs w:val="24"/>
              </w:rPr>
            </w:pPr>
            <w:r>
              <w:rPr>
                <w:sz w:val="24"/>
                <w:szCs w:val="24"/>
              </w:rPr>
              <w:t>500</w:t>
            </w:r>
          </w:p>
        </w:tc>
        <w:tc>
          <w:tcPr>
            <w:tcW w:w="996" w:type="dxa"/>
            <w:vAlign w:val="center"/>
          </w:tcPr>
          <w:p w14:paraId="414122F6" w14:textId="27CBC944" w:rsidR="002558E8" w:rsidRPr="00B11DEF" w:rsidRDefault="00F318A3" w:rsidP="0045502C">
            <w:pPr>
              <w:jc w:val="center"/>
              <w:rPr>
                <w:sz w:val="24"/>
                <w:szCs w:val="24"/>
              </w:rPr>
            </w:pPr>
            <w:r>
              <w:rPr>
                <w:sz w:val="24"/>
                <w:szCs w:val="24"/>
              </w:rPr>
              <w:t>1.07</w:t>
            </w:r>
          </w:p>
        </w:tc>
      </w:tr>
      <w:tr w:rsidR="00360DC9" w:rsidRPr="00B11DEF" w14:paraId="18E2EB79" w14:textId="77777777" w:rsidTr="00360DC9">
        <w:trPr>
          <w:trHeight w:val="1152"/>
          <w:jc w:val="center"/>
        </w:trPr>
        <w:tc>
          <w:tcPr>
            <w:tcW w:w="2626" w:type="dxa"/>
            <w:vAlign w:val="center"/>
          </w:tcPr>
          <w:p w14:paraId="0BCE63FA" w14:textId="77777777" w:rsidR="00360DC9" w:rsidRPr="00B11DEF" w:rsidRDefault="00360DC9" w:rsidP="00520E75">
            <w:pPr>
              <w:jc w:val="center"/>
              <w:rPr>
                <w:sz w:val="24"/>
                <w:szCs w:val="24"/>
              </w:rPr>
            </w:pPr>
            <w:r>
              <w:rPr>
                <w:sz w:val="24"/>
                <w:szCs w:val="24"/>
              </w:rPr>
              <w:t>Dichloromethane</w:t>
            </w:r>
          </w:p>
        </w:tc>
        <w:tc>
          <w:tcPr>
            <w:tcW w:w="2416" w:type="dxa"/>
            <w:vAlign w:val="center"/>
          </w:tcPr>
          <w:p w14:paraId="07DE1383" w14:textId="77777777" w:rsidR="00360DC9" w:rsidRPr="00B11DEF" w:rsidRDefault="00360DC9" w:rsidP="0045502C">
            <w:pPr>
              <w:jc w:val="center"/>
              <w:rPr>
                <w:sz w:val="24"/>
                <w:szCs w:val="24"/>
              </w:rPr>
            </w:pPr>
            <w:r w:rsidRPr="00360DC9">
              <w:rPr>
                <w:noProof/>
                <w:sz w:val="24"/>
                <w:szCs w:val="24"/>
                <w:lang w:eastAsia="en-US"/>
              </w:rPr>
              <w:drawing>
                <wp:inline distT="0" distB="0" distL="0" distR="0" wp14:anchorId="47AC056C" wp14:editId="2D58E876">
                  <wp:extent cx="5588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 cy="215900"/>
                          </a:xfrm>
                          <a:prstGeom prst="rect">
                            <a:avLst/>
                          </a:prstGeom>
                        </pic:spPr>
                      </pic:pic>
                    </a:graphicData>
                  </a:graphic>
                </wp:inline>
              </w:drawing>
            </w:r>
          </w:p>
        </w:tc>
        <w:tc>
          <w:tcPr>
            <w:tcW w:w="1229" w:type="dxa"/>
            <w:vAlign w:val="center"/>
          </w:tcPr>
          <w:p w14:paraId="6D9F4A13" w14:textId="77777777" w:rsidR="00360DC9" w:rsidRPr="00B11DEF" w:rsidRDefault="00360DC9" w:rsidP="0045502C">
            <w:pPr>
              <w:jc w:val="center"/>
              <w:rPr>
                <w:sz w:val="24"/>
                <w:szCs w:val="24"/>
              </w:rPr>
            </w:pPr>
            <w:r>
              <w:rPr>
                <w:sz w:val="24"/>
                <w:szCs w:val="24"/>
              </w:rPr>
              <w:t>CH</w:t>
            </w:r>
            <w:r>
              <w:rPr>
                <w:sz w:val="24"/>
                <w:szCs w:val="24"/>
                <w:vertAlign w:val="subscript"/>
              </w:rPr>
              <w:t>2</w:t>
            </w:r>
            <w:r>
              <w:rPr>
                <w:sz w:val="24"/>
                <w:szCs w:val="24"/>
              </w:rPr>
              <w:t>Cl</w:t>
            </w:r>
            <w:r>
              <w:rPr>
                <w:sz w:val="24"/>
                <w:szCs w:val="24"/>
                <w:vertAlign w:val="subscript"/>
              </w:rPr>
              <w:t>2</w:t>
            </w:r>
          </w:p>
        </w:tc>
        <w:tc>
          <w:tcPr>
            <w:tcW w:w="1288" w:type="dxa"/>
            <w:vAlign w:val="center"/>
          </w:tcPr>
          <w:p w14:paraId="12E9B1AB" w14:textId="77777777" w:rsidR="00360DC9" w:rsidRPr="00B11DEF" w:rsidRDefault="00360DC9" w:rsidP="004272A6">
            <w:pPr>
              <w:jc w:val="center"/>
              <w:rPr>
                <w:sz w:val="24"/>
                <w:szCs w:val="24"/>
              </w:rPr>
            </w:pPr>
            <w:r>
              <w:rPr>
                <w:sz w:val="24"/>
                <w:szCs w:val="24"/>
              </w:rPr>
              <w:t>84.93</w:t>
            </w:r>
          </w:p>
        </w:tc>
        <w:tc>
          <w:tcPr>
            <w:tcW w:w="908" w:type="dxa"/>
            <w:vAlign w:val="center"/>
          </w:tcPr>
          <w:p w14:paraId="2A519CDA" w14:textId="77777777" w:rsidR="00360DC9" w:rsidRPr="00B11DEF" w:rsidRDefault="00360DC9" w:rsidP="004272A6">
            <w:pPr>
              <w:jc w:val="center"/>
              <w:rPr>
                <w:sz w:val="24"/>
                <w:szCs w:val="24"/>
              </w:rPr>
            </w:pPr>
            <w:r>
              <w:rPr>
                <w:sz w:val="24"/>
                <w:szCs w:val="24"/>
              </w:rPr>
              <w:t>103.3</w:t>
            </w:r>
          </w:p>
        </w:tc>
        <w:tc>
          <w:tcPr>
            <w:tcW w:w="996" w:type="dxa"/>
            <w:vAlign w:val="center"/>
          </w:tcPr>
          <w:p w14:paraId="17FB25B9" w14:textId="77777777" w:rsidR="00360DC9" w:rsidRPr="00B11DEF" w:rsidRDefault="00360DC9" w:rsidP="004272A6">
            <w:pPr>
              <w:jc w:val="center"/>
              <w:rPr>
                <w:sz w:val="24"/>
                <w:szCs w:val="24"/>
              </w:rPr>
            </w:pPr>
            <w:r>
              <w:rPr>
                <w:sz w:val="24"/>
                <w:szCs w:val="24"/>
              </w:rPr>
              <w:t>1.33</w:t>
            </w:r>
          </w:p>
        </w:tc>
      </w:tr>
    </w:tbl>
    <w:p w14:paraId="54703C73" w14:textId="7BF5DF05" w:rsidR="000671D8" w:rsidRDefault="000671D8" w:rsidP="0083093A">
      <w:pPr>
        <w:rPr>
          <w:sz w:val="24"/>
          <w:szCs w:val="24"/>
        </w:rPr>
      </w:pPr>
    </w:p>
    <w:p w14:paraId="2279AC78" w14:textId="77777777" w:rsidR="000974C9" w:rsidRPr="0083093A" w:rsidRDefault="000974C9" w:rsidP="0083093A">
      <w:pPr>
        <w:rPr>
          <w:sz w:val="24"/>
          <w:szCs w:val="24"/>
        </w:rPr>
      </w:pPr>
    </w:p>
    <w:p w14:paraId="72C05AE3" w14:textId="77777777" w:rsidR="0031011E" w:rsidRDefault="000671D8" w:rsidP="0083093A">
      <w:pPr>
        <w:rPr>
          <w:sz w:val="24"/>
          <w:szCs w:val="24"/>
        </w:rPr>
      </w:pPr>
      <w:r w:rsidRPr="0083093A">
        <w:rPr>
          <w:b/>
          <w:sz w:val="24"/>
          <w:szCs w:val="24"/>
        </w:rPr>
        <w:lastRenderedPageBreak/>
        <w:t>Procedure &amp; Observation</w:t>
      </w:r>
      <w:r w:rsidR="009B436B" w:rsidRPr="0083093A">
        <w:rPr>
          <w:b/>
          <w:sz w:val="24"/>
          <w:szCs w:val="24"/>
        </w:rPr>
        <w:t>:</w:t>
      </w:r>
    </w:p>
    <w:p w14:paraId="70CBEA28" w14:textId="0966567A" w:rsidR="00332D45" w:rsidRDefault="0031011E" w:rsidP="0083093A">
      <w:pPr>
        <w:rPr>
          <w:sz w:val="24"/>
          <w:szCs w:val="24"/>
        </w:rPr>
      </w:pPr>
      <w:r>
        <w:rPr>
          <w:sz w:val="24"/>
          <w:szCs w:val="24"/>
        </w:rPr>
        <w:tab/>
        <w:t xml:space="preserve">Begin the experiment by collecting the necessary lab materials and dressing in the proper lab attire.  </w:t>
      </w:r>
      <w:r w:rsidR="00637EB3">
        <w:rPr>
          <w:sz w:val="24"/>
          <w:szCs w:val="24"/>
        </w:rPr>
        <w:t>Begin by measuring out 386mg of 4-t-butylcyclohexanone on an analytical balance and place in 25mL Erlenmeyer flask.  Next use a 10ml graduated cylinder to measure 5mL of ethanol and place into the flask with a stirring rod.  You will then add 4 ml of the reducing agent, NaBH</w:t>
      </w:r>
      <w:r w:rsidR="00637EB3">
        <w:rPr>
          <w:sz w:val="24"/>
          <w:szCs w:val="24"/>
          <w:vertAlign w:val="subscript"/>
        </w:rPr>
        <w:t>4</w:t>
      </w:r>
      <w:r w:rsidR="00637EB3">
        <w:rPr>
          <w:sz w:val="24"/>
          <w:szCs w:val="24"/>
        </w:rPr>
        <w:t xml:space="preserve">, into the flask.  There will be a cloudy white presence </w:t>
      </w:r>
      <w:r w:rsidR="008618FD">
        <w:rPr>
          <w:sz w:val="24"/>
          <w:szCs w:val="24"/>
        </w:rPr>
        <w:t>within the flask.  U</w:t>
      </w:r>
      <w:r w:rsidR="00637EB3">
        <w:rPr>
          <w:sz w:val="24"/>
          <w:szCs w:val="24"/>
        </w:rPr>
        <w:t xml:space="preserve">se a hot plate to stir the magnetic stirring rod within the solution for 30 minutes </w:t>
      </w:r>
      <w:r w:rsidR="008618FD">
        <w:rPr>
          <w:sz w:val="24"/>
          <w:szCs w:val="24"/>
        </w:rPr>
        <w:t xml:space="preserve">at room temperature.  Next add a couple drops of 3M HCl into the solution to completely saturate the solution and provide the necessary hydrogen atoms necessary for reduction.  There will be no more bubbles that form when the necessary amount of HCl is added.  Following the addition of HCl it is necessary to perform the extraction of 4-t-butylcyclohexanol.  Transfer the solution into a separatory funnel.  Use dichloromethane to remove any </w:t>
      </w:r>
      <w:r w:rsidR="00781DA6">
        <w:rPr>
          <w:sz w:val="24"/>
          <w:szCs w:val="24"/>
        </w:rPr>
        <w:t xml:space="preserve">remaining solution from the flask into the funnel.  Add 15 ml of dichloromethane into the flask.  Place the glass stopper on the top of the funnel and using both hands, firmly and securely mix the solution in the funnel.  Hold the funnel upside down and open the valve to release any pressure that has built up.  Mix the solution and release the pressure a couple more times.  </w:t>
      </w:r>
      <w:r w:rsidR="002912C9">
        <w:rPr>
          <w:sz w:val="24"/>
          <w:szCs w:val="24"/>
        </w:rPr>
        <w:t xml:space="preserve">Allow the solution to sit and notice the two layers that form within the funnel.  The top layer will be the organic layer and the bottom layer will be the aqueous layer.  </w:t>
      </w:r>
      <w:r w:rsidR="00781DA6">
        <w:rPr>
          <w:sz w:val="24"/>
          <w:szCs w:val="24"/>
        </w:rPr>
        <w:t>Next</w:t>
      </w:r>
      <w:r w:rsidR="002912C9">
        <w:rPr>
          <w:sz w:val="24"/>
          <w:szCs w:val="24"/>
        </w:rPr>
        <w:t>,</w:t>
      </w:r>
      <w:r w:rsidR="00781DA6">
        <w:rPr>
          <w:sz w:val="24"/>
          <w:szCs w:val="24"/>
        </w:rPr>
        <w:t xml:space="preserve"> perform the extraction by re</w:t>
      </w:r>
      <w:r w:rsidR="002912C9">
        <w:rPr>
          <w:sz w:val="24"/>
          <w:szCs w:val="24"/>
        </w:rPr>
        <w:t>moving the aqueous layer by extracting it into a 100 mL beaker.  Repeat the process of adding dichloromethane into the funnel, mixing, and extraction a total of 2 mo</w:t>
      </w:r>
      <w:r w:rsidR="0082191E">
        <w:rPr>
          <w:sz w:val="24"/>
          <w:szCs w:val="24"/>
        </w:rPr>
        <w:t xml:space="preserve">re times.  Remove the remaining organic layer by transferring it into </w:t>
      </w:r>
      <w:r w:rsidR="00831D68">
        <w:rPr>
          <w:sz w:val="24"/>
          <w:szCs w:val="24"/>
        </w:rPr>
        <w:t>a 50mL Erlenmeyer flask.  Add Na</w:t>
      </w:r>
      <w:r w:rsidR="00831D68">
        <w:rPr>
          <w:sz w:val="24"/>
          <w:szCs w:val="24"/>
          <w:vertAlign w:val="subscript"/>
        </w:rPr>
        <w:t>2</w:t>
      </w:r>
      <w:r w:rsidR="00831D68">
        <w:rPr>
          <w:sz w:val="24"/>
          <w:szCs w:val="24"/>
        </w:rPr>
        <w:t>SO</w:t>
      </w:r>
      <w:r w:rsidR="00831D68">
        <w:rPr>
          <w:sz w:val="24"/>
          <w:szCs w:val="24"/>
          <w:vertAlign w:val="subscript"/>
        </w:rPr>
        <w:t>4</w:t>
      </w:r>
      <w:r w:rsidR="00831D68">
        <w:rPr>
          <w:sz w:val="24"/>
          <w:szCs w:val="24"/>
        </w:rPr>
        <w:t xml:space="preserve"> into the solution until it no longer clumps at the base of the flask.  Allow it to stand for 5 minutes.  Next decant the organic layer into a pre-weighed 100mL beaker with a boiling chip.  Evaporate the solvent under the fume hood with a hot plate.  </w:t>
      </w:r>
      <w:r w:rsidR="00D22D8F">
        <w:rPr>
          <w:sz w:val="24"/>
          <w:szCs w:val="24"/>
        </w:rPr>
        <w:t xml:space="preserve">Allow it to cool and </w:t>
      </w:r>
      <w:r w:rsidR="00515AF4">
        <w:rPr>
          <w:sz w:val="24"/>
          <w:szCs w:val="24"/>
        </w:rPr>
        <w:t>solidify.   U</w:t>
      </w:r>
      <w:r w:rsidR="00831D68">
        <w:rPr>
          <w:sz w:val="24"/>
          <w:szCs w:val="24"/>
        </w:rPr>
        <w:t>se the remaining product to calculate the percent yield, melting point and IR.</w:t>
      </w:r>
    </w:p>
    <w:p w14:paraId="33C36BF3" w14:textId="51053E80" w:rsidR="00831D68" w:rsidRDefault="00831D68" w:rsidP="0083093A">
      <w:pPr>
        <w:rPr>
          <w:sz w:val="24"/>
          <w:szCs w:val="24"/>
        </w:rPr>
      </w:pPr>
      <w:r>
        <w:rPr>
          <w:sz w:val="24"/>
          <w:szCs w:val="24"/>
        </w:rPr>
        <w:tab/>
        <w:t xml:space="preserve">To perform the melting point, use a capillary tube and </w:t>
      </w:r>
      <w:r w:rsidR="00D22D8F">
        <w:rPr>
          <w:sz w:val="24"/>
          <w:szCs w:val="24"/>
        </w:rPr>
        <w:t>crush the solidified organic layer into a powder.  Tap the capillary tube onto the powder until roughly 3-5 cm has entered the tube.  Utilize the melting point apparatus by setting a plateau and watching as the inserted capillary tube containing the compound me</w:t>
      </w:r>
      <w:r w:rsidR="00A13BDB">
        <w:rPr>
          <w:sz w:val="24"/>
          <w:szCs w:val="24"/>
        </w:rPr>
        <w:t xml:space="preserve">lts under a given temperature.  Perform the IR first by creating the necessary KBr pellets used to conduct the reading.  Mix a small sample of your organic mixture with the KBr salt.  Next compress a small amount of the new mixture into a flat disk and conduct the IR reading.  </w:t>
      </w:r>
    </w:p>
    <w:p w14:paraId="0E647355" w14:textId="3EA94571" w:rsidR="00A13BDB" w:rsidRPr="00831D68" w:rsidRDefault="00A13BDB" w:rsidP="0083093A">
      <w:pPr>
        <w:rPr>
          <w:sz w:val="24"/>
          <w:szCs w:val="24"/>
        </w:rPr>
      </w:pPr>
      <w:r>
        <w:rPr>
          <w:sz w:val="24"/>
          <w:szCs w:val="24"/>
        </w:rPr>
        <w:tab/>
      </w:r>
    </w:p>
    <w:p w14:paraId="59E2ED53" w14:textId="77777777" w:rsidR="0083093A" w:rsidRDefault="0083093A" w:rsidP="0083093A">
      <w:pPr>
        <w:rPr>
          <w:sz w:val="24"/>
          <w:szCs w:val="24"/>
        </w:rPr>
      </w:pPr>
    </w:p>
    <w:p w14:paraId="71B77F76" w14:textId="77777777" w:rsidR="0083093A" w:rsidRDefault="0083093A" w:rsidP="0083093A">
      <w:pPr>
        <w:rPr>
          <w:sz w:val="24"/>
          <w:szCs w:val="24"/>
        </w:rPr>
      </w:pPr>
    </w:p>
    <w:p w14:paraId="21ECD611" w14:textId="77777777" w:rsidR="0083093A" w:rsidRDefault="0083093A" w:rsidP="0083093A">
      <w:pPr>
        <w:rPr>
          <w:sz w:val="24"/>
          <w:szCs w:val="24"/>
        </w:rPr>
      </w:pPr>
    </w:p>
    <w:p w14:paraId="2CDC5C18" w14:textId="77777777" w:rsidR="00F65B75" w:rsidRDefault="00F65B75" w:rsidP="0083093A">
      <w:pPr>
        <w:rPr>
          <w:sz w:val="24"/>
          <w:szCs w:val="24"/>
        </w:rPr>
      </w:pPr>
    </w:p>
    <w:p w14:paraId="15DD1302" w14:textId="77777777" w:rsidR="0083093A" w:rsidRDefault="00D668F6" w:rsidP="0083093A">
      <w:pPr>
        <w:rPr>
          <w:sz w:val="24"/>
          <w:szCs w:val="24"/>
        </w:rPr>
      </w:pPr>
      <w:r>
        <w:rPr>
          <w:b/>
          <w:sz w:val="24"/>
          <w:szCs w:val="24"/>
        </w:rPr>
        <w:lastRenderedPageBreak/>
        <w:t>Data/</w:t>
      </w:r>
      <w:r w:rsidR="000671D8" w:rsidRPr="0083093A">
        <w:rPr>
          <w:b/>
          <w:sz w:val="24"/>
          <w:szCs w:val="24"/>
        </w:rPr>
        <w:t>Result</w:t>
      </w:r>
      <w:r w:rsidR="007F00F6" w:rsidRPr="0083093A">
        <w:rPr>
          <w:b/>
          <w:sz w:val="24"/>
          <w:szCs w:val="24"/>
        </w:rPr>
        <w:t>s</w:t>
      </w:r>
      <w:r w:rsidR="0083093A" w:rsidRPr="0083093A">
        <w:rPr>
          <w:b/>
          <w:sz w:val="24"/>
          <w:szCs w:val="24"/>
        </w:rPr>
        <w:t>:</w:t>
      </w:r>
      <w:r w:rsidR="0083093A">
        <w:rPr>
          <w:sz w:val="24"/>
          <w:szCs w:val="24"/>
        </w:rPr>
        <w:t xml:space="preserve"> (Include the following data from the lab)</w:t>
      </w:r>
    </w:p>
    <w:p w14:paraId="28FB2677" w14:textId="14CDCBA3" w:rsidR="00FE7554" w:rsidRDefault="00D111D2" w:rsidP="009A10E7">
      <w:pPr>
        <w:pStyle w:val="ListParagraph"/>
        <w:numPr>
          <w:ilvl w:val="0"/>
          <w:numId w:val="10"/>
        </w:numPr>
        <w:rPr>
          <w:sz w:val="24"/>
          <w:szCs w:val="24"/>
        </w:rPr>
      </w:pPr>
      <w:r>
        <w:rPr>
          <w:sz w:val="24"/>
          <w:szCs w:val="24"/>
        </w:rPr>
        <w:t>Theoretical yield:  See notes for calculations</w:t>
      </w:r>
    </w:p>
    <w:p w14:paraId="797C9DFA" w14:textId="6FA8B184" w:rsidR="00003214" w:rsidRDefault="00FE7554" w:rsidP="00003214">
      <w:pPr>
        <w:pStyle w:val="ListParagraph"/>
        <w:ind w:left="1440"/>
        <w:rPr>
          <w:sz w:val="24"/>
          <w:szCs w:val="24"/>
        </w:rPr>
      </w:pPr>
      <w:r>
        <w:rPr>
          <w:sz w:val="24"/>
          <w:szCs w:val="24"/>
        </w:rPr>
        <w:t>Start: 4-t-butylcyclohexanone= .382 g</w:t>
      </w:r>
      <w:r w:rsidR="00A00DC0">
        <w:rPr>
          <w:sz w:val="24"/>
          <w:szCs w:val="24"/>
        </w:rPr>
        <w:t>= 0.00248 mols</w:t>
      </w:r>
    </w:p>
    <w:p w14:paraId="5A9693FC" w14:textId="663135D3" w:rsidR="00D111D2" w:rsidRDefault="00D111D2" w:rsidP="00D111D2">
      <w:pPr>
        <w:pStyle w:val="ListParagraph"/>
        <w:ind w:left="1440"/>
        <w:rPr>
          <w:sz w:val="24"/>
          <w:szCs w:val="24"/>
        </w:rPr>
      </w:pPr>
      <w:r>
        <w:rPr>
          <w:sz w:val="24"/>
          <w:szCs w:val="24"/>
        </w:rPr>
        <w:t xml:space="preserve">           Excess Hydrogen from 3M HCl</w:t>
      </w:r>
    </w:p>
    <w:p w14:paraId="0F7F2199" w14:textId="1FEB9ECD" w:rsidR="00D111D2" w:rsidRPr="00D111D2" w:rsidRDefault="00D111D2" w:rsidP="00D111D2">
      <w:pPr>
        <w:pStyle w:val="ListParagraph"/>
        <w:ind w:left="1440"/>
        <w:rPr>
          <w:sz w:val="24"/>
          <w:szCs w:val="24"/>
        </w:rPr>
      </w:pPr>
      <w:r>
        <w:rPr>
          <w:sz w:val="24"/>
          <w:szCs w:val="24"/>
        </w:rPr>
        <w:t>Yield:</w:t>
      </w:r>
      <w:r w:rsidR="001C1D10">
        <w:rPr>
          <w:sz w:val="24"/>
          <w:szCs w:val="24"/>
        </w:rPr>
        <w:t xml:space="preserve"> </w:t>
      </w:r>
      <w:r w:rsidR="001C1D10" w:rsidRPr="001C1D10">
        <w:rPr>
          <w:bCs/>
          <w:sz w:val="24"/>
          <w:szCs w:val="24"/>
        </w:rPr>
        <w:t>4-t-butylcyclohexanol</w:t>
      </w:r>
      <w:r w:rsidR="001C1D10">
        <w:rPr>
          <w:bCs/>
          <w:sz w:val="24"/>
          <w:szCs w:val="24"/>
        </w:rPr>
        <w:t>=</w:t>
      </w:r>
      <w:r w:rsidR="001C1D10" w:rsidRPr="001C1D10">
        <w:rPr>
          <w:bCs/>
          <w:sz w:val="24"/>
          <w:szCs w:val="24"/>
        </w:rPr>
        <w:t xml:space="preserve"> </w:t>
      </w:r>
      <w:r w:rsidR="001C1D10">
        <w:rPr>
          <w:sz w:val="24"/>
          <w:szCs w:val="24"/>
        </w:rPr>
        <w:t>0.3875 grams</w:t>
      </w:r>
    </w:p>
    <w:p w14:paraId="4A04A47D" w14:textId="6DED545B" w:rsidR="001C1D10" w:rsidRDefault="001C1D10" w:rsidP="009A10E7">
      <w:pPr>
        <w:pStyle w:val="ListParagraph"/>
        <w:numPr>
          <w:ilvl w:val="0"/>
          <w:numId w:val="10"/>
        </w:numPr>
        <w:rPr>
          <w:sz w:val="24"/>
          <w:szCs w:val="24"/>
        </w:rPr>
      </w:pPr>
      <w:r>
        <w:rPr>
          <w:sz w:val="24"/>
          <w:szCs w:val="24"/>
        </w:rPr>
        <w:t xml:space="preserve">Actual yield: </w:t>
      </w:r>
    </w:p>
    <w:p w14:paraId="2C00882F" w14:textId="77777777" w:rsidR="001C1D10" w:rsidRDefault="001C1D10" w:rsidP="001C1D10">
      <w:pPr>
        <w:ind w:left="1440"/>
        <w:rPr>
          <w:bCs/>
          <w:sz w:val="24"/>
          <w:szCs w:val="24"/>
        </w:rPr>
      </w:pPr>
      <w:r>
        <w:rPr>
          <w:sz w:val="24"/>
          <w:szCs w:val="24"/>
        </w:rPr>
        <w:t xml:space="preserve">Yield: </w:t>
      </w:r>
      <w:r w:rsidRPr="001C1D10">
        <w:rPr>
          <w:bCs/>
          <w:sz w:val="24"/>
          <w:szCs w:val="24"/>
        </w:rPr>
        <w:t>4-t-butylcyclohexanol</w:t>
      </w:r>
      <w:r>
        <w:rPr>
          <w:bCs/>
          <w:sz w:val="24"/>
          <w:szCs w:val="24"/>
        </w:rPr>
        <w:t>=.255g</w:t>
      </w:r>
    </w:p>
    <w:p w14:paraId="66AA0511" w14:textId="4EBB95E7" w:rsidR="001C1D10" w:rsidRPr="001C1D10" w:rsidRDefault="001C1D10" w:rsidP="001C1D10">
      <w:pPr>
        <w:pStyle w:val="ListParagraph"/>
        <w:numPr>
          <w:ilvl w:val="0"/>
          <w:numId w:val="10"/>
        </w:numPr>
        <w:rPr>
          <w:bCs/>
          <w:sz w:val="24"/>
          <w:szCs w:val="24"/>
        </w:rPr>
      </w:pPr>
      <w:r w:rsidRPr="001C1D10">
        <w:rPr>
          <w:sz w:val="24"/>
          <w:szCs w:val="24"/>
        </w:rPr>
        <w:t>Percent Yield:</w:t>
      </w:r>
    </w:p>
    <w:p w14:paraId="23913F2F" w14:textId="34442818" w:rsidR="001C1D10" w:rsidRDefault="001C1D10" w:rsidP="001C1D10">
      <w:pPr>
        <w:ind w:left="360"/>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0.255g</m:t>
            </m:r>
          </m:num>
          <m:den>
            <m:r>
              <w:rPr>
                <w:rFonts w:ascii="Cambria Math" w:hAnsi="Cambria Math"/>
                <w:sz w:val="24"/>
                <w:szCs w:val="24"/>
              </w:rPr>
              <m:t>0.3875g</m:t>
            </m:r>
          </m:den>
        </m:f>
      </m:oMath>
      <w:r>
        <w:rPr>
          <w:sz w:val="24"/>
          <w:szCs w:val="24"/>
        </w:rPr>
        <w:t>= 65.81%</w:t>
      </w:r>
    </w:p>
    <w:p w14:paraId="1631B808" w14:textId="03A92320" w:rsidR="001C1D10" w:rsidRPr="001C1D10" w:rsidRDefault="001C1D10" w:rsidP="001C1D10">
      <w:pPr>
        <w:pStyle w:val="ListParagraph"/>
        <w:numPr>
          <w:ilvl w:val="0"/>
          <w:numId w:val="10"/>
        </w:numPr>
        <w:rPr>
          <w:sz w:val="24"/>
          <w:szCs w:val="24"/>
        </w:rPr>
      </w:pPr>
      <w:r w:rsidRPr="001C1D10">
        <w:rPr>
          <w:sz w:val="24"/>
          <w:szCs w:val="24"/>
        </w:rPr>
        <w:t>Percent Error:</w:t>
      </w:r>
    </w:p>
    <w:p w14:paraId="067C6E88" w14:textId="03234E3F" w:rsidR="001C1D10" w:rsidRDefault="001C1D10" w:rsidP="00976DC4">
      <w:pPr>
        <w:ind w:left="360"/>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0.255-0.3875g</m:t>
            </m:r>
          </m:num>
          <m:den>
            <m:r>
              <w:rPr>
                <w:rFonts w:ascii="Cambria Math" w:hAnsi="Cambria Math"/>
                <w:sz w:val="24"/>
                <w:szCs w:val="24"/>
              </w:rPr>
              <m:t>0.3875g</m:t>
            </m:r>
          </m:den>
        </m:f>
      </m:oMath>
      <w:r>
        <w:rPr>
          <w:sz w:val="24"/>
          <w:szCs w:val="24"/>
        </w:rPr>
        <w:t>= 34.19%</w:t>
      </w:r>
    </w:p>
    <w:p w14:paraId="0D5853B7" w14:textId="75E07C53" w:rsidR="001C1D10" w:rsidRDefault="001C1D10" w:rsidP="001C1D10">
      <w:pPr>
        <w:pStyle w:val="ListParagraph"/>
        <w:numPr>
          <w:ilvl w:val="0"/>
          <w:numId w:val="10"/>
        </w:numPr>
        <w:rPr>
          <w:sz w:val="24"/>
          <w:szCs w:val="24"/>
        </w:rPr>
      </w:pPr>
      <w:r>
        <w:rPr>
          <w:sz w:val="24"/>
          <w:szCs w:val="24"/>
        </w:rPr>
        <w:t xml:space="preserve">Melting Point: </w:t>
      </w:r>
    </w:p>
    <w:p w14:paraId="45CF5169" w14:textId="77777777" w:rsidR="00976DC4" w:rsidRDefault="001C1D10" w:rsidP="00D614BC">
      <w:pPr>
        <w:pStyle w:val="ListParagraph"/>
        <w:numPr>
          <w:ilvl w:val="1"/>
          <w:numId w:val="10"/>
        </w:numPr>
        <w:rPr>
          <w:sz w:val="24"/>
          <w:szCs w:val="24"/>
        </w:rPr>
      </w:pPr>
      <w:r w:rsidRPr="00976DC4">
        <w:rPr>
          <w:sz w:val="24"/>
          <w:szCs w:val="24"/>
        </w:rPr>
        <w:t>Theoretical:</w:t>
      </w:r>
      <w:r w:rsidR="00976DC4" w:rsidRPr="00976DC4">
        <w:rPr>
          <w:sz w:val="24"/>
          <w:szCs w:val="24"/>
        </w:rPr>
        <w:t xml:space="preserve"> 62-70 </w:t>
      </w:r>
      <w:proofErr w:type="spellStart"/>
      <w:r w:rsidR="00976DC4">
        <w:rPr>
          <w:sz w:val="24"/>
          <w:szCs w:val="24"/>
          <w:vertAlign w:val="superscript"/>
        </w:rPr>
        <w:t>o</w:t>
      </w:r>
      <w:r w:rsidR="00976DC4">
        <w:rPr>
          <w:sz w:val="24"/>
          <w:szCs w:val="24"/>
        </w:rPr>
        <w:t>C</w:t>
      </w:r>
      <w:proofErr w:type="spellEnd"/>
      <w:r w:rsidR="00976DC4" w:rsidRPr="00976DC4">
        <w:rPr>
          <w:sz w:val="24"/>
          <w:szCs w:val="24"/>
        </w:rPr>
        <w:t xml:space="preserve"> </w:t>
      </w:r>
    </w:p>
    <w:p w14:paraId="7F76D863" w14:textId="2CC85EDC" w:rsidR="001C1D10" w:rsidRPr="009772F6" w:rsidRDefault="001C1D10" w:rsidP="009772F6">
      <w:pPr>
        <w:pStyle w:val="ListParagraph"/>
        <w:numPr>
          <w:ilvl w:val="1"/>
          <w:numId w:val="10"/>
        </w:numPr>
        <w:rPr>
          <w:sz w:val="24"/>
          <w:szCs w:val="24"/>
        </w:rPr>
      </w:pPr>
      <w:r w:rsidRPr="00976DC4">
        <w:rPr>
          <w:sz w:val="24"/>
          <w:szCs w:val="24"/>
        </w:rPr>
        <w:t>Experimental: 68</w:t>
      </w:r>
      <w:r w:rsidRPr="00976DC4">
        <w:rPr>
          <w:sz w:val="24"/>
          <w:szCs w:val="24"/>
          <w:vertAlign w:val="superscript"/>
        </w:rPr>
        <w:t xml:space="preserve"> </w:t>
      </w:r>
      <w:proofErr w:type="spellStart"/>
      <w:r w:rsidRPr="00976DC4">
        <w:rPr>
          <w:sz w:val="24"/>
          <w:szCs w:val="24"/>
          <w:vertAlign w:val="superscript"/>
        </w:rPr>
        <w:t>o</w:t>
      </w:r>
      <w:r w:rsidRPr="00976DC4">
        <w:rPr>
          <w:sz w:val="24"/>
          <w:szCs w:val="24"/>
        </w:rPr>
        <w:t>C</w:t>
      </w:r>
      <w:proofErr w:type="spellEnd"/>
    </w:p>
    <w:p w14:paraId="6EA8FB98" w14:textId="2E1890C6" w:rsidR="001C1D10" w:rsidRPr="001C1D10" w:rsidRDefault="001C1D10" w:rsidP="001C1D10">
      <w:pPr>
        <w:ind w:left="360"/>
        <w:rPr>
          <w:sz w:val="24"/>
          <w:szCs w:val="24"/>
        </w:rPr>
      </w:pPr>
      <w:r>
        <w:rPr>
          <w:sz w:val="24"/>
          <w:szCs w:val="24"/>
        </w:rPr>
        <w:t>IR Spectrum Absorption Bands:</w:t>
      </w:r>
    </w:p>
    <w:p w14:paraId="292018DC" w14:textId="72B61C6E" w:rsidR="001C1D10" w:rsidRDefault="00547ABE" w:rsidP="001C1D10">
      <w:pPr>
        <w:rPr>
          <w:sz w:val="24"/>
          <w:szCs w:val="24"/>
          <w:vertAlign w:val="superscript"/>
        </w:rPr>
      </w:pPr>
      <w:r>
        <w:rPr>
          <w:sz w:val="24"/>
          <w:szCs w:val="24"/>
        </w:rPr>
        <w:tab/>
      </w:r>
      <w:r w:rsidR="009476E3">
        <w:rPr>
          <w:sz w:val="24"/>
          <w:szCs w:val="24"/>
        </w:rPr>
        <w:t>C</w:t>
      </w:r>
      <w:r w:rsidR="009476E3">
        <w:rPr>
          <w:sz w:val="24"/>
          <w:szCs w:val="24"/>
          <w:vertAlign w:val="subscript"/>
        </w:rPr>
        <w:t>(sp3)</w:t>
      </w:r>
      <w:r w:rsidR="009476E3">
        <w:rPr>
          <w:sz w:val="24"/>
          <w:szCs w:val="24"/>
        </w:rPr>
        <w:t>-H: 3000-2850 cm</w:t>
      </w:r>
      <w:r w:rsidR="009476E3">
        <w:rPr>
          <w:sz w:val="24"/>
          <w:szCs w:val="24"/>
          <w:vertAlign w:val="superscript"/>
        </w:rPr>
        <w:t>-1</w:t>
      </w:r>
    </w:p>
    <w:p w14:paraId="6BE0A227" w14:textId="683EF8A2" w:rsidR="0083093A" w:rsidRPr="009476E3" w:rsidRDefault="009476E3" w:rsidP="009476E3">
      <w:pPr>
        <w:rPr>
          <w:sz w:val="24"/>
          <w:szCs w:val="24"/>
          <w:vertAlign w:val="superscript"/>
        </w:rPr>
      </w:pPr>
      <w:r>
        <w:rPr>
          <w:sz w:val="24"/>
          <w:szCs w:val="24"/>
          <w:vertAlign w:val="superscript"/>
        </w:rPr>
        <w:tab/>
      </w:r>
      <w:r>
        <w:rPr>
          <w:sz w:val="24"/>
          <w:szCs w:val="24"/>
        </w:rPr>
        <w:t>OH: 3400-3200 cm</w:t>
      </w:r>
      <w:r>
        <w:rPr>
          <w:sz w:val="24"/>
          <w:szCs w:val="24"/>
          <w:vertAlign w:val="superscript"/>
        </w:rPr>
        <w:t>-1</w:t>
      </w:r>
    </w:p>
    <w:p w14:paraId="65BAB30C" w14:textId="77777777" w:rsidR="0083093A" w:rsidRPr="002D7A09" w:rsidRDefault="0083093A" w:rsidP="002D7A09">
      <w:pPr>
        <w:rPr>
          <w:sz w:val="24"/>
          <w:szCs w:val="24"/>
        </w:rPr>
      </w:pPr>
    </w:p>
    <w:p w14:paraId="616EB0AD" w14:textId="4E2998EB" w:rsidR="001B77DC" w:rsidRPr="00F65B75" w:rsidRDefault="00A37111" w:rsidP="00F65B75">
      <w:pPr>
        <w:jc w:val="both"/>
        <w:rPr>
          <w:sz w:val="24"/>
          <w:szCs w:val="24"/>
        </w:rPr>
      </w:pPr>
      <w:r w:rsidRPr="009A10E7">
        <w:rPr>
          <w:b/>
          <w:sz w:val="24"/>
          <w:szCs w:val="24"/>
        </w:rPr>
        <w:t>Discussion</w:t>
      </w:r>
      <w:r w:rsidR="009A10E7">
        <w:rPr>
          <w:b/>
          <w:sz w:val="24"/>
          <w:szCs w:val="24"/>
        </w:rPr>
        <w:t>:</w:t>
      </w:r>
      <w:r w:rsidRPr="009A10E7">
        <w:rPr>
          <w:sz w:val="24"/>
          <w:szCs w:val="24"/>
        </w:rPr>
        <w:t xml:space="preserve"> </w:t>
      </w:r>
      <w:r w:rsidR="00520E75">
        <w:rPr>
          <w:sz w:val="24"/>
          <w:szCs w:val="24"/>
        </w:rPr>
        <w:t xml:space="preserve"> </w:t>
      </w:r>
    </w:p>
    <w:p w14:paraId="6E7CCF1C" w14:textId="30DA2F91" w:rsidR="009A10E7" w:rsidRDefault="00C32AF6" w:rsidP="00C32AF6">
      <w:pPr>
        <w:ind w:firstLine="720"/>
        <w:rPr>
          <w:sz w:val="24"/>
          <w:szCs w:val="24"/>
        </w:rPr>
      </w:pPr>
      <w:r w:rsidRPr="00C32AF6">
        <w:rPr>
          <w:sz w:val="24"/>
          <w:szCs w:val="24"/>
        </w:rPr>
        <w:t>Based on the results that were achieved from the experiment, we may conclude that we were able to run</w:t>
      </w:r>
      <w:r w:rsidR="004913D3">
        <w:rPr>
          <w:sz w:val="24"/>
          <w:szCs w:val="24"/>
        </w:rPr>
        <w:t xml:space="preserve"> a successful experiment.  </w:t>
      </w:r>
      <w:r w:rsidR="009476E3">
        <w:rPr>
          <w:sz w:val="24"/>
          <w:szCs w:val="24"/>
        </w:rPr>
        <w:t>We were able to suc</w:t>
      </w:r>
      <w:r w:rsidR="002D7A09">
        <w:rPr>
          <w:sz w:val="24"/>
          <w:szCs w:val="24"/>
        </w:rPr>
        <w:t>cessfully recover 65.81% of the compound after reducing it with NaBH</w:t>
      </w:r>
      <w:r w:rsidR="002D7A09">
        <w:rPr>
          <w:sz w:val="24"/>
          <w:szCs w:val="24"/>
          <w:vertAlign w:val="subscript"/>
        </w:rPr>
        <w:t>4.</w:t>
      </w:r>
      <w:r w:rsidR="00EC230E">
        <w:rPr>
          <w:sz w:val="24"/>
          <w:szCs w:val="24"/>
        </w:rPr>
        <w:t xml:space="preserve">  This yield could have been improved and will be discussed in further detail.  Additionally, upon undergoing tests for melting point, w</w:t>
      </w:r>
      <w:r w:rsidR="00EE1B3B">
        <w:rPr>
          <w:sz w:val="24"/>
          <w:szCs w:val="24"/>
        </w:rPr>
        <w:t xml:space="preserve">e were able to see that we received </w:t>
      </w:r>
      <w:r w:rsidR="00DD1932">
        <w:rPr>
          <w:sz w:val="24"/>
          <w:szCs w:val="24"/>
        </w:rPr>
        <w:t>an experimental value that was in line with the theoretical value.  We received a value of 68</w:t>
      </w:r>
      <w:r w:rsidR="00DD1932" w:rsidRPr="00DD1932">
        <w:rPr>
          <w:sz w:val="24"/>
          <w:szCs w:val="24"/>
          <w:vertAlign w:val="superscript"/>
        </w:rPr>
        <w:t xml:space="preserve"> </w:t>
      </w:r>
      <w:proofErr w:type="spellStart"/>
      <w:r w:rsidR="00DD1932">
        <w:rPr>
          <w:sz w:val="24"/>
          <w:szCs w:val="24"/>
          <w:vertAlign w:val="superscript"/>
        </w:rPr>
        <w:t>o</w:t>
      </w:r>
      <w:r w:rsidR="00DD1932">
        <w:rPr>
          <w:sz w:val="24"/>
          <w:szCs w:val="24"/>
        </w:rPr>
        <w:t>C</w:t>
      </w:r>
      <w:proofErr w:type="spellEnd"/>
      <w:r w:rsidR="00DD1932">
        <w:rPr>
          <w:sz w:val="24"/>
          <w:szCs w:val="24"/>
        </w:rPr>
        <w:t xml:space="preserve"> while the expected value was between </w:t>
      </w:r>
      <w:r w:rsidR="00DD1932" w:rsidRPr="00976DC4">
        <w:rPr>
          <w:sz w:val="24"/>
          <w:szCs w:val="24"/>
        </w:rPr>
        <w:t xml:space="preserve">62-70 </w:t>
      </w:r>
      <w:proofErr w:type="spellStart"/>
      <w:r w:rsidR="00DD1932">
        <w:rPr>
          <w:sz w:val="24"/>
          <w:szCs w:val="24"/>
          <w:vertAlign w:val="superscript"/>
        </w:rPr>
        <w:t>o</w:t>
      </w:r>
      <w:r w:rsidR="00DD1932">
        <w:rPr>
          <w:sz w:val="24"/>
          <w:szCs w:val="24"/>
        </w:rPr>
        <w:t>C.</w:t>
      </w:r>
      <w:proofErr w:type="spellEnd"/>
      <w:r w:rsidR="00DD1932">
        <w:rPr>
          <w:sz w:val="24"/>
          <w:szCs w:val="24"/>
        </w:rPr>
        <w:t xml:space="preserve">  </w:t>
      </w:r>
      <w:r w:rsidR="00200D26">
        <w:rPr>
          <w:sz w:val="24"/>
          <w:szCs w:val="24"/>
        </w:rPr>
        <w:t xml:space="preserve">Additionally, the </w:t>
      </w:r>
      <w:r w:rsidR="00341B5D">
        <w:rPr>
          <w:sz w:val="24"/>
          <w:szCs w:val="24"/>
        </w:rPr>
        <w:t>IR spectrum that we were able to achieve was able to confirm the desired structures that were created through this reduction reaction.  This is prevalent through the broad peak that was present due to the hydroxyl group from 3400-3200 as well as the C</w:t>
      </w:r>
      <w:r w:rsidR="00341B5D">
        <w:rPr>
          <w:sz w:val="24"/>
          <w:szCs w:val="24"/>
          <w:vertAlign w:val="subscript"/>
        </w:rPr>
        <w:t>(sp3)</w:t>
      </w:r>
      <w:r w:rsidR="00341B5D">
        <w:rPr>
          <w:sz w:val="24"/>
          <w:szCs w:val="24"/>
        </w:rPr>
        <w:t>-H bonding which created an absorption band from 3000-2850 cm</w:t>
      </w:r>
      <w:r w:rsidR="00341B5D">
        <w:rPr>
          <w:sz w:val="24"/>
          <w:szCs w:val="24"/>
          <w:vertAlign w:val="superscript"/>
        </w:rPr>
        <w:t>-1</w:t>
      </w:r>
      <w:r w:rsidR="00341B5D">
        <w:rPr>
          <w:sz w:val="24"/>
          <w:szCs w:val="24"/>
        </w:rPr>
        <w:t xml:space="preserve">.  </w:t>
      </w:r>
      <w:r w:rsidR="0060009C">
        <w:rPr>
          <w:sz w:val="24"/>
          <w:szCs w:val="24"/>
        </w:rPr>
        <w:t>Unfortunately,</w:t>
      </w:r>
      <w:r w:rsidR="00341B5D">
        <w:rPr>
          <w:sz w:val="24"/>
          <w:szCs w:val="24"/>
        </w:rPr>
        <w:t xml:space="preserve"> we were unable to perform the NMR reading but we were able to determine what the appropriate chemical shifts would have been given the compound.</w:t>
      </w:r>
    </w:p>
    <w:p w14:paraId="3D5F9B74" w14:textId="77777777" w:rsidR="000974C9" w:rsidRPr="00341B5D" w:rsidRDefault="000974C9" w:rsidP="00C32AF6">
      <w:pPr>
        <w:ind w:firstLine="720"/>
        <w:rPr>
          <w:sz w:val="24"/>
          <w:szCs w:val="24"/>
        </w:rPr>
      </w:pPr>
    </w:p>
    <w:p w14:paraId="3C336AF7" w14:textId="5985D98D" w:rsidR="00D73E10" w:rsidRDefault="00D73E10" w:rsidP="00C32AF6">
      <w:pPr>
        <w:ind w:firstLine="720"/>
        <w:rPr>
          <w:sz w:val="24"/>
          <w:szCs w:val="24"/>
        </w:rPr>
      </w:pPr>
      <w:r>
        <w:rPr>
          <w:sz w:val="24"/>
          <w:szCs w:val="24"/>
        </w:rPr>
        <w:lastRenderedPageBreak/>
        <w:t xml:space="preserve">During the lab there were some possible sources of error that may have occurred.  For one, </w:t>
      </w:r>
      <w:r w:rsidR="00010AAA">
        <w:rPr>
          <w:sz w:val="24"/>
          <w:szCs w:val="24"/>
        </w:rPr>
        <w:t>the frequent transfer of the compound may have resulted in loss of the final yield.  Th</w:t>
      </w:r>
      <w:r w:rsidR="007E0CE9">
        <w:rPr>
          <w:sz w:val="24"/>
          <w:szCs w:val="24"/>
        </w:rPr>
        <w:t xml:space="preserve">e frequent transfer </w:t>
      </w:r>
      <w:r w:rsidR="001B7385">
        <w:rPr>
          <w:sz w:val="24"/>
          <w:szCs w:val="24"/>
        </w:rPr>
        <w:t xml:space="preserve">does not allow for the complete transfer of 100% of the given compound.  Additionally, upon evaporating the solvent the instructor placed the temperature on too high in an effort to evaporate the solvent faster but it caused some of the compound to solidify around the opening </w:t>
      </w:r>
      <w:r w:rsidR="00FE7554">
        <w:rPr>
          <w:sz w:val="24"/>
          <w:szCs w:val="24"/>
        </w:rPr>
        <w:t xml:space="preserve">of the beaker and may have also </w:t>
      </w:r>
      <w:r w:rsidR="001B7385">
        <w:rPr>
          <w:sz w:val="24"/>
          <w:szCs w:val="24"/>
        </w:rPr>
        <w:t xml:space="preserve">resulted in the loss of some product.  </w:t>
      </w:r>
    </w:p>
    <w:p w14:paraId="3262CD92" w14:textId="41C1B704" w:rsidR="004913D3" w:rsidRPr="00C32AF6" w:rsidRDefault="004913D3" w:rsidP="00C32AF6">
      <w:pPr>
        <w:ind w:firstLine="720"/>
        <w:rPr>
          <w:sz w:val="24"/>
          <w:szCs w:val="24"/>
        </w:rPr>
      </w:pPr>
      <w:r>
        <w:rPr>
          <w:sz w:val="24"/>
          <w:szCs w:val="24"/>
        </w:rPr>
        <w:t>Unfortunately, we were unable to determine our results with the NMR.  This was primarily due to the fact that the 400 MHz NMR machine was too powerful for our samples.  This resulted in unreliable results to determine our samples.</w:t>
      </w:r>
      <w:r w:rsidR="00FE7554">
        <w:rPr>
          <w:sz w:val="24"/>
          <w:szCs w:val="24"/>
        </w:rPr>
        <w:t xml:space="preserve">  To improve the experiment, I would suggest performing the NMR on the appropriate machine.  </w:t>
      </w:r>
      <w:r w:rsidR="00341B5D">
        <w:rPr>
          <w:sz w:val="24"/>
          <w:szCs w:val="24"/>
        </w:rPr>
        <w:t>Additionally, this experiment would further show the effects of reducing agents if we were able to use other agents such as LiAlH</w:t>
      </w:r>
      <w:r w:rsidR="00341B5D">
        <w:rPr>
          <w:sz w:val="24"/>
          <w:szCs w:val="24"/>
          <w:vertAlign w:val="subscript"/>
        </w:rPr>
        <w:t xml:space="preserve">4. </w:t>
      </w:r>
      <w:r w:rsidR="00341B5D">
        <w:rPr>
          <w:sz w:val="24"/>
          <w:szCs w:val="24"/>
        </w:rPr>
        <w:t xml:space="preserve">  </w:t>
      </w:r>
    </w:p>
    <w:p w14:paraId="45226573" w14:textId="77777777" w:rsidR="009A10E7" w:rsidRDefault="009A10E7" w:rsidP="00797575">
      <w:pPr>
        <w:pStyle w:val="ListParagraph"/>
        <w:ind w:left="1080"/>
        <w:rPr>
          <w:sz w:val="24"/>
          <w:szCs w:val="24"/>
        </w:rPr>
      </w:pPr>
    </w:p>
    <w:p w14:paraId="2E439EEE" w14:textId="77777777" w:rsidR="009A10E7" w:rsidRPr="00AB1F7D" w:rsidRDefault="009A10E7" w:rsidP="00AB1F7D">
      <w:pPr>
        <w:rPr>
          <w:sz w:val="24"/>
          <w:szCs w:val="24"/>
        </w:rPr>
      </w:pPr>
    </w:p>
    <w:sectPr w:rsidR="009A10E7" w:rsidRPr="00AB1F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3C0C" w14:textId="77777777" w:rsidR="00B6288E" w:rsidRDefault="00B6288E" w:rsidP="00263ABA">
      <w:pPr>
        <w:spacing w:after="0" w:line="240" w:lineRule="auto"/>
      </w:pPr>
      <w:r>
        <w:separator/>
      </w:r>
    </w:p>
  </w:endnote>
  <w:endnote w:type="continuationSeparator" w:id="0">
    <w:p w14:paraId="699A3008" w14:textId="77777777" w:rsidR="00B6288E" w:rsidRDefault="00B6288E" w:rsidP="0026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9932" w14:textId="77777777" w:rsidR="00B6288E" w:rsidRDefault="00B6288E" w:rsidP="00263ABA">
      <w:pPr>
        <w:spacing w:after="0" w:line="240" w:lineRule="auto"/>
      </w:pPr>
      <w:r>
        <w:separator/>
      </w:r>
    </w:p>
  </w:footnote>
  <w:footnote w:type="continuationSeparator" w:id="0">
    <w:p w14:paraId="289A151E" w14:textId="77777777" w:rsidR="00B6288E" w:rsidRDefault="00B6288E" w:rsidP="0026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F5C1" w14:textId="5455D5BF" w:rsidR="00263ABA" w:rsidRDefault="00263ABA" w:rsidP="000974C9">
    <w:pPr>
      <w:pStyle w:val="Header"/>
      <w:jc w:val="right"/>
    </w:pPr>
    <w:r>
      <w:t>UNLV</w:t>
    </w:r>
    <w:r w:rsidR="000974C9">
      <w:t xml:space="preserve"> Undergraduate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63A"/>
    <w:multiLevelType w:val="hybridMultilevel"/>
    <w:tmpl w:val="805CC7D0"/>
    <w:lvl w:ilvl="0" w:tplc="6A5222E8">
      <w:start w:val="9"/>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33443"/>
    <w:multiLevelType w:val="hybridMultilevel"/>
    <w:tmpl w:val="F9AE0E38"/>
    <w:lvl w:ilvl="0" w:tplc="66346B6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15227"/>
    <w:multiLevelType w:val="hybridMultilevel"/>
    <w:tmpl w:val="A718C8F8"/>
    <w:lvl w:ilvl="0" w:tplc="7132F8C0">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A3C2A"/>
    <w:multiLevelType w:val="hybridMultilevel"/>
    <w:tmpl w:val="7A56983C"/>
    <w:lvl w:ilvl="0" w:tplc="664A8B6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F5D16"/>
    <w:multiLevelType w:val="hybridMultilevel"/>
    <w:tmpl w:val="F58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F1116"/>
    <w:multiLevelType w:val="hybridMultilevel"/>
    <w:tmpl w:val="2D7A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0478C"/>
    <w:multiLevelType w:val="hybridMultilevel"/>
    <w:tmpl w:val="63C26696"/>
    <w:lvl w:ilvl="0" w:tplc="4AE8FC58">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E385C"/>
    <w:multiLevelType w:val="hybridMultilevel"/>
    <w:tmpl w:val="034E2DEA"/>
    <w:lvl w:ilvl="0" w:tplc="9C281C6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BE5D28"/>
    <w:multiLevelType w:val="hybridMultilevel"/>
    <w:tmpl w:val="6EB69760"/>
    <w:lvl w:ilvl="0" w:tplc="958CA696">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0E67CF"/>
    <w:multiLevelType w:val="hybridMultilevel"/>
    <w:tmpl w:val="F42E40EE"/>
    <w:lvl w:ilvl="0" w:tplc="45C88D6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0338281">
    <w:abstractNumId w:val="5"/>
  </w:num>
  <w:num w:numId="2" w16cid:durableId="1421835441">
    <w:abstractNumId w:val="3"/>
  </w:num>
  <w:num w:numId="3" w16cid:durableId="198706046">
    <w:abstractNumId w:val="2"/>
  </w:num>
  <w:num w:numId="4" w16cid:durableId="6567348">
    <w:abstractNumId w:val="9"/>
  </w:num>
  <w:num w:numId="5" w16cid:durableId="970548977">
    <w:abstractNumId w:val="7"/>
  </w:num>
  <w:num w:numId="6" w16cid:durableId="18940693">
    <w:abstractNumId w:val="8"/>
  </w:num>
  <w:num w:numId="7" w16cid:durableId="402340578">
    <w:abstractNumId w:val="4"/>
  </w:num>
  <w:num w:numId="8" w16cid:durableId="1224366631">
    <w:abstractNumId w:val="1"/>
  </w:num>
  <w:num w:numId="9" w16cid:durableId="1710179830">
    <w:abstractNumId w:val="0"/>
  </w:num>
  <w:num w:numId="10" w16cid:durableId="1683164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1D8"/>
    <w:rsid w:val="00003214"/>
    <w:rsid w:val="00010AAA"/>
    <w:rsid w:val="000671D8"/>
    <w:rsid w:val="000744B1"/>
    <w:rsid w:val="000949C3"/>
    <w:rsid w:val="000974C9"/>
    <w:rsid w:val="001B7385"/>
    <w:rsid w:val="001B77DC"/>
    <w:rsid w:val="001C1D10"/>
    <w:rsid w:val="00200D26"/>
    <w:rsid w:val="002558E8"/>
    <w:rsid w:val="00263ABA"/>
    <w:rsid w:val="002912C9"/>
    <w:rsid w:val="002D0F64"/>
    <w:rsid w:val="002D7A09"/>
    <w:rsid w:val="0031011E"/>
    <w:rsid w:val="0031761E"/>
    <w:rsid w:val="00332D45"/>
    <w:rsid w:val="00341B5D"/>
    <w:rsid w:val="003506BE"/>
    <w:rsid w:val="00360DC9"/>
    <w:rsid w:val="003F2656"/>
    <w:rsid w:val="004913D3"/>
    <w:rsid w:val="00515AF4"/>
    <w:rsid w:val="00520E75"/>
    <w:rsid w:val="0054510C"/>
    <w:rsid w:val="00547ABE"/>
    <w:rsid w:val="005721C5"/>
    <w:rsid w:val="005F7576"/>
    <w:rsid w:val="0060009C"/>
    <w:rsid w:val="006340EB"/>
    <w:rsid w:val="00637EB3"/>
    <w:rsid w:val="006B71EA"/>
    <w:rsid w:val="006C0DF8"/>
    <w:rsid w:val="00774AA3"/>
    <w:rsid w:val="00776F48"/>
    <w:rsid w:val="00781DA6"/>
    <w:rsid w:val="0079658C"/>
    <w:rsid w:val="00797575"/>
    <w:rsid w:val="007E0CE9"/>
    <w:rsid w:val="007F00F6"/>
    <w:rsid w:val="0082191E"/>
    <w:rsid w:val="0083093A"/>
    <w:rsid w:val="00831D68"/>
    <w:rsid w:val="0083592B"/>
    <w:rsid w:val="008618FD"/>
    <w:rsid w:val="009476E3"/>
    <w:rsid w:val="00976DC4"/>
    <w:rsid w:val="009772F6"/>
    <w:rsid w:val="009945B6"/>
    <w:rsid w:val="009A10E7"/>
    <w:rsid w:val="009B436B"/>
    <w:rsid w:val="00A00DC0"/>
    <w:rsid w:val="00A13BDB"/>
    <w:rsid w:val="00A37111"/>
    <w:rsid w:val="00A75DC3"/>
    <w:rsid w:val="00AB1F7D"/>
    <w:rsid w:val="00AC66E9"/>
    <w:rsid w:val="00B11DEF"/>
    <w:rsid w:val="00B6288E"/>
    <w:rsid w:val="00B705DB"/>
    <w:rsid w:val="00B712B8"/>
    <w:rsid w:val="00B97FAE"/>
    <w:rsid w:val="00C32AF6"/>
    <w:rsid w:val="00C70963"/>
    <w:rsid w:val="00C72855"/>
    <w:rsid w:val="00CD6296"/>
    <w:rsid w:val="00D03A80"/>
    <w:rsid w:val="00D111D2"/>
    <w:rsid w:val="00D22D8F"/>
    <w:rsid w:val="00D668F6"/>
    <w:rsid w:val="00D73E10"/>
    <w:rsid w:val="00DD1932"/>
    <w:rsid w:val="00E47037"/>
    <w:rsid w:val="00E526A6"/>
    <w:rsid w:val="00E91005"/>
    <w:rsid w:val="00EC230E"/>
    <w:rsid w:val="00EE1B3B"/>
    <w:rsid w:val="00F26545"/>
    <w:rsid w:val="00F318A3"/>
    <w:rsid w:val="00F65B75"/>
    <w:rsid w:val="00F811CD"/>
    <w:rsid w:val="00FA517F"/>
    <w:rsid w:val="00FE7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5E04"/>
  <w15:chartTrackingRefBased/>
  <w15:docId w15:val="{4570CD73-3CC2-4045-8610-1E6CD4E7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D8"/>
    <w:pPr>
      <w:ind w:left="720"/>
      <w:contextualSpacing/>
    </w:pPr>
  </w:style>
  <w:style w:type="table" w:styleId="TableGrid">
    <w:name w:val="Table Grid"/>
    <w:basedOn w:val="TableNormal"/>
    <w:uiPriority w:val="59"/>
    <w:rsid w:val="000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575"/>
    <w:rPr>
      <w:rFonts w:ascii="Segoe UI" w:hAnsi="Segoe UI" w:cs="Segoe UI"/>
      <w:sz w:val="18"/>
      <w:szCs w:val="18"/>
    </w:rPr>
  </w:style>
  <w:style w:type="paragraph" w:styleId="Header">
    <w:name w:val="header"/>
    <w:basedOn w:val="Normal"/>
    <w:link w:val="HeaderChar"/>
    <w:uiPriority w:val="99"/>
    <w:unhideWhenUsed/>
    <w:rsid w:val="0026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BA"/>
  </w:style>
  <w:style w:type="paragraph" w:styleId="Footer">
    <w:name w:val="footer"/>
    <w:basedOn w:val="Normal"/>
    <w:link w:val="FooterChar"/>
    <w:uiPriority w:val="99"/>
    <w:unhideWhenUsed/>
    <w:rsid w:val="0026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koh</dc:creator>
  <cp:keywords/>
  <dc:description/>
  <cp:lastModifiedBy>Michael Torres</cp:lastModifiedBy>
  <cp:revision>2</cp:revision>
  <cp:lastPrinted>2018-02-13T16:42:00Z</cp:lastPrinted>
  <dcterms:created xsi:type="dcterms:W3CDTF">2022-12-20T01:17:00Z</dcterms:created>
  <dcterms:modified xsi:type="dcterms:W3CDTF">2022-12-20T01:17:00Z</dcterms:modified>
</cp:coreProperties>
</file>