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280" w:after="80"/>
      </w:pPr>
      <w:r>
        <w:rPr>
          <w:b/>
          <w:sz w:val="32"/>
          <w:rFonts w:ascii="Calibri" w:hAnsi="Calibri"/>
        </w:rPr>
        <w:t xml:space="preserve">Konzeptdokument: KI-gestützte Lieferantenrechnungsverarbeitung in SAP S/4HANA</w:t>
      </w:r>
    </w:p>
    <w:p>
      <w:pPr>
        <w:spacing w:before="0" w:after="120"/>
      </w:pPr>
      <w:r>
        <w:rPr>
          <w:b/>
          <w:sz w:val="22"/>
          <w:rFonts w:ascii="Calibri" w:hAnsi="Calibri"/>
        </w:rPr>
        <w:t xml:space="preserve">Stand: 20. Oktober 2026 | Autor: Michael Achleitner | Status: Phase 1 – Spec zur Überprüfung</w:t>
      </w:r>
    </w:p>
    <w:p>
      <w:pPr>
        <w:spacing w:before="0" w:after="120"/>
      </w:pPr>
      <w:r>
        <w:rPr>
          <w:sz w:val="22"/>
          <w:rFonts w:ascii="Calibri" w:hAnsi="Calibri"/>
        </w:rPr>
        <w:t xml:space="preserve">Zielgruppe: Architekt + Entwicklung (Grok Build). Fokus auf einfachen PoC mit Grok.</w:t>
      </w:r>
    </w:p>
    <w:p>
      <w:pPr>
        <w:spacing w:before="280" w:after="80"/>
      </w:pPr>
      <w:r>
        <w:rPr>
          <w:b/>
          <w:sz w:val="32"/>
          <w:rFonts w:ascii="Calibri" w:hAnsi="Calibri"/>
        </w:rPr>
        <w:t xml:space="preserve">1. Ziel von Phase 1</w:t>
      </w:r>
    </w:p>
    <w:p>
      <w:pPr>
        <w:spacing w:before="0" w:after="120"/>
      </w:pPr>
      <w:r>
        <w:rPr>
          <w:sz w:val="22"/>
          <w:rFonts w:ascii="Calibri" w:hAnsi="Calibri"/>
        </w:rPr>
        <w:t xml:space="preserve">Ein Mitarbeiter lädt eine Eingangsrechnung (PDF oder Scan) hoch. Das System extrahiert die Daten, schlägt eine Zuordnung vor (mit Begründung und Konfidenzscore), ermittelt einen Ansprechpartner aus SAP und erlaubt Korrekturen im Chat. Korrekturen werden gespeichert und für zukünftige Fälle berücksichtigt.</w:t>
      </w:r>
    </w:p>
    <w:p>
      <w:pPr>
        <w:spacing w:before="0" w:after="120"/>
      </w:pPr>
      <w:r>
        <w:rPr>
          <w:sz w:val="22"/>
          <w:rFonts w:ascii="Calibri" w:hAnsi="Calibri"/>
        </w:rPr>
        <w:t xml:space="preserve">In Phase 1 wird nichts in SAP gebucht oder geändert. Ziel ist Transparenz und Vertrauensaufbau.</w:t>
      </w:r>
    </w:p>
    <w:p>
      <w:pPr>
        <w:spacing w:before="280" w:after="80"/>
      </w:pPr>
      <w:r>
        <w:rPr>
          <w:b/>
          <w:sz w:val="32"/>
          <w:rFonts w:ascii="Calibri" w:hAnsi="Calibri"/>
        </w:rPr>
        <w:t xml:space="preserve">2. Architektur – Primärvariante (Variante 3)</w:t>
      </w:r>
    </w:p>
    <w:p>
      <w:pPr>
        <w:spacing w:before="0" w:after="120"/>
      </w:pPr>
      <w:r>
        <w:rPr>
          <w:sz w:val="22"/>
          <w:rFonts w:ascii="Calibri" w:hAnsi="Calibri"/>
        </w:rPr>
        <w:t xml:space="preserve">Die Streamlit-App ist die Steuerzentrale. Sie spricht mit SAP (OData, read-only) und mit der Grok-API. Grok hat keinen direkten SAP-Zugriff.</w:t>
      </w:r>
    </w:p>
    <w:p>
      <w:pPr>
        <w:spacing w:before="280" w:after="80"/>
      </w:pPr>
      <w:r>
        <w:rPr>
          <w:b/>
          <w:sz w:val="26"/>
          <w:rFonts w:ascii="Calibri" w:hAnsi="Calibri"/>
        </w:rPr>
        <w:t xml:space="preserve">2.1 Komponenten</w:t>
      </w:r>
    </w:p>
    <w:p>
      <w:pPr>
        <w:numPr>
          <w:ilvl w:val="0"/>
          <w:numId w:val="1"/>
        </w:numPr>
        <w:ind w:left="360" w:hanging="280"/>
        <w:spacing w:after="40"/>
      </w:pPr>
      <w:r>
        <w:rPr>
          <w:sz w:val="22"/>
          <w:rFonts w:ascii="Calibri" w:hAnsi="Calibri"/>
        </w:rPr>
        <w:t xml:space="preserve">Webpage: Streamlit Cloud (Free Tier)</w:t>
      </w:r>
    </w:p>
    <w:p>
      <w:pPr>
        <w:numPr>
          <w:ilvl w:val="0"/>
          <w:numId w:val="1"/>
        </w:numPr>
        <w:ind w:left="360" w:hanging="280"/>
        <w:spacing w:after="40"/>
      </w:pPr>
      <w:r>
        <w:rPr>
          <w:sz w:val="22"/>
          <w:rFonts w:ascii="Calibri" w:hAnsi="Calibri"/>
        </w:rPr>
        <w:t xml:space="preserve">Intelligenz: Grok-API (System-Prompt enthält die Matching-Regeln)</w:t>
      </w:r>
    </w:p>
    <w:p>
      <w:pPr>
        <w:numPr>
          <w:ilvl w:val="0"/>
          <w:numId w:val="1"/>
        </w:numPr>
        <w:ind w:left="360" w:hanging="280"/>
        <w:spacing w:after="40"/>
      </w:pPr>
      <w:r>
        <w:rPr>
          <w:sz w:val="22"/>
          <w:rFonts w:ascii="Calibri" w:hAnsi="Calibri"/>
        </w:rPr>
        <w:t xml:space="preserve">OCR: Zuerst über Grok; bei Bedarf Azure Document Intelligence (Free Tier)</w:t>
      </w:r>
    </w:p>
    <w:p>
      <w:pPr>
        <w:numPr>
          <w:ilvl w:val="0"/>
          <w:numId w:val="1"/>
        </w:numPr>
        <w:ind w:left="360" w:hanging="280"/>
        <w:spacing w:after="40"/>
      </w:pPr>
      <w:r>
        <w:rPr>
          <w:sz w:val="22"/>
          <w:rFonts w:ascii="Calibri" w:hAnsi="Calibri"/>
        </w:rPr>
        <w:t xml:space="preserve">SAP: Bestehende OData-Services (read-only)</w:t>
      </w:r>
    </w:p>
    <w:p>
      <w:pPr>
        <w:numPr>
          <w:ilvl w:val="0"/>
          <w:numId w:val="1"/>
        </w:numPr>
        <w:ind w:left="360" w:hanging="280"/>
        <w:spacing w:after="40"/>
      </w:pPr>
      <w:r>
        <w:rPr>
          <w:sz w:val="22"/>
          <w:rFonts w:ascii="Calibri" w:hAnsi="Calibri"/>
        </w:rPr>
        <w:t xml:space="preserve">Speicher: SQLite oder JSON für Korrekturen</w:t>
      </w:r>
    </w:p>
    <w:p>
      <w:pPr>
        <w:spacing w:before="280" w:after="80"/>
      </w:pPr>
      <w:r>
        <w:rPr>
          <w:b/>
          <w:sz w:val="26"/>
          <w:rFonts w:ascii="Calibri" w:hAnsi="Calibri"/>
        </w:rPr>
        <w:t xml:space="preserve">2.2 Ablauf</w:t>
      </w:r>
    </w:p>
    <w:p>
      <w:pPr>
        <w:numPr>
          <w:ilvl w:val="0"/>
          <w:numId w:val="1"/>
        </w:numPr>
        <w:ind w:left="360" w:hanging="280"/>
        <w:spacing w:after="40"/>
      </w:pPr>
      <w:r>
        <w:rPr>
          <w:sz w:val="22"/>
          <w:rFonts w:ascii="Calibri" w:hAnsi="Calibri"/>
        </w:rPr>
        <w:t xml:space="preserve">Upload der Rechnung in Streamlit</w:t>
      </w:r>
    </w:p>
    <w:p>
      <w:pPr>
        <w:numPr>
          <w:ilvl w:val="0"/>
          <w:numId w:val="1"/>
        </w:numPr>
        <w:ind w:left="360" w:hanging="280"/>
        <w:spacing w:after="40"/>
      </w:pPr>
      <w:r>
        <w:rPr>
          <w:sz w:val="22"/>
          <w:rFonts w:ascii="Calibri" w:hAnsi="Calibri"/>
        </w:rPr>
        <w:t xml:space="preserve">Textextraktion</w:t>
      </w:r>
    </w:p>
    <w:p>
      <w:pPr>
        <w:numPr>
          <w:ilvl w:val="0"/>
          <w:numId w:val="1"/>
        </w:numPr>
        <w:ind w:left="360" w:hanging="280"/>
        <w:spacing w:after="40"/>
      </w:pPr>
      <w:r>
        <w:rPr>
          <w:sz w:val="22"/>
          <w:rFonts w:ascii="Calibri" w:hAnsi="Calibri"/>
        </w:rPr>
        <w:t xml:space="preserve">App holt benötigte SAP-Daten per OData (Bestellung → Kostenträger → Verantwortlicher → Personalstamm)</w:t>
      </w:r>
    </w:p>
    <w:p>
      <w:pPr>
        <w:numPr>
          <w:ilvl w:val="0"/>
          <w:numId w:val="1"/>
        </w:numPr>
        <w:ind w:left="360" w:hanging="280"/>
        <w:spacing w:after="40"/>
      </w:pPr>
      <w:r>
        <w:rPr>
          <w:sz w:val="22"/>
          <w:rFonts w:ascii="Calibri" w:hAnsi="Calibri"/>
        </w:rPr>
        <w:t xml:space="preserve">App sendet Rechnungstext + SAP-Daten an die Grok-API</w:t>
      </w:r>
    </w:p>
    <w:p>
      <w:pPr>
        <w:numPr>
          <w:ilvl w:val="0"/>
          <w:numId w:val="1"/>
        </w:numPr>
        <w:ind w:left="360" w:hanging="280"/>
        <w:spacing w:after="40"/>
      </w:pPr>
      <w:r>
        <w:rPr>
          <w:sz w:val="22"/>
          <w:rFonts w:ascii="Calibri" w:hAnsi="Calibri"/>
        </w:rPr>
        <w:t xml:space="preserve">Grok liefert Vorschlag, Konfidenzscore und Begründung</w:t>
      </w:r>
    </w:p>
    <w:p>
      <w:pPr>
        <w:numPr>
          <w:ilvl w:val="0"/>
          <w:numId w:val="1"/>
        </w:numPr>
        <w:ind w:left="360" w:hanging="280"/>
        <w:spacing w:after="40"/>
      </w:pPr>
      <w:r>
        <w:rPr>
          <w:sz w:val="22"/>
          <w:rFonts w:ascii="Calibri" w:hAnsi="Calibri"/>
        </w:rPr>
        <w:t xml:space="preserve">Anzeige auf der Webpage</w:t>
      </w:r>
    </w:p>
    <w:p>
      <w:pPr>
        <w:numPr>
          <w:ilvl w:val="0"/>
          <w:numId w:val="1"/>
        </w:numPr>
        <w:ind w:left="360" w:hanging="280"/>
        <w:spacing w:after="40"/>
      </w:pPr>
      <w:r>
        <w:rPr>
          <w:sz w:val="22"/>
          <w:rFonts w:ascii="Calibri" w:hAnsi="Calibri"/>
        </w:rPr>
        <w:t xml:space="preserve">Korrekturen über Chat → weitere API-Calls + Speicherung</w:t>
      </w:r>
    </w:p>
    <w:p>
      <w:pPr>
        <w:spacing w:before="280" w:after="80"/>
      </w:pPr>
      <w:r>
        <w:rPr>
          <w:b/>
          <w:sz w:val="32"/>
          <w:rFonts w:ascii="Calibri" w:hAnsi="Calibri"/>
        </w:rPr>
        <w:t xml:space="preserve">3. Webpage-Layout</w:t>
      </w:r>
    </w:p>
    <w:p>
      <w:pPr>
        <w:numPr>
          <w:ilvl w:val="0"/>
          <w:numId w:val="1"/>
        </w:numPr>
        <w:ind w:left="360" w:hanging="280"/>
        <w:spacing w:after="40"/>
      </w:pPr>
      <w:r>
        <w:rPr>
          <w:sz w:val="22"/>
          <w:rFonts w:ascii="Calibri" w:hAnsi="Calibri"/>
        </w:rPr>
        <w:t xml:space="preserve">Linke Bildschirmhälfte: Originalrechnung (PDF/Bild), scroll- und zoombar</w:t>
      </w:r>
    </w:p>
    <w:p>
      <w:pPr>
        <w:numPr>
          <w:ilvl w:val="0"/>
          <w:numId w:val="1"/>
        </w:numPr>
        <w:ind w:left="360" w:hanging="280"/>
        <w:spacing w:after="40"/>
      </w:pPr>
      <w:r>
        <w:rPr>
          <w:sz w:val="22"/>
          <w:rFonts w:ascii="Calibri" w:hAnsi="Calibri"/>
        </w:rPr>
        <w:t xml:space="preserve">Rechte Bildschirmhälfte: Analysierte Daten</w:t>
      </w:r>
    </w:p>
    <w:p>
      <w:pPr>
        <w:numPr>
          <w:ilvl w:val="0"/>
          <w:numId w:val="1"/>
        </w:numPr>
        <w:ind w:left="360" w:hanging="280"/>
        <w:spacing w:after="40"/>
      </w:pPr>
      <w:r>
        <w:rPr>
          <w:sz w:val="22"/>
          <w:rFonts w:ascii="Calibri" w:hAnsi="Calibri"/>
        </w:rPr>
        <w:t xml:space="preserve">  – Extrahierte Felder</w:t>
      </w:r>
    </w:p>
    <w:p>
      <w:pPr>
        <w:numPr>
          <w:ilvl w:val="0"/>
          <w:numId w:val="1"/>
        </w:numPr>
        <w:ind w:left="360" w:hanging="280"/>
        <w:spacing w:after="40"/>
      </w:pPr>
      <w:r>
        <w:rPr>
          <w:sz w:val="22"/>
          <w:rFonts w:ascii="Calibri" w:hAnsi="Calibri"/>
        </w:rPr>
        <w:t xml:space="preserve">  – Vorgeschlagener Kostenträger + Ansprechpartner</w:t>
      </w:r>
    </w:p>
    <w:p>
      <w:pPr>
        <w:numPr>
          <w:ilvl w:val="0"/>
          <w:numId w:val="1"/>
        </w:numPr>
        <w:ind w:left="360" w:hanging="280"/>
        <w:spacing w:after="40"/>
      </w:pPr>
      <w:r>
        <w:rPr>
          <w:sz w:val="22"/>
          <w:rFonts w:ascii="Calibri" w:hAnsi="Calibri"/>
        </w:rPr>
        <w:t xml:space="preserve">  – Konfidenzscore (deutlich sichtbar)</w:t>
      </w:r>
    </w:p>
    <w:p>
      <w:pPr>
        <w:numPr>
          <w:ilvl w:val="0"/>
          <w:numId w:val="1"/>
        </w:numPr>
        <w:ind w:left="360" w:hanging="280"/>
        <w:spacing w:after="40"/>
      </w:pPr>
      <w:r>
        <w:rPr>
          <w:sz w:val="22"/>
          <w:rFonts w:ascii="Calibri" w:hAnsi="Calibri"/>
        </w:rPr>
        <w:t xml:space="preserve">  – Begründung</w:t>
      </w:r>
    </w:p>
    <w:p>
      <w:pPr>
        <w:numPr>
          <w:ilvl w:val="0"/>
          <w:numId w:val="1"/>
        </w:numPr>
        <w:ind w:left="360" w:hanging="280"/>
        <w:spacing w:after="40"/>
      </w:pPr>
      <w:r>
        <w:rPr>
          <w:sz w:val="22"/>
          <w:rFonts w:ascii="Calibri" w:hAnsi="Calibri"/>
        </w:rPr>
        <w:t xml:space="preserve">  – Relevante Informationen visuell hervorgehoben</w:t>
      </w:r>
    </w:p>
    <w:p>
      <w:pPr>
        <w:numPr>
          <w:ilvl w:val="0"/>
          <w:numId w:val="1"/>
        </w:numPr>
        <w:ind w:left="360" w:hanging="280"/>
        <w:spacing w:after="40"/>
      </w:pPr>
      <w:r>
        <w:rPr>
          <w:sz w:val="22"/>
          <w:rFonts w:ascii="Calibri" w:hAnsi="Calibri"/>
        </w:rPr>
        <w:t xml:space="preserve">Korrektur-Chat unterhalb oder als Bereich auf der rechten Seite</w:t>
      </w:r>
    </w:p>
    <w:p>
      <w:pPr>
        <w:spacing w:before="280" w:after="80"/>
      </w:pPr>
      <w:r>
        <w:rPr>
          <w:b/>
          <w:sz w:val="32"/>
          <w:rFonts w:ascii="Calibri" w:hAnsi="Calibri"/>
        </w:rPr>
        <w:t xml:space="preserve">4. Matching-Logik</w:t>
      </w:r>
    </w:p>
    <w:p>
      <w:pPr>
        <w:spacing w:before="280" w:after="80"/>
      </w:pPr>
      <w:r>
        <w:rPr>
          <w:b/>
          <w:sz w:val="26"/>
          <w:rFonts w:ascii="Calibri" w:hAnsi="Calibri"/>
        </w:rPr>
        <w:t xml:space="preserve">4.1 Mit Bestellbezug (&lt; 30 %)</w:t>
      </w:r>
    </w:p>
    <w:p>
      <w:pPr>
        <w:numPr>
          <w:ilvl w:val="0"/>
          <w:numId w:val="1"/>
        </w:numPr>
        <w:ind w:left="360" w:hanging="280"/>
        <w:spacing w:after="40"/>
      </w:pPr>
      <w:r>
        <w:rPr>
          <w:sz w:val="22"/>
          <w:rFonts w:ascii="Calibri" w:hAnsi="Calibri"/>
        </w:rPr>
        <w:t xml:space="preserve">Bestellreferenz → Bestellung lesen → Kostenträger (Kostenstelle oder Innenauftrag) → Verantwortlicher (SU01) → Name + E-Mail aus Personalstamm</w:t>
      </w:r>
    </w:p>
    <w:p>
      <w:pPr>
        <w:spacing w:before="280" w:after="80"/>
      </w:pPr>
      <w:r>
        <w:rPr>
          <w:b/>
          <w:sz w:val="26"/>
          <w:rFonts w:ascii="Calibri" w:hAnsi="Calibri"/>
        </w:rPr>
        <w:t xml:space="preserve">4.2 Ohne Bestellbezug</w:t>
      </w:r>
    </w:p>
    <w:p>
      <w:pPr>
        <w:numPr>
          <w:ilvl w:val="0"/>
          <w:numId w:val="1"/>
        </w:numPr>
        <w:ind w:left="360" w:hanging="280"/>
        <w:spacing w:after="40"/>
      </w:pPr>
      <w:r>
        <w:rPr>
          <w:sz w:val="22"/>
          <w:rFonts w:ascii="Calibri" w:hAnsi="Calibri"/>
        </w:rPr>
        <w:t xml:space="preserve">Suche im Text nach Kostenstelle, Innenauftrag oder Institutsnamen</w:t>
      </w:r>
    </w:p>
    <w:p>
      <w:pPr>
        <w:numPr>
          <w:ilvl w:val="0"/>
          <w:numId w:val="1"/>
        </w:numPr>
        <w:ind w:left="360" w:hanging="280"/>
        <w:spacing w:after="40"/>
      </w:pPr>
      <w:r>
        <w:rPr>
          <w:sz w:val="22"/>
          <w:rFonts w:ascii="Calibri" w:hAnsi="Calibri"/>
        </w:rPr>
        <w:t xml:space="preserve">Zusätzlich Lieferantenhistorie</w:t>
      </w:r>
    </w:p>
    <w:p>
      <w:pPr>
        <w:numPr>
          <w:ilvl w:val="0"/>
          <w:numId w:val="1"/>
        </w:numPr>
        <w:ind w:left="360" w:hanging="280"/>
        <w:spacing w:after="40"/>
      </w:pPr>
      <w:r>
        <w:rPr>
          <w:sz w:val="22"/>
          <w:rFonts w:ascii="Calibri" w:hAnsi="Calibri"/>
        </w:rPr>
        <w:t xml:space="preserve">Ohne klaren Hinweis: niedriger Score + Hinweis an den Mitarbeiter</w:t>
      </w:r>
    </w:p>
    <w:p>
      <w:pPr>
        <w:spacing w:before="280" w:after="80"/>
      </w:pPr>
      <w:r>
        <w:rPr>
          <w:b/>
          <w:sz w:val="26"/>
          <w:rFonts w:ascii="Calibri" w:hAnsi="Calibri"/>
        </w:rPr>
        <w:t xml:space="preserve">4.3 Sammelrechnungen</w:t>
      </w:r>
    </w:p>
    <w:p>
      <w:pPr>
        <w:numPr>
          <w:ilvl w:val="0"/>
          <w:numId w:val="1"/>
        </w:numPr>
        <w:ind w:left="360" w:hanging="280"/>
        <w:spacing w:after="40"/>
      </w:pPr>
      <w:r>
        <w:rPr>
          <w:sz w:val="22"/>
          <w:rFonts w:ascii="Calibri" w:hAnsi="Calibri"/>
        </w:rPr>
        <w:t xml:space="preserve">Strom, Telefon, Internet, Versicherungen etc. werden bewusst nicht behandelt</w:t>
      </w:r>
    </w:p>
    <w:p>
      <w:pPr>
        <w:numPr>
          <w:ilvl w:val="0"/>
          <w:numId w:val="1"/>
        </w:numPr>
        <w:ind w:left="360" w:hanging="280"/>
        <w:spacing w:after="40"/>
      </w:pPr>
      <w:r>
        <w:rPr>
          <w:sz w:val="22"/>
          <w:rFonts w:ascii="Calibri" w:hAnsi="Calibri"/>
        </w:rPr>
        <w:t xml:space="preserve">Bei Erkennung: klare Meldung, kein Matching, kein Vorschlag</w:t>
      </w:r>
    </w:p>
    <w:p>
      <w:pPr>
        <w:spacing w:before="280" w:after="80"/>
      </w:pPr>
      <w:r>
        <w:rPr>
          <w:b/>
          <w:sz w:val="32"/>
          <w:rFonts w:ascii="Calibri" w:hAnsi="Calibri"/>
        </w:rPr>
        <w:t xml:space="preserve">5. Architektur – Fallback</w:t>
      </w:r>
    </w:p>
    <w:p>
      <w:pPr>
        <w:spacing w:before="0" w:after="120"/>
      </w:pPr>
      <w:r>
        <w:rPr>
          <w:sz w:val="22"/>
          <w:rFonts w:ascii="Calibri" w:hAnsi="Calibri"/>
        </w:rPr>
        <w:t xml:space="preserve">Falls die Grok-API nicht ausreicht oder nicht verfügbar ist:</w:t>
      </w:r>
    </w:p>
    <w:p>
      <w:pPr>
        <w:numPr>
          <w:ilvl w:val="0"/>
          <w:numId w:val="1"/>
        </w:numPr>
        <w:ind w:left="360" w:hanging="280"/>
        <w:spacing w:after="40"/>
      </w:pPr>
      <w:r>
        <w:rPr>
          <w:sz w:val="22"/>
          <w:rFonts w:ascii="Calibri" w:hAnsi="Calibri"/>
        </w:rPr>
        <w:t xml:space="preserve">OCR: Azure Document Intelligence (Free Tier)</w:t>
      </w:r>
    </w:p>
    <w:p>
      <w:pPr>
        <w:numPr>
          <w:ilvl w:val="0"/>
          <w:numId w:val="1"/>
        </w:numPr>
        <w:ind w:left="360" w:hanging="280"/>
        <w:spacing w:after="40"/>
      </w:pPr>
      <w:r>
        <w:rPr>
          <w:sz w:val="22"/>
          <w:rFonts w:ascii="Calibri" w:hAnsi="Calibri"/>
        </w:rPr>
        <w:t xml:space="preserve">LLM: Groq oder Google Gemini Flash (Free Tier)</w:t>
      </w:r>
    </w:p>
    <w:p>
      <w:pPr>
        <w:numPr>
          <w:ilvl w:val="0"/>
          <w:numId w:val="1"/>
        </w:numPr>
        <w:ind w:left="360" w:hanging="280"/>
        <w:spacing w:after="40"/>
      </w:pPr>
      <w:r>
        <w:rPr>
          <w:sz w:val="22"/>
          <w:rFonts w:ascii="Calibri" w:hAnsi="Calibri"/>
        </w:rPr>
        <w:t xml:space="preserve">Rest der Architektur bleibt gleich</w:t>
      </w:r>
    </w:p>
    <w:p>
      <w:pPr>
        <w:spacing w:before="280" w:after="80"/>
      </w:pPr>
      <w:r>
        <w:rPr>
          <w:b/>
          <w:sz w:val="32"/>
          <w:rFonts w:ascii="Calibri" w:hAnsi="Calibri"/>
        </w:rPr>
        <w:t xml:space="preserve">6. Funktionale Anforderungen</w:t>
      </w:r>
    </w:p>
    <w:p>
      <w:pPr>
        <w:numPr>
          <w:ilvl w:val="0"/>
          <w:numId w:val="1"/>
        </w:numPr>
        <w:ind w:left="360" w:hanging="280"/>
        <w:spacing w:after="40"/>
      </w:pPr>
      <w:r>
        <w:rPr>
          <w:sz w:val="22"/>
          <w:rFonts w:ascii="Calibri" w:hAnsi="Calibri"/>
        </w:rPr>
        <w:t xml:space="preserve">Upload von PDF oder Scan</w:t>
      </w:r>
    </w:p>
    <w:p>
      <w:pPr>
        <w:numPr>
          <w:ilvl w:val="0"/>
          <w:numId w:val="1"/>
        </w:numPr>
        <w:ind w:left="360" w:hanging="280"/>
        <w:spacing w:after="40"/>
      </w:pPr>
      <w:r>
        <w:rPr>
          <w:sz w:val="22"/>
          <w:rFonts w:ascii="Calibri" w:hAnsi="Calibri"/>
        </w:rPr>
        <w:t xml:space="preserve">Originalanzeige links, analysierte Daten rechts mit Hervorhebungen</w:t>
      </w:r>
    </w:p>
    <w:p>
      <w:pPr>
        <w:numPr>
          <w:ilvl w:val="0"/>
          <w:numId w:val="1"/>
        </w:numPr>
        <w:ind w:left="360" w:hanging="280"/>
        <w:spacing w:after="40"/>
      </w:pPr>
      <w:r>
        <w:rPr>
          <w:sz w:val="22"/>
          <w:rFonts w:ascii="Calibri" w:hAnsi="Calibri"/>
        </w:rPr>
        <w:t xml:space="preserve">Konfidenzscore 0–100 % mit Begründung</w:t>
      </w:r>
    </w:p>
    <w:p>
      <w:pPr>
        <w:numPr>
          <w:ilvl w:val="0"/>
          <w:numId w:val="1"/>
        </w:numPr>
        <w:ind w:left="360" w:hanging="280"/>
        <w:spacing w:after="40"/>
      </w:pPr>
      <w:r>
        <w:rPr>
          <w:sz w:val="22"/>
          <w:rFonts w:ascii="Calibri" w:hAnsi="Calibri"/>
        </w:rPr>
        <w:t xml:space="preserve">Korrektur per Chat</w:t>
      </w:r>
    </w:p>
    <w:p>
      <w:pPr>
        <w:numPr>
          <w:ilvl w:val="0"/>
          <w:numId w:val="1"/>
        </w:numPr>
        <w:ind w:left="360" w:hanging="280"/>
        <w:spacing w:after="40"/>
      </w:pPr>
      <w:r>
        <w:rPr>
          <w:sz w:val="22"/>
          <w:rFonts w:ascii="Calibri" w:hAnsi="Calibri"/>
        </w:rPr>
        <w:t xml:space="preserve">Speicherung der Korrekturen für zukünftiges Matching desselben Lieferanten</w:t>
      </w:r>
    </w:p>
    <w:p>
      <w:pPr>
        <w:numPr>
          <w:ilvl w:val="0"/>
          <w:numId w:val="1"/>
        </w:numPr>
        <w:ind w:left="360" w:hanging="280"/>
        <w:spacing w:after="40"/>
      </w:pPr>
      <w:r>
        <w:rPr>
          <w:sz w:val="22"/>
          <w:rFonts w:ascii="Calibri" w:hAnsi="Calibri"/>
        </w:rPr>
        <w:t xml:space="preserve">Hinweis-Meldung bei Sammelrechnungen</w:t>
      </w:r>
    </w:p>
    <w:p>
      <w:pPr>
        <w:spacing w:before="280" w:after="80"/>
      </w:pPr>
      <w:r>
        <w:rPr>
          <w:b/>
          <w:sz w:val="32"/>
          <w:rFonts w:ascii="Calibri" w:hAnsi="Calibri"/>
        </w:rPr>
        <w:t xml:space="preserve">7. Nicht-funktionale Anforderungen</w:t>
      </w:r>
    </w:p>
    <w:p>
      <w:pPr>
        <w:numPr>
          <w:ilvl w:val="0"/>
          <w:numId w:val="1"/>
        </w:numPr>
        <w:ind w:left="360" w:hanging="280"/>
        <w:spacing w:after="40"/>
      </w:pPr>
      <w:r>
        <w:rPr>
          <w:sz w:val="22"/>
          <w:rFonts w:ascii="Calibri" w:hAnsi="Calibri"/>
        </w:rPr>
        <w:t xml:space="preserve">Keine schreibenden Zugriffe auf SAP</w:t>
      </w:r>
    </w:p>
    <w:p>
      <w:pPr>
        <w:numPr>
          <w:ilvl w:val="0"/>
          <w:numId w:val="1"/>
        </w:numPr>
        <w:ind w:left="360" w:hanging="280"/>
        <w:spacing w:after="40"/>
      </w:pPr>
      <w:r>
        <w:rPr>
          <w:sz w:val="22"/>
          <w:rFonts w:ascii="Calibri" w:hAnsi="Calibri"/>
        </w:rPr>
        <w:t xml:space="preserve">Kosten möglichst nahe Null</w:t>
      </w:r>
    </w:p>
    <w:p>
      <w:pPr>
        <w:numPr>
          <w:ilvl w:val="0"/>
          <w:numId w:val="1"/>
        </w:numPr>
        <w:ind w:left="360" w:hanging="280"/>
        <w:spacing w:after="40"/>
      </w:pPr>
      <w:r>
        <w:rPr>
          <w:sz w:val="22"/>
          <w:rFonts w:ascii="Calibri" w:hAnsi="Calibri"/>
        </w:rPr>
        <w:t xml:space="preserve">Möglichst wenig neue externe Services</w:t>
      </w:r>
    </w:p>
    <w:p>
      <w:pPr>
        <w:numPr>
          <w:ilvl w:val="0"/>
          <w:numId w:val="1"/>
        </w:numPr>
        <w:ind w:left="360" w:hanging="280"/>
        <w:spacing w:after="40"/>
      </w:pPr>
      <w:r>
        <w:rPr>
          <w:sz w:val="22"/>
          <w:rFonts w:ascii="Calibri" w:hAnsi="Calibri"/>
        </w:rPr>
        <w:t xml:space="preserve">Alle Vorschläge nachvollziehbar begründet</w:t>
      </w:r>
    </w:p>
    <w:p>
      <w:pPr>
        <w:spacing w:before="280" w:after="80"/>
      </w:pPr>
      <w:r>
        <w:rPr>
          <w:b/>
          <w:sz w:val="32"/>
          <w:rFonts w:ascii="Calibri" w:hAnsi="Calibri"/>
        </w:rPr>
        <w:t xml:space="preserve">8. Benötigte Zugänge</w:t>
      </w:r>
    </w:p>
    <w:p>
      <w:pPr>
        <w:numPr>
          <w:ilvl w:val="0"/>
          <w:numId w:val="1"/>
        </w:numPr>
        <w:ind w:left="360" w:hanging="280"/>
        <w:spacing w:after="40"/>
      </w:pPr>
      <w:r>
        <w:rPr>
          <w:sz w:val="22"/>
          <w:rFonts w:ascii="Calibri" w:hAnsi="Calibri"/>
        </w:rPr>
        <w:t xml:space="preserve">Grok-API-Zugang (primär, Login über Account reicht für den Start)</w:t>
      </w:r>
    </w:p>
    <w:p>
      <w:pPr>
        <w:numPr>
          <w:ilvl w:val="0"/>
          <w:numId w:val="1"/>
        </w:numPr>
        <w:ind w:left="360" w:hanging="280"/>
        <w:spacing w:after="40"/>
      </w:pPr>
      <w:r>
        <w:rPr>
          <w:sz w:val="22"/>
          <w:rFonts w:ascii="Calibri" w:hAnsi="Calibri"/>
        </w:rPr>
        <w:t xml:space="preserve">Streamlit Cloud (Free Tier)</w:t>
      </w:r>
    </w:p>
    <w:p>
      <w:pPr>
        <w:numPr>
          <w:ilvl w:val="0"/>
          <w:numId w:val="1"/>
        </w:numPr>
        <w:ind w:left="360" w:hanging="280"/>
        <w:spacing w:after="40"/>
      </w:pPr>
      <w:r>
        <w:rPr>
          <w:sz w:val="22"/>
          <w:rFonts w:ascii="Calibri" w:hAnsi="Calibri"/>
        </w:rPr>
        <w:t xml:space="preserve">Optional Fallback: Azure-Konto + Groq- oder Gemini-Konto</w:t>
      </w:r>
    </w:p>
    <w:p>
      <w:pPr>
        <w:numPr>
          <w:ilvl w:val="0"/>
          <w:numId w:val="1"/>
        </w:numPr>
        <w:ind w:left="360" w:hanging="280"/>
        <w:spacing w:after="40"/>
      </w:pPr>
      <w:r>
        <w:rPr>
          <w:sz w:val="22"/>
          <w:rFonts w:ascii="Calibri" w:hAnsi="Calibri"/>
        </w:rPr>
        <w:t xml:space="preserve">SAP: bestehende OData-Services und Leserechte prüfen</w:t>
      </w:r>
    </w:p>
    <w:p>
      <w:pPr>
        <w:spacing w:before="280" w:after="80"/>
      </w:pPr>
      <w:r>
        <w:rPr>
          <w:b/>
          <w:sz w:val="32"/>
          <w:rFonts w:ascii="Calibri" w:hAnsi="Calibri"/>
        </w:rPr>
        <w:t xml:space="preserve">9. Offene Punkte</w:t>
      </w:r>
    </w:p>
    <w:p>
      <w:pPr>
        <w:numPr>
          <w:ilvl w:val="0"/>
          <w:numId w:val="1"/>
        </w:numPr>
        <w:ind w:left="360" w:hanging="280"/>
        <w:spacing w:after="40"/>
      </w:pPr>
      <w:r>
        <w:rPr>
          <w:sz w:val="22"/>
          <w:rFonts w:ascii="Calibri" w:hAnsi="Calibri"/>
        </w:rPr>
        <w:t xml:space="preserve">Konkrete OData-Services und Felder für Kostenstelle, Innenauftrag und Personalstamm bestätigen</w:t>
      </w:r>
    </w:p>
    <w:p>
      <w:pPr>
        <w:numPr>
          <w:ilvl w:val="0"/>
          <w:numId w:val="1"/>
        </w:numPr>
        <w:ind w:left="360" w:hanging="280"/>
        <w:spacing w:after="40"/>
      </w:pPr>
      <w:r>
        <w:rPr>
          <w:sz w:val="22"/>
          <w:rFonts w:ascii="Calibri" w:hAnsi="Calibri"/>
        </w:rPr>
        <w:t xml:space="preserve">3–5 Beispielrechnungen bereitstellen (mit PO, ohne PO, eine Sammelrechnung)</w:t>
      </w:r>
    </w:p>
    <w:p>
      <w:pPr>
        <w:numPr>
          <w:ilvl w:val="0"/>
          <w:numId w:val="1"/>
        </w:numPr>
        <w:ind w:left="360" w:hanging="280"/>
        <w:spacing w:after="40"/>
      </w:pPr>
      <w:r>
        <w:rPr>
          <w:sz w:val="22"/>
          <w:rFonts w:ascii="Calibri" w:hAnsi="Calibri"/>
        </w:rPr>
        <w:t xml:space="preserve">Bestätigung, dass Verantwortliche in den Stammdaten gepflegt sind</w:t>
      </w:r>
    </w:p>
    <w:p>
      <w:pPr>
        <w:spacing w:before="0" w:after="0"/>
      </w:pPr>
      <w:r>
        <w:rPr>
          <w:sz w:val="22"/>
          <w:rFonts w:ascii="Calibri" w:hAnsi="Calibri"/>
        </w:rPr>
        <w:t xml:space="preserve">Diese Spec ist die aktuelle Version zur Überprüfung. Primärweg ist Streamlit + Grok-API (Variante 3).</w:t>
      </w:r>
    </w:p>
    <w:sectPr>
      <w:pgSz w:w="11906" w:h="16838"/>
      <w:pgMar w:top="1134" w:right="1134" w:bottom="1134" w:left="1134"/>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
    <w:lvl w:ilvl="1">
      <w:start w:val="1"/>
      <w:numFmt w:val="bullet"/>
      <w:lvlText w:val="–"/>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