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B1C" w:rsidRPr="00967752" w:rsidRDefault="00967752" w:rsidP="00967752">
      <w:pPr>
        <w:rPr>
          <w:b/>
        </w:rPr>
      </w:pPr>
      <w:r w:rsidRPr="00967752">
        <w:rPr>
          <w:b/>
        </w:rPr>
        <w:t>Belastingtarieven in V05</w:t>
      </w:r>
    </w:p>
    <w:p w:rsidR="00967752" w:rsidRDefault="00967752" w:rsidP="00967752"/>
    <w:p w:rsidR="00967752" w:rsidRDefault="00967752" w:rsidP="00967752">
      <w:r>
        <w:t xml:space="preserve">De belastingtarieven in V05 worden opgehaald uit het spreadsheet </w:t>
      </w:r>
      <w:r w:rsidR="00EE4190">
        <w:rPr>
          <w:i/>
        </w:rPr>
        <w:t>TaxRates.xls</w:t>
      </w:r>
      <w:r w:rsidR="00EE4190">
        <w:t xml:space="preserve"> dat is </w:t>
      </w:r>
      <w:proofErr w:type="spellStart"/>
      <w:r w:rsidR="00EE4190">
        <w:t>geupload</w:t>
      </w:r>
      <w:proofErr w:type="spellEnd"/>
      <w:r w:rsidR="00EE4190">
        <w:t xml:space="preserve"> onder </w:t>
      </w:r>
      <w:r w:rsidR="00EE4190" w:rsidRPr="00EE4190">
        <w:rPr>
          <w:i/>
        </w:rPr>
        <w:t>Matrices</w:t>
      </w:r>
      <w:r w:rsidR="00EE4190">
        <w:t xml:space="preserve"> bij de </w:t>
      </w:r>
      <w:proofErr w:type="spellStart"/>
      <w:r w:rsidR="00EE4190">
        <w:t>tablesettings</w:t>
      </w:r>
      <w:proofErr w:type="spellEnd"/>
      <w:r>
        <w:t>. Het betreft de volgende tarieven:</w:t>
      </w:r>
    </w:p>
    <w:p w:rsidR="0075564C" w:rsidRDefault="0075564C" w:rsidP="0075564C">
      <w:pPr>
        <w:ind w:left="709"/>
      </w:pPr>
    </w:p>
    <w:tbl>
      <w:tblPr>
        <w:tblW w:w="10632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4280"/>
        <w:gridCol w:w="1789"/>
        <w:gridCol w:w="4143"/>
      </w:tblGrid>
      <w:tr w:rsidR="0075564C" w:rsidRPr="0075564C" w:rsidTr="0075564C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b/>
                <w:bCs/>
                <w:color w:val="FFFFFF"/>
                <w:lang w:eastAsia="nl-NL"/>
              </w:rPr>
            </w:pPr>
            <w:proofErr w:type="spellStart"/>
            <w:r w:rsidRPr="0075564C">
              <w:rPr>
                <w:rFonts w:ascii="Calibri" w:eastAsia="Times New Roman" w:hAnsi="Calibri" w:cs="Times New Roman"/>
                <w:b/>
                <w:bCs/>
                <w:color w:val="FFFFFF"/>
                <w:lang w:eastAsia="nl-NL"/>
              </w:rPr>
              <w:t>Nr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b/>
                <w:bCs/>
                <w:color w:val="FFFFFF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b/>
                <w:bCs/>
                <w:color w:val="FFFFFF"/>
                <w:lang w:eastAsia="nl-NL"/>
              </w:rPr>
              <w:t>Omschrijving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b/>
                <w:bCs/>
                <w:color w:val="FFFFFF"/>
                <w:lang w:eastAsia="nl-NL"/>
              </w:rPr>
            </w:pPr>
            <w:proofErr w:type="spellStart"/>
            <w:r w:rsidRPr="0075564C">
              <w:rPr>
                <w:rFonts w:ascii="Calibri" w:eastAsia="Times New Roman" w:hAnsi="Calibri" w:cs="Times New Roman"/>
                <w:b/>
                <w:bCs/>
                <w:color w:val="FFFFFF"/>
                <w:lang w:eastAsia="nl-NL"/>
              </w:rPr>
              <w:t>Variabelenaam</w:t>
            </w:r>
            <w:proofErr w:type="spellEnd"/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b/>
                <w:bCs/>
                <w:color w:val="FFFFFF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b/>
                <w:bCs/>
                <w:color w:val="FFFFFF"/>
                <w:lang w:eastAsia="nl-NL"/>
              </w:rPr>
              <w:t>Toelichting</w:t>
            </w:r>
          </w:p>
        </w:tc>
      </w:tr>
      <w:tr w:rsidR="0075564C" w:rsidRPr="0075564C" w:rsidTr="0075564C">
        <w:trPr>
          <w:trHeight w:val="288"/>
        </w:trPr>
        <w:tc>
          <w:tcPr>
            <w:tcW w:w="4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4280" w:type="dxa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BTW tarief (hoog)</w:t>
            </w:r>
          </w:p>
        </w:tc>
        <w:tc>
          <w:tcPr>
            <w:tcW w:w="1789" w:type="dxa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VATRateHigh</w:t>
            </w:r>
            <w:proofErr w:type="spellEnd"/>
          </w:p>
        </w:tc>
        <w:tc>
          <w:tcPr>
            <w:tcW w:w="4143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nl-NL"/>
              </w:rPr>
              <w:t>Het standaard BTW tarief</w:t>
            </w:r>
          </w:p>
        </w:tc>
      </w:tr>
      <w:tr w:rsidR="0075564C" w:rsidRPr="0075564C" w:rsidTr="0075564C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BTW tarief (laag)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VATRateLow</w:t>
            </w:r>
            <w:proofErr w:type="spellEnd"/>
          </w:p>
        </w:tc>
        <w:tc>
          <w:tcPr>
            <w:tcW w:w="4143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nl-NL"/>
              </w:rPr>
              <w:t> </w:t>
            </w:r>
          </w:p>
        </w:tc>
      </w:tr>
      <w:tr w:rsidR="0075564C" w:rsidRPr="0075564C" w:rsidTr="0075564C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BTW tarief (Gemen</w:t>
            </w:r>
            <w:proofErr w:type="gramStart"/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gd%</w:t>
            </w:r>
            <w:proofErr w:type="gramEnd"/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)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VATRateMixed1</w:t>
            </w:r>
          </w:p>
        </w:tc>
        <w:tc>
          <w:tcPr>
            <w:tcW w:w="4143" w:type="dxa"/>
            <w:vMerge w:val="restart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nl-NL"/>
              </w:rPr>
              <w:t>De gemengde BTW tarieven zijn vaak casusafhankelijk en worden per klant handmatig opgevoerd. Daarom heeft dit ook geen inhoud in de standaard tabel.</w:t>
            </w:r>
          </w:p>
        </w:tc>
      </w:tr>
      <w:tr w:rsidR="0075564C" w:rsidRPr="0075564C" w:rsidTr="0075564C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BTW tarief (Gemen</w:t>
            </w:r>
            <w:proofErr w:type="gramStart"/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gd%</w:t>
            </w:r>
            <w:proofErr w:type="gramEnd"/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)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VATRateMixed2</w:t>
            </w:r>
          </w:p>
        </w:tc>
        <w:tc>
          <w:tcPr>
            <w:tcW w:w="4143" w:type="dxa"/>
            <w:vMerge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nl-NL"/>
              </w:rPr>
            </w:pPr>
          </w:p>
        </w:tc>
      </w:tr>
      <w:tr w:rsidR="0075564C" w:rsidRPr="0075564C" w:rsidTr="0075564C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BTW tarief (Gemen</w:t>
            </w:r>
            <w:proofErr w:type="gramStart"/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gd%</w:t>
            </w:r>
            <w:proofErr w:type="gramEnd"/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)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VATRateMixed3</w:t>
            </w:r>
          </w:p>
        </w:tc>
        <w:tc>
          <w:tcPr>
            <w:tcW w:w="4143" w:type="dxa"/>
            <w:vMerge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nl-NL"/>
              </w:rPr>
            </w:pPr>
          </w:p>
        </w:tc>
      </w:tr>
      <w:tr w:rsidR="0075564C" w:rsidRPr="0075564C" w:rsidTr="0075564C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MKB belasting tarief op winst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TaxProfitPercMKB</w:t>
            </w:r>
            <w:proofErr w:type="spellEnd"/>
          </w:p>
        </w:tc>
        <w:tc>
          <w:tcPr>
            <w:tcW w:w="4143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nl-NL"/>
              </w:rPr>
              <w:t>Het lage tarief in geval bij de eerste schaal (zie bij 8)</w:t>
            </w:r>
          </w:p>
        </w:tc>
      </w:tr>
      <w:tr w:rsidR="0075564C" w:rsidRPr="0075564C" w:rsidTr="0075564C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VPB tarief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TaxProfitPercVPB</w:t>
            </w:r>
            <w:proofErr w:type="spellEnd"/>
          </w:p>
        </w:tc>
        <w:tc>
          <w:tcPr>
            <w:tcW w:w="4143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nl-NL"/>
              </w:rPr>
              <w:t xml:space="preserve">Het standaard tarief bij winsten hoger dan de eerste schaal </w:t>
            </w:r>
          </w:p>
        </w:tc>
      </w:tr>
      <w:tr w:rsidR="0075564C" w:rsidRPr="0075564C" w:rsidTr="0075564C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Maximum winstbedrag belast tegen MKB tarief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75564C">
              <w:rPr>
                <w:rFonts w:ascii="Calibri" w:eastAsia="Times New Roman" w:hAnsi="Calibri" w:cs="Times New Roman"/>
                <w:color w:val="000000"/>
                <w:lang w:eastAsia="nl-NL"/>
              </w:rPr>
              <w:t>TaxProfitBaseMKB</w:t>
            </w:r>
            <w:proofErr w:type="spellEnd"/>
          </w:p>
        </w:tc>
        <w:tc>
          <w:tcPr>
            <w:tcW w:w="4143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75564C" w:rsidRPr="0075564C" w:rsidRDefault="0075564C" w:rsidP="0075564C">
            <w:pPr>
              <w:contextualSpacing w:val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nl-NL"/>
              </w:rPr>
            </w:pPr>
            <w:r w:rsidRPr="007556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nl-NL"/>
              </w:rPr>
              <w:t>De hoogte van de eerste schaal</w:t>
            </w:r>
          </w:p>
        </w:tc>
      </w:tr>
    </w:tbl>
    <w:p w:rsidR="000837E9" w:rsidRDefault="000837E9" w:rsidP="0075564C">
      <w:pPr>
        <w:ind w:left="709"/>
      </w:pPr>
    </w:p>
    <w:p w:rsidR="00D85718" w:rsidRDefault="00967752" w:rsidP="00967752">
      <w:r>
        <w:t xml:space="preserve">In </w:t>
      </w:r>
      <w:proofErr w:type="gramStart"/>
      <w:r>
        <w:t>het</w:t>
      </w:r>
      <w:proofErr w:type="gramEnd"/>
      <w:r>
        <w:t xml:space="preserve"> spreadsheet kunnen meerdere tabellen staan met verschillende tarieven. De </w:t>
      </w:r>
      <w:r w:rsidR="00EE4190">
        <w:t xml:space="preserve">tabel die wordt gebruikt is afhankelijk van de landcode die is ingevuld in het document </w:t>
      </w:r>
      <w:r>
        <w:t>dat in V05 is geopend</w:t>
      </w:r>
      <w:r w:rsidR="005E0B48">
        <w:t>, en het aanwezig zijn van een tabel die deze lan</w:t>
      </w:r>
      <w:bookmarkStart w:id="0" w:name="_GoBack"/>
      <w:bookmarkEnd w:id="0"/>
      <w:r w:rsidR="005E0B48">
        <w:t>dcode in de naam heeft</w:t>
      </w:r>
      <w:r w:rsidR="00EE4190">
        <w:t xml:space="preserve">. </w:t>
      </w:r>
    </w:p>
    <w:p w:rsidR="005E0B48" w:rsidRDefault="005E0B48" w:rsidP="00967752"/>
    <w:p w:rsidR="006D7AFD" w:rsidRDefault="00EE4190" w:rsidP="00967752">
      <w:r>
        <w:t xml:space="preserve">De landcode wordt opgehaald uit de variabele </w:t>
      </w:r>
      <w:proofErr w:type="spellStart"/>
      <w:r>
        <w:t>FPS_VAR_Land</w:t>
      </w:r>
      <w:proofErr w:type="spellEnd"/>
      <w:r>
        <w:t>. Dit is variabele die via een CRM koppeling gevuld kan worden; de variabele is niet te benaderen door een gebruiker die een document opent.</w:t>
      </w:r>
      <w:r w:rsidR="005E0B48">
        <w:t xml:space="preserve"> </w:t>
      </w:r>
    </w:p>
    <w:p w:rsidR="006D7AFD" w:rsidRPr="005E0B48" w:rsidRDefault="005E0B48" w:rsidP="006D7AFD">
      <w:r>
        <w:t xml:space="preserve">De landcode is </w:t>
      </w:r>
      <w:r w:rsidR="006D7AFD">
        <w:t>dus</w:t>
      </w:r>
      <w:r>
        <w:t xml:space="preserve"> effectief als er in </w:t>
      </w:r>
      <w:proofErr w:type="gramStart"/>
      <w:r>
        <w:t>het</w:t>
      </w:r>
      <w:proofErr w:type="gramEnd"/>
      <w:r>
        <w:t xml:space="preserve"> spreadsheet een tabel is opgenomen die </w:t>
      </w:r>
      <w:r w:rsidR="006D7AFD">
        <w:t xml:space="preserve">de inhoud van de landcode in </w:t>
      </w:r>
      <w:proofErr w:type="spellStart"/>
      <w:r w:rsidR="006D7AFD">
        <w:t>FPS_VAR_Land</w:t>
      </w:r>
      <w:proofErr w:type="spellEnd"/>
      <w:r w:rsidR="006D7AFD">
        <w:t xml:space="preserve"> in de naam heeft. </w:t>
      </w:r>
      <w:r w:rsidR="006D7AFD">
        <w:t>De tabel die wordt gebruikt is de tabel met de naam “</w:t>
      </w:r>
      <w:proofErr w:type="spellStart"/>
      <w:r w:rsidR="006D7AFD">
        <w:rPr>
          <w:i/>
        </w:rPr>
        <w:t>Landcode</w:t>
      </w:r>
      <w:r w:rsidR="006D7AFD">
        <w:t>TaxRates</w:t>
      </w:r>
      <w:proofErr w:type="spellEnd"/>
      <w:r w:rsidR="006D7AFD">
        <w:t xml:space="preserve">”, waarbij </w:t>
      </w:r>
      <w:r w:rsidR="006D7AFD">
        <w:rPr>
          <w:i/>
        </w:rPr>
        <w:t>Landcode</w:t>
      </w:r>
      <w:r w:rsidR="006D7AFD">
        <w:t xml:space="preserve"> iedere willekeurige string kan zijn </w:t>
      </w:r>
      <w:r w:rsidR="006D7AFD">
        <w:t xml:space="preserve">uit </w:t>
      </w:r>
      <w:proofErr w:type="spellStart"/>
      <w:r w:rsidR="006D7AFD">
        <w:t>FPS_VAR_Land</w:t>
      </w:r>
      <w:proofErr w:type="spellEnd"/>
      <w:r w:rsidR="006D7AFD">
        <w:t>.</w:t>
      </w:r>
    </w:p>
    <w:p w:rsidR="00D85718" w:rsidRDefault="00D85718" w:rsidP="00967752"/>
    <w:p w:rsidR="00EE4190" w:rsidRDefault="00EE4190" w:rsidP="00967752">
      <w:r>
        <w:t xml:space="preserve">Indien er geen landcode aanwezig is wordt er teruggevallen op de tabel </w:t>
      </w:r>
      <w:proofErr w:type="spellStart"/>
      <w:r w:rsidRPr="005E0B48">
        <w:rPr>
          <w:i/>
        </w:rPr>
        <w:t>TaxRates</w:t>
      </w:r>
      <w:proofErr w:type="spellEnd"/>
      <w:r>
        <w:t>.</w:t>
      </w:r>
    </w:p>
    <w:p w:rsidR="005E0B48" w:rsidRDefault="00D85718" w:rsidP="005E0B48">
      <w:r>
        <w:t>Indien er een ongeldige landcode is opgegeven dan wordt er ook teruggevallen op deze tabel.</w:t>
      </w:r>
    </w:p>
    <w:p w:rsidR="005E0B48" w:rsidRDefault="005E0B48" w:rsidP="005E0B48"/>
    <w:p w:rsidR="006D7AFD" w:rsidRDefault="005E0B48" w:rsidP="006D7AFD">
      <w:r>
        <w:t xml:space="preserve">Op de wijze is het mogelijk om </w:t>
      </w:r>
      <w:r w:rsidR="006D7AFD">
        <w:t xml:space="preserve">voor elke landcode </w:t>
      </w:r>
      <w:r>
        <w:t xml:space="preserve">een </w:t>
      </w:r>
      <w:r w:rsidR="006D7AFD">
        <w:t xml:space="preserve">aparte </w:t>
      </w:r>
      <w:r>
        <w:t>tabel</w:t>
      </w:r>
      <w:r w:rsidR="006D7AFD">
        <w:t xml:space="preserve"> op te stellen. Hieronder volgt een uitleg over de eisen waaraan een toe te voegen tabel moet voldoen.</w:t>
      </w:r>
      <w:r>
        <w:t xml:space="preserve"> </w:t>
      </w:r>
    </w:p>
    <w:p w:rsidR="006D7AFD" w:rsidRDefault="006D7AFD">
      <w:pPr>
        <w:spacing w:after="200" w:line="276" w:lineRule="auto"/>
        <w:contextualSpacing w:val="0"/>
      </w:pPr>
      <w:r>
        <w:br w:type="page"/>
      </w:r>
    </w:p>
    <w:p w:rsidR="005E0B48" w:rsidRPr="006D7AFD" w:rsidRDefault="00150C2F" w:rsidP="006D7AFD">
      <w:pPr>
        <w:rPr>
          <w:b/>
        </w:rPr>
      </w:pPr>
      <w:r>
        <w:rPr>
          <w:b/>
        </w:rPr>
        <w:lastRenderedPageBreak/>
        <w:t xml:space="preserve">De inhoud van </w:t>
      </w:r>
      <w:r w:rsidR="006D7AFD" w:rsidRPr="006D7AFD">
        <w:rPr>
          <w:b/>
        </w:rPr>
        <w:t>een tabel</w:t>
      </w:r>
      <w:r w:rsidR="006D7AFD">
        <w:rPr>
          <w:b/>
        </w:rPr>
        <w:t xml:space="preserve"> voor belastingtarieven</w:t>
      </w:r>
    </w:p>
    <w:p w:rsidR="006D7AFD" w:rsidRDefault="006D7AFD" w:rsidP="006D7AFD"/>
    <w:p w:rsidR="006D7AFD" w:rsidRDefault="006D7AFD" w:rsidP="006D7AFD">
      <w:r>
        <w:t xml:space="preserve">Hieronder is een afbeelding van een </w:t>
      </w:r>
      <w:r w:rsidR="000B4997">
        <w:t xml:space="preserve">tabel in het spreadsheet </w:t>
      </w:r>
      <w:r w:rsidR="000B4997" w:rsidRPr="000B4997">
        <w:rPr>
          <w:i/>
        </w:rPr>
        <w:t>TaxRates.xls</w:t>
      </w:r>
      <w:r w:rsidR="000B4997">
        <w:t xml:space="preserve">. </w:t>
      </w:r>
      <w:proofErr w:type="gramStart"/>
      <w:r w:rsidR="000B4997">
        <w:t xml:space="preserve">Dit is de tabel waarop teruggevallen wordt als er geen (geldige) landcode aanwezig is. </w:t>
      </w:r>
      <w:proofErr w:type="gramEnd"/>
      <w:r w:rsidR="000B4997">
        <w:t xml:space="preserve">Het blauwe deel is de tabel die door de applicatie wordt herkend omdat deze een naam heeft: </w:t>
      </w:r>
      <w:proofErr w:type="spellStart"/>
      <w:r w:rsidR="000B4997">
        <w:t>TaxRates</w:t>
      </w:r>
      <w:proofErr w:type="spellEnd"/>
      <w:r w:rsidR="000B4997">
        <w:t xml:space="preserve">. Deze naam is ook rood omcirkeld te zien in de afbeelding. </w:t>
      </w:r>
    </w:p>
    <w:p w:rsidR="006D7AFD" w:rsidRDefault="000B4997" w:rsidP="006D7AFD">
      <w:r>
        <w:t xml:space="preserve">Iedere nieuw aan te maken tabel dient te voldoen aan </w:t>
      </w:r>
      <w:proofErr w:type="gramStart"/>
      <w:r>
        <w:t>dit</w:t>
      </w:r>
      <w:proofErr w:type="gramEnd"/>
      <w:r>
        <w:t xml:space="preserve"> format. Aan </w:t>
      </w:r>
      <w:proofErr w:type="gramStart"/>
      <w:r>
        <w:t>dit</w:t>
      </w:r>
      <w:proofErr w:type="gramEnd"/>
      <w:r>
        <w:t xml:space="preserve"> format zitten de volgende eisen:</w:t>
      </w:r>
    </w:p>
    <w:p w:rsidR="000B4997" w:rsidRDefault="000B4997" w:rsidP="006D7AFD">
      <w:r>
        <w:t>De header van de tabel:</w:t>
      </w:r>
    </w:p>
    <w:p w:rsidR="000B4997" w:rsidRDefault="000B4997" w:rsidP="000B4997">
      <w:pPr>
        <w:pStyle w:val="ListParagraph"/>
        <w:numPr>
          <w:ilvl w:val="0"/>
          <w:numId w:val="1"/>
        </w:numPr>
      </w:pPr>
      <w:r>
        <w:t xml:space="preserve">Veld </w:t>
      </w:r>
      <w:proofErr w:type="gramStart"/>
      <w:r>
        <w:t xml:space="preserve">met </w:t>
      </w:r>
      <w:r w:rsidRPr="000B4997">
        <w:rPr>
          <w:i/>
        </w:rPr>
        <w:t>Name</w:t>
      </w:r>
      <w:proofErr w:type="gramEnd"/>
      <w:r>
        <w:t xml:space="preserve"> met daarachter een veld met de naam van de tabel;</w:t>
      </w:r>
    </w:p>
    <w:p w:rsidR="000B4997" w:rsidRDefault="000B4997" w:rsidP="000B4997">
      <w:pPr>
        <w:pStyle w:val="ListParagraph"/>
        <w:numPr>
          <w:ilvl w:val="0"/>
          <w:numId w:val="1"/>
        </w:numPr>
      </w:pPr>
      <w:r>
        <w:t xml:space="preserve">Veld met </w:t>
      </w:r>
      <w:proofErr w:type="spellStart"/>
      <w:r w:rsidRPr="000B4997">
        <w:rPr>
          <w:i/>
        </w:rPr>
        <w:t>SearchOption</w:t>
      </w:r>
      <w:proofErr w:type="spellEnd"/>
      <w:r>
        <w:t xml:space="preserve"> met daarachter de het criterium voor de zoekvolgorde;</w:t>
      </w:r>
    </w:p>
    <w:p w:rsidR="000B4997" w:rsidRDefault="000B4997" w:rsidP="000B4997">
      <w:pPr>
        <w:pStyle w:val="ListParagraph"/>
        <w:numPr>
          <w:ilvl w:val="0"/>
          <w:numId w:val="1"/>
        </w:numPr>
      </w:pPr>
      <w:r>
        <w:t xml:space="preserve">Een rij waarin de kolomnummers staan. Deze nummers representeren de variabelen in het model. In het voorbeeld zijn de </w:t>
      </w:r>
      <w:proofErr w:type="spellStart"/>
      <w:r>
        <w:t>variabelenamen</w:t>
      </w:r>
      <w:proofErr w:type="spellEnd"/>
      <w:r>
        <w:t xml:space="preserve"> erboven gemeld. Deze </w:t>
      </w:r>
      <w:proofErr w:type="spellStart"/>
      <w:r>
        <w:t>variabelenamen</w:t>
      </w:r>
      <w:proofErr w:type="spellEnd"/>
      <w:r>
        <w:t xml:space="preserve"> horen niet bij de tabel maar zijn erboven geplaatst om te duiden wat de inhoud is van de kolom.</w:t>
      </w:r>
    </w:p>
    <w:p w:rsidR="000B4997" w:rsidRDefault="000B4997" w:rsidP="000B4997">
      <w:r>
        <w:t>De inhoud van de tabel:</w:t>
      </w:r>
    </w:p>
    <w:p w:rsidR="000B4997" w:rsidRDefault="000B4997" w:rsidP="000B4997">
      <w:pPr>
        <w:pStyle w:val="ListParagraph"/>
        <w:numPr>
          <w:ilvl w:val="0"/>
          <w:numId w:val="1"/>
        </w:numPr>
      </w:pPr>
      <w:r>
        <w:t>Rij 1</w:t>
      </w:r>
      <w:r w:rsidR="00BD4231">
        <w:t xml:space="preserve">, </w:t>
      </w:r>
      <w:proofErr w:type="spellStart"/>
      <w:r w:rsidR="00BD4231">
        <w:t>NoMatch</w:t>
      </w:r>
      <w:proofErr w:type="spellEnd"/>
      <w:r w:rsidR="00BD4231">
        <w:t>. In de kolommen daarachter staan de waarden die gelden als er geen passende waarde wordt gevonden. In dit geval is deze leeg.</w:t>
      </w:r>
    </w:p>
    <w:p w:rsidR="00BD4231" w:rsidRDefault="00BD4231" w:rsidP="000B4997">
      <w:pPr>
        <w:pStyle w:val="ListParagraph"/>
        <w:numPr>
          <w:ilvl w:val="0"/>
          <w:numId w:val="1"/>
        </w:numPr>
      </w:pPr>
      <w:r>
        <w:t xml:space="preserve">Rij 2, NA. </w:t>
      </w:r>
      <w:r>
        <w:t xml:space="preserve">In de kolommen daarachter staan de waarden die gelden als er geen waarde </w:t>
      </w:r>
      <w:r>
        <w:t>(</w:t>
      </w:r>
      <w:proofErr w:type="spellStart"/>
      <w:r w:rsidRPr="00BD4231">
        <w:rPr>
          <w:b/>
        </w:rPr>
        <w:t>N</w:t>
      </w:r>
      <w:r>
        <w:t>ot</w:t>
      </w:r>
      <w:proofErr w:type="spellEnd"/>
      <w:r>
        <w:t xml:space="preserve"> </w:t>
      </w:r>
      <w:proofErr w:type="spellStart"/>
      <w:r w:rsidRPr="00BD4231">
        <w:rPr>
          <w:b/>
        </w:rPr>
        <w:t>A</w:t>
      </w:r>
      <w:r>
        <w:t>vailable</w:t>
      </w:r>
      <w:proofErr w:type="spellEnd"/>
      <w:r>
        <w:t xml:space="preserve">) </w:t>
      </w:r>
      <w:r>
        <w:t>wordt gevonden. In dit geval is deze leeg.</w:t>
      </w:r>
    </w:p>
    <w:p w:rsidR="00BD4231" w:rsidRDefault="00BD4231" w:rsidP="000B4997">
      <w:pPr>
        <w:pStyle w:val="ListParagraph"/>
        <w:numPr>
          <w:ilvl w:val="0"/>
          <w:numId w:val="1"/>
        </w:numPr>
      </w:pPr>
      <w:r>
        <w:t xml:space="preserve">Rij 3 en verder: De aanvangsdatum waarop een tarief geldig is. Hier is te zien dat kolommen voor 1-1-2002 geen belastingtarief hebben. Vanaf 1-1-2002 tot 1-1-2005 gelden de tarieven van rij 3 (dus de tarieven op rij 1-1-2002). De laatste rij dient een aanvangsdatum te hebben die ver in de toekomst ligt, omdat het tarief per aanvangsdatum pas actief wordt als er ook een einddatum aanwezig is. </w:t>
      </w:r>
    </w:p>
    <w:p w:rsidR="000B4997" w:rsidRDefault="000B4997" w:rsidP="006D7AFD"/>
    <w:p w:rsidR="00150C2F" w:rsidRDefault="006D7AFD" w:rsidP="00967752">
      <w:r>
        <w:rPr>
          <w:noProof/>
          <w:lang w:eastAsia="nl-NL"/>
        </w:rPr>
        <w:drawing>
          <wp:inline distT="0" distB="0" distL="0" distR="0" wp14:anchorId="64BDD340" wp14:editId="222C14C3">
            <wp:extent cx="5760720" cy="4290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2F" w:rsidRPr="00150C2F" w:rsidRDefault="00150C2F">
      <w:pPr>
        <w:spacing w:after="200" w:line="276" w:lineRule="auto"/>
        <w:contextualSpacing w:val="0"/>
        <w:rPr>
          <w:b/>
        </w:rPr>
      </w:pPr>
      <w:r w:rsidRPr="00150C2F">
        <w:rPr>
          <w:b/>
        </w:rPr>
        <w:lastRenderedPageBreak/>
        <w:t xml:space="preserve">Het toevoegen van een tabel </w:t>
      </w:r>
      <w:r>
        <w:rPr>
          <w:b/>
        </w:rPr>
        <w:t>met een nieuwe landcode</w:t>
      </w:r>
    </w:p>
    <w:p w:rsidR="00150C2F" w:rsidRDefault="00150C2F" w:rsidP="00967752">
      <w:r>
        <w:t>Het toevoegen van een tabel gaat relatief eenvoudig:</w:t>
      </w:r>
    </w:p>
    <w:p w:rsidR="00150C2F" w:rsidRDefault="00150C2F" w:rsidP="00150C2F">
      <w:pPr>
        <w:pStyle w:val="ListParagraph"/>
        <w:numPr>
          <w:ilvl w:val="0"/>
          <w:numId w:val="2"/>
        </w:numPr>
      </w:pPr>
      <w:r>
        <w:t xml:space="preserve">Kopieer een bestaande tabel. Het is handig om daarbij ook de bovenste regel mee te nemen die weliswaar niet bij de tabel hoort, maar wel </w:t>
      </w:r>
      <w:proofErr w:type="gramStart"/>
      <w:r>
        <w:t>de</w:t>
      </w:r>
      <w:proofErr w:type="gramEnd"/>
      <w:r>
        <w:t xml:space="preserve"> omschrijven per kolom toont</w:t>
      </w:r>
    </w:p>
    <w:p w:rsidR="00150C2F" w:rsidRDefault="00150C2F" w:rsidP="00150C2F">
      <w:pPr>
        <w:pStyle w:val="ListParagraph"/>
        <w:numPr>
          <w:ilvl w:val="0"/>
          <w:numId w:val="2"/>
        </w:numPr>
      </w:pPr>
      <w:r>
        <w:t>Vu</w:t>
      </w:r>
      <w:r w:rsidR="00925AAA">
        <w:t xml:space="preserve">l de juiste naam in achter Name. In onderstaand voorbeeld heet de tabel </w:t>
      </w:r>
      <w:proofErr w:type="spellStart"/>
      <w:r w:rsidR="00925AAA">
        <w:t>UKTaxRates</w:t>
      </w:r>
      <w:proofErr w:type="spellEnd"/>
      <w:r w:rsidR="00925AAA">
        <w:t>, waarbij UK de landcode is.</w:t>
      </w:r>
    </w:p>
    <w:p w:rsidR="00925AAA" w:rsidRDefault="00925AAA" w:rsidP="00150C2F">
      <w:pPr>
        <w:pStyle w:val="ListParagraph"/>
        <w:numPr>
          <w:ilvl w:val="0"/>
          <w:numId w:val="2"/>
        </w:numPr>
      </w:pPr>
      <w:r>
        <w:t>Vul de juiste tarieven in per datum</w:t>
      </w:r>
    </w:p>
    <w:p w:rsidR="000837E9" w:rsidRDefault="00925AAA" w:rsidP="00150C2F">
      <w:pPr>
        <w:pStyle w:val="ListParagraph"/>
        <w:numPr>
          <w:ilvl w:val="0"/>
          <w:numId w:val="2"/>
        </w:numPr>
      </w:pPr>
      <w:r>
        <w:t xml:space="preserve">Selecteer de tabel (het blauwe gebied) en geef deze de naam </w:t>
      </w:r>
      <w:proofErr w:type="spellStart"/>
      <w:r>
        <w:t>UKTaxRates</w:t>
      </w:r>
      <w:proofErr w:type="spellEnd"/>
      <w:r>
        <w:t xml:space="preserve">. </w:t>
      </w:r>
    </w:p>
    <w:p w:rsidR="000837E9" w:rsidRDefault="00925AAA" w:rsidP="000837E9">
      <w:pPr>
        <w:pStyle w:val="ListParagraph"/>
      </w:pPr>
      <w:r>
        <w:t xml:space="preserve">Het geven van een naam kan eenvoudig worden gedaan door na de selectie de naam in te voeren in het veldje rechtsboven. Dat is het veld dat in de </w:t>
      </w:r>
      <w:r w:rsidRPr="000837E9">
        <w:rPr>
          <w:i/>
        </w:rPr>
        <w:t>vorige</w:t>
      </w:r>
      <w:r>
        <w:t xml:space="preserve"> afbeelding rood omcirkeld is.</w:t>
      </w:r>
      <w:r w:rsidR="000837E9">
        <w:t xml:space="preserve"> Zorg er wel voor dat de selectie actief blijft bij het invoeren van de naam. </w:t>
      </w:r>
    </w:p>
    <w:p w:rsidR="000837E9" w:rsidRDefault="000837E9" w:rsidP="000837E9">
      <w:r>
        <w:t>Nog enkele waarschuwingen:</w:t>
      </w:r>
    </w:p>
    <w:p w:rsidR="00925AAA" w:rsidRDefault="000837E9" w:rsidP="000837E9">
      <w:pPr>
        <w:pStyle w:val="ListParagraph"/>
        <w:numPr>
          <w:ilvl w:val="0"/>
          <w:numId w:val="1"/>
        </w:numPr>
      </w:pPr>
      <w:r>
        <w:t>Houd de regels in acht die horen bij de naamgeving (</w:t>
      </w:r>
      <w:proofErr w:type="spellStart"/>
      <w:r>
        <w:t>Landcode+TaxRates</w:t>
      </w:r>
      <w:proofErr w:type="spellEnd"/>
      <w:r>
        <w:t>)</w:t>
      </w:r>
    </w:p>
    <w:p w:rsidR="000837E9" w:rsidRDefault="000837E9" w:rsidP="000837E9">
      <w:pPr>
        <w:pStyle w:val="ListParagraph"/>
        <w:numPr>
          <w:ilvl w:val="0"/>
          <w:numId w:val="1"/>
        </w:numPr>
      </w:pPr>
      <w:r>
        <w:t>Zorg ervoor dat achter het veld Name in de eerste rij van de header dezelfde naam wordt vermeld</w:t>
      </w:r>
    </w:p>
    <w:p w:rsidR="00925AAA" w:rsidRDefault="00925AAA" w:rsidP="00925AAA"/>
    <w:p w:rsidR="00925AAA" w:rsidRDefault="00925AAA" w:rsidP="00925AAA">
      <w:r>
        <w:rPr>
          <w:noProof/>
          <w:lang w:eastAsia="nl-NL"/>
        </w:rPr>
        <w:drawing>
          <wp:inline distT="0" distB="0" distL="0" distR="0" wp14:anchorId="37E586C9" wp14:editId="231A9EB2">
            <wp:extent cx="5760720" cy="27431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31" w:rsidRDefault="00BD4231" w:rsidP="00967752"/>
    <w:sectPr w:rsidR="00BD4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753F6"/>
    <w:multiLevelType w:val="hybridMultilevel"/>
    <w:tmpl w:val="260864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E6179"/>
    <w:multiLevelType w:val="hybridMultilevel"/>
    <w:tmpl w:val="BBD09E56"/>
    <w:lvl w:ilvl="0" w:tplc="B82635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752"/>
    <w:rsid w:val="000837E9"/>
    <w:rsid w:val="000B4997"/>
    <w:rsid w:val="00150C2F"/>
    <w:rsid w:val="00517772"/>
    <w:rsid w:val="005E0B48"/>
    <w:rsid w:val="006D7AFD"/>
    <w:rsid w:val="0075564C"/>
    <w:rsid w:val="00832B1C"/>
    <w:rsid w:val="00925AAA"/>
    <w:rsid w:val="00967752"/>
    <w:rsid w:val="00BD4231"/>
    <w:rsid w:val="00D85718"/>
    <w:rsid w:val="00DE4905"/>
    <w:rsid w:val="00EE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05"/>
    <w:pPr>
      <w:spacing w:after="0"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99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05"/>
    <w:pPr>
      <w:spacing w:after="0"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99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Baas</dc:creator>
  <cp:lastModifiedBy>J. Baas</cp:lastModifiedBy>
  <cp:revision>1</cp:revision>
  <dcterms:created xsi:type="dcterms:W3CDTF">2015-09-03T11:59:00Z</dcterms:created>
  <dcterms:modified xsi:type="dcterms:W3CDTF">2015-09-03T14:08:00Z</dcterms:modified>
</cp:coreProperties>
</file>