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pPr>
      <w:r>
        <w:rPr>
          <w:rFonts w:ascii="Calibri" w:hAnsi="Calibri"/>
          <w:b/>
          <w:color w:val="0B2545"/>
          <w:sz w:val="40"/>
        </w:rPr>
        <w:t>Rally Connect Input CSV Maker Mapping Guide V1.46</w:t>
      </w:r>
    </w:p>
    <w:p>
      <w:pPr>
        <w:spacing w:before="0" w:after="160" w:line="300" w:lineRule="auto"/>
      </w:pPr>
      <w:r>
        <w:rPr>
          <w:rFonts w:ascii="Calibri" w:hAnsi="Calibri"/>
          <w:color w:val="555555"/>
          <w:sz w:val="18"/>
        </w:rPr>
        <w:t>Released July 30, 2026. This reference summarizes source priority, transforms, knowledge-base behavior, and warning/default rules for the current app build.</w:t>
      </w:r>
    </w:p>
    <w:p>
      <w:pPr>
        <w:spacing w:before="280" w:after="140" w:line="300" w:lineRule="auto"/>
      </w:pPr>
      <w:r>
        <w:rPr>
          <w:rFonts w:ascii="Calibri" w:hAnsi="Calibri"/>
          <w:b/>
          <w:color w:val="2E74B5"/>
          <w:sz w:val="32"/>
        </w:rPr>
        <w:t>V1.46 Update</w:t>
      </w:r>
    </w:p>
    <w:p>
      <w:pPr>
        <w:spacing w:before="0" w:after="120" w:line="300" w:lineRule="auto"/>
      </w:pPr>
      <w:r>
        <w:rPr>
          <w:rFonts w:ascii="Calibri" w:hAnsi="Calibri"/>
          <w:sz w:val="18"/>
        </w:rPr>
        <w:t>WhatsOn `Cast (sorted)` is now treated as a comma-separated cast list. The first four names populate actorName1 through actorName4. When an actorName value is filled from this list, the matching actorOrder field is set to 1, 2, 3, or 4. Any additional cast values are ignored.</w:t>
      </w:r>
    </w:p>
    <w:p>
      <w:pPr>
        <w:spacing w:before="280" w:after="140" w:line="300" w:lineRule="auto"/>
      </w:pPr>
      <w:r>
        <w:rPr>
          <w:rFonts w:ascii="Calibri" w:hAnsi="Calibri"/>
          <w:b/>
          <w:color w:val="2E74B5"/>
          <w:sz w:val="32"/>
        </w:rPr>
        <w:t>Source Priority Summary</w:t>
      </w:r>
    </w:p>
    <w:p>
      <w:pPr>
        <w:pStyle w:val="ListBullet"/>
        <w:spacing w:before="0" w:after="80" w:line="300" w:lineRule="auto"/>
      </w:pPr>
      <w:r>
        <w:rPr>
          <w:rFonts w:ascii="Calibri" w:hAnsi="Calibri"/>
          <w:sz w:val="18"/>
        </w:rPr>
        <w:t>WhatsOn and row-producing sources are read first using exact headers and configured aliases.</w:t>
      </w:r>
    </w:p>
    <w:p>
      <w:pPr>
        <w:pStyle w:val="ListBullet"/>
        <w:spacing w:before="0" w:after="80" w:line="300" w:lineRule="auto"/>
      </w:pPr>
      <w:r>
        <w:rPr>
          <w:rFonts w:ascii="Calibri" w:hAnsi="Calibri"/>
          <w:sz w:val="18"/>
        </w:rPr>
        <w:t>Avails is the only source for assetVodStartDate and assetVodEndDate and can fill selected IDs after strict matching.</w:t>
      </w:r>
    </w:p>
    <w:p>
      <w:pPr>
        <w:pStyle w:val="ListBullet"/>
        <w:spacing w:before="0" w:after="80" w:line="300" w:lineRule="auto"/>
      </w:pPr>
      <w:r>
        <w:rPr>
          <w:rFonts w:ascii="Calibri" w:hAnsi="Calibri"/>
          <w:sz w:val="18"/>
        </w:rPr>
        <w:t>CVP Metadata can enrich matched rows, except fields intentionally protected from CVP overwrite.</w:t>
      </w:r>
    </w:p>
    <w:p>
      <w:pPr>
        <w:pStyle w:val="ListBullet"/>
        <w:spacing w:before="0" w:after="80" w:line="300" w:lineRule="auto"/>
      </w:pPr>
      <w:r>
        <w:rPr>
          <w:rFonts w:ascii="Calibri" w:hAnsi="Calibri"/>
          <w:sz w:val="18"/>
        </w:rPr>
        <w:t>Connector knowledge base fills or overrides connector-supported fields only after strict identifier matches.</w:t>
      </w:r>
    </w:p>
    <w:p>
      <w:pPr>
        <w:pStyle w:val="ListBullet"/>
        <w:spacing w:before="0" w:after="80" w:line="300" w:lineRule="auto"/>
      </w:pPr>
      <w:r>
        <w:rPr>
          <w:rFonts w:ascii="Calibri" w:hAnsi="Calibri"/>
          <w:sz w:val="18"/>
        </w:rPr>
        <w:t>Metadata Smart Sheet runs as an optional final override for its approved metadata fields.</w:t>
      </w:r>
    </w:p>
    <w:p>
      <w:pPr>
        <w:pStyle w:val="ListBullet"/>
        <w:spacing w:before="0" w:after="80" w:line="300" w:lineRule="auto"/>
      </w:pPr>
      <w:r>
        <w:rPr>
          <w:rFonts w:ascii="Calibri" w:hAnsi="Calibri"/>
          <w:sz w:val="18"/>
        </w:rPr>
        <w:t>Final defaults and warnings run after enrichment so blanks and invalid values are visible to the user.</w:t>
      </w:r>
    </w:p>
    <w:p>
      <w:pPr>
        <w:spacing w:before="280" w:after="140" w:line="300" w:lineRule="auto"/>
      </w:pPr>
      <w:r>
        <w:rPr>
          <w:rFonts w:ascii="Calibri" w:hAnsi="Calibri"/>
          <w:b/>
          <w:color w:val="2E74B5"/>
          <w:sz w:val="32"/>
        </w:rPr>
        <w:t>Field Mapping Reference</w:t>
      </w:r>
    </w:p>
    <w:tbl>
      <w:tblPr>
        <w:tblStyle w:val="TableGrid"/>
        <w:tblW w:type="dxa" w:w="14472"/>
        <w:jc w:val="left"/>
        <w:tblLayout w:type="fixed"/>
        <w:tblLook w:firstColumn="1" w:firstRow="1" w:lastColumn="0" w:lastRow="0" w:noHBand="0" w:noVBand="1" w:val="04A0"/>
      </w:tblPr>
      <w:tblGrid>
        <w:gridCol w:w="2909"/>
        <w:gridCol w:w="2909"/>
        <w:gridCol w:w="2909"/>
        <w:gridCol w:w="2909"/>
        <w:gridCol w:w="2909"/>
      </w:tblGrid>
      <w:tr>
        <w:trPr>
          <w:tblHeader w:val="true"/>
        </w:trPr>
        <w:tc>
          <w:tcPr>
            <w:tcW w:type="dxa" w:w="1944"/>
            <w:shd w:fill="E8EEF5"/>
            <w:vAlign w:val="center"/>
          </w:tcPr>
          <w:p>
            <w:pPr>
              <w:spacing w:before="0" w:after="0" w:line="300" w:lineRule="auto"/>
            </w:pPr>
            <w:r>
              <w:rPr>
                <w:rFonts w:ascii="Calibri" w:hAnsi="Calibri"/>
                <w:b/>
                <w:color w:val="0B2545"/>
                <w:sz w:val="14"/>
              </w:rPr>
              <w:t>Output Field</w:t>
            </w:r>
          </w:p>
        </w:tc>
        <w:tc>
          <w:tcPr>
            <w:tcW w:type="dxa" w:w="648"/>
            <w:shd w:fill="E8EEF5"/>
            <w:vAlign w:val="center"/>
          </w:tcPr>
          <w:p>
            <w:pPr>
              <w:spacing w:before="0" w:after="0" w:line="300" w:lineRule="auto"/>
            </w:pPr>
            <w:r>
              <w:rPr>
                <w:rFonts w:ascii="Calibri" w:hAnsi="Calibri"/>
                <w:b/>
                <w:color w:val="0B2545"/>
                <w:sz w:val="14"/>
              </w:rPr>
              <w:t>Priority</w:t>
            </w:r>
          </w:p>
        </w:tc>
        <w:tc>
          <w:tcPr>
            <w:tcW w:type="dxa" w:w="2088"/>
            <w:shd w:fill="E8EEF5"/>
            <w:vAlign w:val="center"/>
          </w:tcPr>
          <w:p>
            <w:pPr>
              <w:spacing w:before="0" w:after="0" w:line="300" w:lineRule="auto"/>
            </w:pPr>
            <w:r>
              <w:rPr>
                <w:rFonts w:ascii="Calibri" w:hAnsi="Calibri"/>
                <w:b/>
                <w:color w:val="0B2545"/>
                <w:sz w:val="14"/>
              </w:rPr>
              <w:t>Source</w:t>
            </w:r>
          </w:p>
        </w:tc>
        <w:tc>
          <w:tcPr>
            <w:tcW w:type="dxa" w:w="4320"/>
            <w:shd w:fill="E8EEF5"/>
            <w:vAlign w:val="center"/>
          </w:tcPr>
          <w:p>
            <w:pPr>
              <w:spacing w:before="0" w:after="0" w:line="300" w:lineRule="auto"/>
            </w:pPr>
            <w:r>
              <w:rPr>
                <w:rFonts w:ascii="Calibri" w:hAnsi="Calibri"/>
                <w:b/>
                <w:color w:val="0B2545"/>
                <w:sz w:val="14"/>
              </w:rPr>
              <w:t>Behavior</w:t>
            </w:r>
          </w:p>
        </w:tc>
        <w:tc>
          <w:tcPr>
            <w:tcW w:type="dxa" w:w="5472"/>
            <w:shd w:fill="E8EEF5"/>
            <w:vAlign w:val="center"/>
          </w:tcPr>
          <w:p>
            <w:pPr>
              <w:spacing w:before="0" w:after="0" w:line="300" w:lineRule="auto"/>
            </w:pPr>
            <w:r>
              <w:rPr>
                <w:rFonts w:ascii="Calibri" w:hAnsi="Calibri"/>
                <w:b/>
                <w:color w:val="0B2545"/>
                <w:sz w:val="14"/>
              </w:rPr>
              <w:t>Details</w:t>
            </w:r>
          </w:p>
        </w:tc>
      </w:tr>
      <w:tr>
        <w:tc>
          <w:tcPr>
            <w:tcW w:type="dxa" w:w="1944"/>
            <w:vAlign w:val="top"/>
          </w:tcPr>
          <w:p>
            <w:pPr>
              <w:spacing w:before="0" w:after="0" w:line="260" w:lineRule="auto"/>
            </w:pPr>
            <w:r>
              <w:rPr>
                <w:rFonts w:ascii="Calibri" w:hAnsi="Calibri"/>
                <w:sz w:val="13"/>
              </w:rPr>
              <w:t>assetNameSDVI</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External reference. Aliases checked: assetNameSDVI, asset name sdvi, asset name, sdvi asset, external reference, internal asset name, title internal alias, episode title internal alias, series title internal alias</w:t>
            </w:r>
          </w:p>
        </w:tc>
      </w:tr>
      <w:tr>
        <w:tc>
          <w:tcPr>
            <w:tcW w:type="dxa" w:w="1944"/>
            <w:vAlign w:val="top"/>
          </w:tcPr>
          <w:p>
            <w:pPr>
              <w:spacing w:before="0" w:after="0" w:line="260" w:lineRule="auto"/>
            </w:pPr>
            <w:r>
              <w:rPr>
                <w:rFonts w:ascii="Calibri" w:hAnsi="Calibri"/>
                <w:sz w:val="13"/>
              </w:rPr>
              <w:t>assetNameSDVI</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Grandfathered</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Grandfathered, grandfathered, is grandfathered</w:t>
            </w:r>
          </w:p>
        </w:tc>
      </w:tr>
      <w:tr>
        <w:tc>
          <w:tcPr>
            <w:tcW w:type="dxa" w:w="1944"/>
            <w:vAlign w:val="top"/>
          </w:tcPr>
          <w:p>
            <w:pPr>
              <w:spacing w:before="0" w:after="0" w:line="260" w:lineRule="auto"/>
            </w:pPr>
            <w:r>
              <w:rPr>
                <w:rFonts w:ascii="Calibri" w:hAnsi="Calibri"/>
                <w:sz w:val="13"/>
              </w:rPr>
              <w:t>Grandfathered</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Grandfathered</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Default value</w:t>
            </w:r>
          </w:p>
        </w:tc>
        <w:tc>
          <w:tcPr>
            <w:tcW w:type="dxa" w:w="4320"/>
            <w:vAlign w:val="top"/>
          </w:tcPr>
          <w:p>
            <w:pPr>
              <w:spacing w:before="0" w:after="0" w:line="260" w:lineRule="auto"/>
            </w:pPr>
            <w:r>
              <w:rPr>
                <w:rFonts w:ascii="Calibri" w:hAnsi="Calibri"/>
                <w:sz w:val="13"/>
              </w:rPr>
              <w:t>Applied when no source filled the field.</w:t>
            </w:r>
          </w:p>
        </w:tc>
        <w:tc>
          <w:tcPr>
            <w:tcW w:type="dxa" w:w="5472"/>
            <w:vAlign w:val="top"/>
          </w:tcPr>
          <w:p>
            <w:pPr>
              <w:spacing w:before="0" w:after="0" w:line="260" w:lineRule="auto"/>
            </w:pPr>
            <w:r>
              <w:rPr>
                <w:rFonts w:ascii="Calibri" w:hAnsi="Calibri"/>
                <w:sz w:val="13"/>
              </w:rPr>
              <w:t>True</w:t>
            </w:r>
          </w:p>
        </w:tc>
      </w:tr>
      <w:tr>
        <w:tc>
          <w:tcPr>
            <w:tcW w:type="dxa" w:w="1944"/>
            <w:vAlign w:val="top"/>
          </w:tcPr>
          <w:p>
            <w:pPr>
              <w:spacing w:before="0" w:after="0" w:line="260" w:lineRule="auto"/>
            </w:pPr>
            <w:r>
              <w:rPr>
                <w:rFonts w:ascii="Calibri" w:hAnsi="Calibri"/>
                <w:sz w:val="13"/>
              </w:rPr>
              <w:t>SourceMedia</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SourceMedia, source media, source path, source, s3 path, s3 feature path, media path, feature path, source url</w:t>
            </w:r>
          </w:p>
        </w:tc>
      </w:tr>
      <w:tr>
        <w:tc>
          <w:tcPr>
            <w:tcW w:type="dxa" w:w="1944"/>
            <w:vAlign w:val="top"/>
          </w:tcPr>
          <w:p>
            <w:pPr>
              <w:spacing w:before="0" w:after="0" w:line="260" w:lineRule="auto"/>
            </w:pPr>
            <w:r>
              <w:rPr>
                <w:rFonts w:ascii="Calibri" w:hAnsi="Calibri"/>
                <w:sz w:val="13"/>
              </w:rPr>
              <w:t>SourceMedia</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endpoint_Amazon</w:t>
            </w:r>
          </w:p>
        </w:tc>
        <w:tc>
          <w:tcPr>
            <w:tcW w:type="dxa" w:w="648"/>
            <w:vAlign w:val="top"/>
          </w:tcPr>
          <w:p>
            <w:pPr>
              <w:spacing w:before="0" w:after="0" w:line="260" w:lineRule="auto"/>
            </w:pPr>
            <w:r>
              <w:rPr>
                <w:rFonts w:ascii="Calibri" w:hAnsi="Calibri"/>
                <w:sz w:val="13"/>
              </w:rPr>
              <w:t>6</w:t>
            </w:r>
          </w:p>
        </w:tc>
        <w:tc>
          <w:tcPr>
            <w:tcW w:type="dxa" w:w="2088"/>
            <w:vAlign w:val="top"/>
          </w:tcPr>
          <w:p>
            <w:pPr>
              <w:spacing w:before="0" w:after="0" w:line="260" w:lineRule="auto"/>
            </w:pPr>
            <w:r>
              <w:rPr>
                <w:rFonts w:ascii="Calibri" w:hAnsi="Calibri"/>
                <w:sz w:val="13"/>
              </w:rPr>
              <w:t>Home screen publish selection</w:t>
            </w:r>
          </w:p>
        </w:tc>
        <w:tc>
          <w:tcPr>
            <w:tcW w:type="dxa" w:w="4320"/>
            <w:vAlign w:val="top"/>
          </w:tcPr>
          <w:p>
            <w:pPr>
              <w:spacing w:before="0" w:after="0" w:line="260" w:lineRule="auto"/>
            </w:pPr>
            <w:r>
              <w:rPr>
                <w:rFonts w:ascii="Calibri" w:hAnsi="Calibri"/>
                <w:sz w:val="13"/>
              </w:rPr>
              <w:t>Final pass fills selected endpoint fields with the selected publish kind. Unselected endpoints stay blank.</w:t>
            </w:r>
          </w:p>
        </w:tc>
        <w:tc>
          <w:tcPr>
            <w:tcW w:type="dxa" w:w="5472"/>
            <w:vAlign w:val="top"/>
          </w:tcPr>
          <w:p>
            <w:pPr>
              <w:spacing w:before="0" w:after="0" w:line="260" w:lineRule="auto"/>
            </w:pPr>
            <w:r>
              <w:rPr>
                <w:rFonts w:ascii="Calibri" w:hAnsi="Calibri"/>
                <w:sz w:val="13"/>
              </w:rPr>
              <w:t>Full Delivery, Full package replacement, Full Delete, Metadata Update</w:t>
            </w:r>
          </w:p>
        </w:tc>
      </w:tr>
      <w:tr>
        <w:tc>
          <w:tcPr>
            <w:tcW w:type="dxa" w:w="1944"/>
            <w:vAlign w:val="top"/>
          </w:tcPr>
          <w:p>
            <w:pPr>
              <w:spacing w:before="0" w:after="0" w:line="260" w:lineRule="auto"/>
            </w:pPr>
            <w:r>
              <w:rPr>
                <w:rFonts w:ascii="Calibri" w:hAnsi="Calibri"/>
                <w:sz w:val="13"/>
              </w:rPr>
              <w:t>endpoint_Roku</w:t>
            </w:r>
          </w:p>
        </w:tc>
        <w:tc>
          <w:tcPr>
            <w:tcW w:type="dxa" w:w="648"/>
            <w:vAlign w:val="top"/>
          </w:tcPr>
          <w:p>
            <w:pPr>
              <w:spacing w:before="0" w:after="0" w:line="260" w:lineRule="auto"/>
            </w:pPr>
            <w:r>
              <w:rPr>
                <w:rFonts w:ascii="Calibri" w:hAnsi="Calibri"/>
                <w:sz w:val="13"/>
              </w:rPr>
              <w:t>6</w:t>
            </w:r>
          </w:p>
        </w:tc>
        <w:tc>
          <w:tcPr>
            <w:tcW w:type="dxa" w:w="2088"/>
            <w:vAlign w:val="top"/>
          </w:tcPr>
          <w:p>
            <w:pPr>
              <w:spacing w:before="0" w:after="0" w:line="260" w:lineRule="auto"/>
            </w:pPr>
            <w:r>
              <w:rPr>
                <w:rFonts w:ascii="Calibri" w:hAnsi="Calibri"/>
                <w:sz w:val="13"/>
              </w:rPr>
              <w:t>Home screen publish selection</w:t>
            </w:r>
          </w:p>
        </w:tc>
        <w:tc>
          <w:tcPr>
            <w:tcW w:type="dxa" w:w="4320"/>
            <w:vAlign w:val="top"/>
          </w:tcPr>
          <w:p>
            <w:pPr>
              <w:spacing w:before="0" w:after="0" w:line="260" w:lineRule="auto"/>
            </w:pPr>
            <w:r>
              <w:rPr>
                <w:rFonts w:ascii="Calibri" w:hAnsi="Calibri"/>
                <w:sz w:val="13"/>
              </w:rPr>
              <w:t>Final pass fills selected endpoint fields with the selected publish kind. Unselected endpoints stay blank.</w:t>
            </w:r>
          </w:p>
        </w:tc>
        <w:tc>
          <w:tcPr>
            <w:tcW w:type="dxa" w:w="5472"/>
            <w:vAlign w:val="top"/>
          </w:tcPr>
          <w:p>
            <w:pPr>
              <w:spacing w:before="0" w:after="0" w:line="260" w:lineRule="auto"/>
            </w:pPr>
            <w:r>
              <w:rPr>
                <w:rFonts w:ascii="Calibri" w:hAnsi="Calibri"/>
                <w:sz w:val="13"/>
              </w:rPr>
              <w:t>Full Delivery, Full package replacement, Full Delete, Metadata Update</w:t>
            </w:r>
          </w:p>
        </w:tc>
      </w:tr>
      <w:tr>
        <w:tc>
          <w:tcPr>
            <w:tcW w:type="dxa" w:w="1944"/>
            <w:vAlign w:val="top"/>
          </w:tcPr>
          <w:p>
            <w:pPr>
              <w:spacing w:before="0" w:after="0" w:line="260" w:lineRule="auto"/>
            </w:pPr>
            <w:r>
              <w:rPr>
                <w:rFonts w:ascii="Calibri" w:hAnsi="Calibri"/>
                <w:sz w:val="13"/>
              </w:rPr>
              <w:t>endpoint_Frndly</w:t>
            </w:r>
          </w:p>
        </w:tc>
        <w:tc>
          <w:tcPr>
            <w:tcW w:type="dxa" w:w="648"/>
            <w:vAlign w:val="top"/>
          </w:tcPr>
          <w:p>
            <w:pPr>
              <w:spacing w:before="0" w:after="0" w:line="260" w:lineRule="auto"/>
            </w:pPr>
            <w:r>
              <w:rPr>
                <w:rFonts w:ascii="Calibri" w:hAnsi="Calibri"/>
                <w:sz w:val="13"/>
              </w:rPr>
              <w:t>6</w:t>
            </w:r>
          </w:p>
        </w:tc>
        <w:tc>
          <w:tcPr>
            <w:tcW w:type="dxa" w:w="2088"/>
            <w:vAlign w:val="top"/>
          </w:tcPr>
          <w:p>
            <w:pPr>
              <w:spacing w:before="0" w:after="0" w:line="260" w:lineRule="auto"/>
            </w:pPr>
            <w:r>
              <w:rPr>
                <w:rFonts w:ascii="Calibri" w:hAnsi="Calibri"/>
                <w:sz w:val="13"/>
              </w:rPr>
              <w:t>Home screen publish selection</w:t>
            </w:r>
          </w:p>
        </w:tc>
        <w:tc>
          <w:tcPr>
            <w:tcW w:type="dxa" w:w="4320"/>
            <w:vAlign w:val="top"/>
          </w:tcPr>
          <w:p>
            <w:pPr>
              <w:spacing w:before="0" w:after="0" w:line="260" w:lineRule="auto"/>
            </w:pPr>
            <w:r>
              <w:rPr>
                <w:rFonts w:ascii="Calibri" w:hAnsi="Calibri"/>
                <w:sz w:val="13"/>
              </w:rPr>
              <w:t>Final pass fills selected endpoint fields with the selected publish kind. Unselected endpoints stay blank.</w:t>
            </w:r>
          </w:p>
        </w:tc>
        <w:tc>
          <w:tcPr>
            <w:tcW w:type="dxa" w:w="5472"/>
            <w:vAlign w:val="top"/>
          </w:tcPr>
          <w:p>
            <w:pPr>
              <w:spacing w:before="0" w:after="0" w:line="260" w:lineRule="auto"/>
            </w:pPr>
            <w:r>
              <w:rPr>
                <w:rFonts w:ascii="Calibri" w:hAnsi="Calibri"/>
                <w:sz w:val="13"/>
              </w:rPr>
              <w:t>Full Delivery, Full package replacement, Full Delete, Metadata Update</w:t>
            </w:r>
          </w:p>
        </w:tc>
      </w:tr>
      <w:tr>
        <w:tc>
          <w:tcPr>
            <w:tcW w:type="dxa" w:w="1944"/>
            <w:vAlign w:val="top"/>
          </w:tcPr>
          <w:p>
            <w:pPr>
              <w:spacing w:before="0" w:after="0" w:line="260" w:lineRule="auto"/>
            </w:pPr>
            <w:r>
              <w:rPr>
                <w:rFonts w:ascii="Calibri" w:hAnsi="Calibri"/>
                <w:sz w:val="13"/>
              </w:rPr>
              <w:t>endpoint_YouTube</w:t>
            </w:r>
          </w:p>
        </w:tc>
        <w:tc>
          <w:tcPr>
            <w:tcW w:type="dxa" w:w="648"/>
            <w:vAlign w:val="top"/>
          </w:tcPr>
          <w:p>
            <w:pPr>
              <w:spacing w:before="0" w:after="0" w:line="260" w:lineRule="auto"/>
            </w:pPr>
            <w:r>
              <w:rPr>
                <w:rFonts w:ascii="Calibri" w:hAnsi="Calibri"/>
                <w:sz w:val="13"/>
              </w:rPr>
              <w:t>6</w:t>
            </w:r>
          </w:p>
        </w:tc>
        <w:tc>
          <w:tcPr>
            <w:tcW w:type="dxa" w:w="2088"/>
            <w:vAlign w:val="top"/>
          </w:tcPr>
          <w:p>
            <w:pPr>
              <w:spacing w:before="0" w:after="0" w:line="260" w:lineRule="auto"/>
            </w:pPr>
            <w:r>
              <w:rPr>
                <w:rFonts w:ascii="Calibri" w:hAnsi="Calibri"/>
                <w:sz w:val="13"/>
              </w:rPr>
              <w:t>Home screen publish selection</w:t>
            </w:r>
          </w:p>
        </w:tc>
        <w:tc>
          <w:tcPr>
            <w:tcW w:type="dxa" w:w="4320"/>
            <w:vAlign w:val="top"/>
          </w:tcPr>
          <w:p>
            <w:pPr>
              <w:spacing w:before="0" w:after="0" w:line="260" w:lineRule="auto"/>
            </w:pPr>
            <w:r>
              <w:rPr>
                <w:rFonts w:ascii="Calibri" w:hAnsi="Calibri"/>
                <w:sz w:val="13"/>
              </w:rPr>
              <w:t>Final pass fills selected endpoint fields with the selected publish kind. Unselected endpoints stay blank.</w:t>
            </w:r>
          </w:p>
        </w:tc>
        <w:tc>
          <w:tcPr>
            <w:tcW w:type="dxa" w:w="5472"/>
            <w:vAlign w:val="top"/>
          </w:tcPr>
          <w:p>
            <w:pPr>
              <w:spacing w:before="0" w:after="0" w:line="260" w:lineRule="auto"/>
            </w:pPr>
            <w:r>
              <w:rPr>
                <w:rFonts w:ascii="Calibri" w:hAnsi="Calibri"/>
                <w:sz w:val="13"/>
              </w:rPr>
              <w:t>Full Delivery, Full package replacement, Full Delete, Metadata Update</w:t>
            </w:r>
          </w:p>
        </w:tc>
      </w:tr>
      <w:tr>
        <w:tc>
          <w:tcPr>
            <w:tcW w:type="dxa" w:w="1944"/>
            <w:vAlign w:val="top"/>
          </w:tcPr>
          <w:p>
            <w:pPr>
              <w:spacing w:before="0" w:after="0" w:line="260" w:lineRule="auto"/>
            </w:pPr>
            <w:r>
              <w:rPr>
                <w:rFonts w:ascii="Calibri" w:hAnsi="Calibri"/>
                <w:sz w:val="13"/>
              </w:rPr>
              <w:t>endpoint_Truth</w:t>
            </w:r>
          </w:p>
        </w:tc>
        <w:tc>
          <w:tcPr>
            <w:tcW w:type="dxa" w:w="648"/>
            <w:vAlign w:val="top"/>
          </w:tcPr>
          <w:p>
            <w:pPr>
              <w:spacing w:before="0" w:after="0" w:line="260" w:lineRule="auto"/>
            </w:pPr>
            <w:r>
              <w:rPr>
                <w:rFonts w:ascii="Calibri" w:hAnsi="Calibri"/>
                <w:sz w:val="13"/>
              </w:rPr>
              <w:t>6</w:t>
            </w:r>
          </w:p>
        </w:tc>
        <w:tc>
          <w:tcPr>
            <w:tcW w:type="dxa" w:w="2088"/>
            <w:vAlign w:val="top"/>
          </w:tcPr>
          <w:p>
            <w:pPr>
              <w:spacing w:before="0" w:after="0" w:line="260" w:lineRule="auto"/>
            </w:pPr>
            <w:r>
              <w:rPr>
                <w:rFonts w:ascii="Calibri" w:hAnsi="Calibri"/>
                <w:sz w:val="13"/>
              </w:rPr>
              <w:t>Home screen publish selection</w:t>
            </w:r>
          </w:p>
        </w:tc>
        <w:tc>
          <w:tcPr>
            <w:tcW w:type="dxa" w:w="4320"/>
            <w:vAlign w:val="top"/>
          </w:tcPr>
          <w:p>
            <w:pPr>
              <w:spacing w:before="0" w:after="0" w:line="260" w:lineRule="auto"/>
            </w:pPr>
            <w:r>
              <w:rPr>
                <w:rFonts w:ascii="Calibri" w:hAnsi="Calibri"/>
                <w:sz w:val="13"/>
              </w:rPr>
              <w:t>Final pass fills selected endpoint fields with the selected publish kind. Unselected endpoints stay blank.</w:t>
            </w:r>
          </w:p>
        </w:tc>
        <w:tc>
          <w:tcPr>
            <w:tcW w:type="dxa" w:w="5472"/>
            <w:vAlign w:val="top"/>
          </w:tcPr>
          <w:p>
            <w:pPr>
              <w:spacing w:before="0" w:after="0" w:line="260" w:lineRule="auto"/>
            </w:pPr>
            <w:r>
              <w:rPr>
                <w:rFonts w:ascii="Calibri" w:hAnsi="Calibri"/>
                <w:sz w:val="13"/>
              </w:rPr>
              <w:t>Full Delivery, Full package replacement, Full Delete, Metadata Update</w:t>
            </w:r>
          </w:p>
        </w:tc>
      </w:tr>
      <w:tr>
        <w:tc>
          <w:tcPr>
            <w:tcW w:type="dxa" w:w="1944"/>
            <w:vAlign w:val="top"/>
          </w:tcPr>
          <w:p>
            <w:pPr>
              <w:spacing w:before="0" w:after="0" w:line="260" w:lineRule="auto"/>
            </w:pPr>
            <w:r>
              <w:rPr>
                <w:rFonts w:ascii="Calibri" w:hAnsi="Calibri"/>
                <w:sz w:val="13"/>
              </w:rPr>
              <w:t>assetVodStartDate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assetVodStartDate, asset vod start date, tvod start date, start, start date, window start, rights start, license start</w:t>
            </w:r>
          </w:p>
        </w:tc>
      </w:tr>
      <w:tr>
        <w:tc>
          <w:tcPr>
            <w:tcW w:type="dxa" w:w="1944"/>
            <w:vAlign w:val="top"/>
          </w:tcPr>
          <w:p>
            <w:pPr>
              <w:spacing w:before="0" w:after="0" w:line="260" w:lineRule="auto"/>
            </w:pPr>
            <w:r>
              <w:rPr>
                <w:rFonts w:ascii="Calibri" w:hAnsi="Calibri"/>
                <w:sz w:val="13"/>
              </w:rPr>
              <w:t>assetVodStartDate</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Direct Avails match overrides VOD dates. Parent series and season rows roll up earliest matched episode dates.</w:t>
            </w:r>
          </w:p>
        </w:tc>
        <w:tc>
          <w:tcPr>
            <w:tcW w:type="dxa" w:w="5472"/>
            <w:vAlign w:val="top"/>
          </w:tcPr>
          <w:p>
            <w:pPr>
              <w:spacing w:before="0" w:after="0" w:line="260" w:lineRule="auto"/>
            </w:pPr>
            <w:r>
              <w:rPr>
                <w:rFonts w:ascii="Calibri" w:hAnsi="Calibri"/>
                <w:sz w:val="13"/>
              </w:rPr>
              <w:t>ExternalReference, NewSku, CVP SKU, GUID, TMS, MediaGenix IDs, exact title, or WhatsOn VOD ID SKU/VOD ID SKU CVP to Avails ALID when Connector did not match</w:t>
            </w:r>
          </w:p>
        </w:tc>
      </w:tr>
      <w:tr>
        <w:tc>
          <w:tcPr>
            <w:tcW w:type="dxa" w:w="1944"/>
            <w:vAlign w:val="top"/>
          </w:tcPr>
          <w:p>
            <w:pPr>
              <w:spacing w:before="0" w:after="0" w:line="260" w:lineRule="auto"/>
            </w:pPr>
            <w:r>
              <w:rPr>
                <w:rFonts w:ascii="Calibri" w:hAnsi="Calibri"/>
                <w:sz w:val="13"/>
              </w:rPr>
              <w:t>assetVodEndDate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assetVodEndDate, asset vod end date, tvod end date, end, end date, window end, fixed end date, rights end, license end</w:t>
            </w:r>
          </w:p>
        </w:tc>
      </w:tr>
      <w:tr>
        <w:tc>
          <w:tcPr>
            <w:tcW w:type="dxa" w:w="1944"/>
            <w:vAlign w:val="top"/>
          </w:tcPr>
          <w:p>
            <w:pPr>
              <w:spacing w:before="0" w:after="0" w:line="260" w:lineRule="auto"/>
            </w:pPr>
            <w:r>
              <w:rPr>
                <w:rFonts w:ascii="Calibri" w:hAnsi="Calibri"/>
                <w:sz w:val="13"/>
              </w:rPr>
              <w:t>assetVodEndDate</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Direct Avails match overrides VOD dates. Parent series and season rows roll up earliest matched episode dates.</w:t>
            </w:r>
          </w:p>
        </w:tc>
        <w:tc>
          <w:tcPr>
            <w:tcW w:type="dxa" w:w="5472"/>
            <w:vAlign w:val="top"/>
          </w:tcPr>
          <w:p>
            <w:pPr>
              <w:spacing w:before="0" w:after="0" w:line="260" w:lineRule="auto"/>
            </w:pPr>
            <w:r>
              <w:rPr>
                <w:rFonts w:ascii="Calibri" w:hAnsi="Calibri"/>
                <w:sz w:val="13"/>
              </w:rPr>
              <w:t>ExternalReference, NewSku, CVP SKU, GUID, TMS, MediaGenix IDs, exact title, or WhatsOn VOD ID SKU/VOD ID SKU CVP to Avails ALID when Connector did not match</w:t>
            </w:r>
          </w:p>
        </w:tc>
      </w:tr>
      <w:tr>
        <w:tc>
          <w:tcPr>
            <w:tcW w:type="dxa" w:w="1944"/>
            <w:vAlign w:val="top"/>
          </w:tcPr>
          <w:p>
            <w:pPr>
              <w:spacing w:before="0" w:after="0" w:line="260" w:lineRule="auto"/>
            </w:pPr>
            <w:r>
              <w:rPr>
                <w:rFonts w:ascii="Calibri" w:hAnsi="Calibri"/>
                <w:sz w:val="13"/>
              </w:rPr>
              <w:t>contentType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Content type. Aliases checked: contentType, content type, work type, worktype, asset type, type</w:t>
            </w:r>
          </w:p>
        </w:tc>
      </w:tr>
      <w:tr>
        <w:tc>
          <w:tcPr>
            <w:tcW w:type="dxa" w:w="1944"/>
            <w:vAlign w:val="top"/>
          </w:tcPr>
          <w:p>
            <w:pPr>
              <w:spacing w:before="0" w:after="0" w:line="260" w:lineRule="auto"/>
            </w:pPr>
            <w:r>
              <w:rPr>
                <w:rFonts w:ascii="Calibri" w:hAnsi="Calibri"/>
                <w:sz w:val="13"/>
              </w:rPr>
              <w:t>contentType</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titleVod</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Title. Aliases checked: titleVod, title vod, title, whats on title, program title, movie title, episode title display unlimited, episode title internal alias, episode title</w:t>
            </w:r>
          </w:p>
        </w:tc>
      </w:tr>
      <w:tr>
        <w:tc>
          <w:tcPr>
            <w:tcW w:type="dxa" w:w="1944"/>
            <w:vAlign w:val="top"/>
          </w:tcPr>
          <w:p>
            <w:pPr>
              <w:spacing w:before="0" w:after="0" w:line="260" w:lineRule="auto"/>
            </w:pPr>
            <w:r>
              <w:rPr>
                <w:rFonts w:ascii="Calibri" w:hAnsi="Calibri"/>
                <w:sz w:val="13"/>
              </w:rPr>
              <w:t>titleVod</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titleSeries</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Parent series. Aliases checked: titleSeries, title series, series title, series name, parent series, series title display unlimited, series title internal alias</w:t>
            </w:r>
          </w:p>
        </w:tc>
      </w:tr>
      <w:tr>
        <w:tc>
          <w:tcPr>
            <w:tcW w:type="dxa" w:w="1944"/>
            <w:vAlign w:val="top"/>
          </w:tcPr>
          <w:p>
            <w:pPr>
              <w:spacing w:before="0" w:after="0" w:line="260" w:lineRule="auto"/>
            </w:pPr>
            <w:r>
              <w:rPr>
                <w:rFonts w:ascii="Calibri" w:hAnsi="Calibri"/>
                <w:sz w:val="13"/>
              </w:rPr>
              <w:t>titleEpisode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titleEpisode, title episode, episode title, episode name, episode title display, episode title display unlimited, episode title internal alias</w:t>
            </w:r>
          </w:p>
        </w:tc>
      </w:tr>
      <w:tr>
        <w:tc>
          <w:tcPr>
            <w:tcW w:type="dxa" w:w="1944"/>
            <w:vAlign w:val="top"/>
          </w:tcPr>
          <w:p>
            <w:pPr>
              <w:spacing w:before="0" w:after="0" w:line="260" w:lineRule="auto"/>
            </w:pPr>
            <w:r>
              <w:rPr>
                <w:rFonts w:ascii="Calibri" w:hAnsi="Calibri"/>
                <w:sz w:val="13"/>
              </w:rPr>
              <w:t>seasonNumber</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Season. Aliases checked: seasonNumber, season number, season, seasonnumber</w:t>
            </w:r>
          </w:p>
        </w:tc>
      </w:tr>
      <w:tr>
        <w:tc>
          <w:tcPr>
            <w:tcW w:type="dxa" w:w="1944"/>
            <w:vAlign w:val="top"/>
          </w:tcPr>
          <w:p>
            <w:pPr>
              <w:spacing w:before="0" w:after="0" w:line="260" w:lineRule="auto"/>
            </w:pPr>
            <w:r>
              <w:rPr>
                <w:rFonts w:ascii="Calibri" w:hAnsi="Calibri"/>
                <w:sz w:val="13"/>
              </w:rPr>
              <w:t>seasonNumber</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seasonNumber</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episodeAirOrder</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Episode #. Aliases checked: episodeAirOrder, episode air order, episode number, episode #, episode, distribution number, episodenumber</w:t>
            </w:r>
          </w:p>
        </w:tc>
      </w:tr>
      <w:tr>
        <w:tc>
          <w:tcPr>
            <w:tcW w:type="dxa" w:w="1944"/>
            <w:vAlign w:val="top"/>
          </w:tcPr>
          <w:p>
            <w:pPr>
              <w:spacing w:before="0" w:after="0" w:line="260" w:lineRule="auto"/>
            </w:pPr>
            <w:r>
              <w:rPr>
                <w:rFonts w:ascii="Calibri" w:hAnsi="Calibri"/>
                <w:sz w:val="13"/>
              </w:rPr>
              <w:t>episodeAirOrder</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IdGUID</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MPX GUID. Aliases checked: IdGUID, id guid, guid, global id, uuid, mpx guid</w:t>
            </w:r>
          </w:p>
        </w:tc>
      </w:tr>
      <w:tr>
        <w:tc>
          <w:tcPr>
            <w:tcW w:type="dxa" w:w="1944"/>
            <w:vAlign w:val="top"/>
          </w:tcPr>
          <w:p>
            <w:pPr>
              <w:spacing w:before="0" w:after="0" w:line="260" w:lineRule="auto"/>
            </w:pPr>
            <w:r>
              <w:rPr>
                <w:rFonts w:ascii="Calibri" w:hAnsi="Calibri"/>
                <w:sz w:val="13"/>
              </w:rPr>
              <w:t>IdGUID</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IdGUID</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idSku</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VOD ID SKU. Aliases checked: idSku, id sku, vod id sku, newsku, new sku</w:t>
            </w:r>
          </w:p>
        </w:tc>
      </w:tr>
      <w:tr>
        <w:tc>
          <w:tcPr>
            <w:tcW w:type="dxa" w:w="1944"/>
            <w:vAlign w:val="top"/>
          </w:tcPr>
          <w:p>
            <w:pPr>
              <w:spacing w:before="0" w:after="0" w:line="260" w:lineRule="auto"/>
            </w:pPr>
            <w:r>
              <w:rPr>
                <w:rFonts w:ascii="Calibri" w:hAnsi="Calibri"/>
                <w:sz w:val="13"/>
              </w:rPr>
              <w:t>idSku</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Fills blank SKU fields after WhatsOn and before CVP.</w:t>
            </w:r>
          </w:p>
        </w:tc>
        <w:tc>
          <w:tcPr>
            <w:tcW w:type="dxa" w:w="5472"/>
            <w:vAlign w:val="top"/>
          </w:tcPr>
          <w:p>
            <w:pPr>
              <w:spacing w:before="0" w:after="0" w:line="260" w:lineRule="auto"/>
            </w:pPr>
            <w:r>
              <w:rPr>
                <w:rFonts w:ascii="Calibri" w:hAnsi="Calibri"/>
                <w:sz w:val="13"/>
              </w:rPr>
              <w:t>NewSku, New SKU</w:t>
            </w:r>
          </w:p>
        </w:tc>
      </w:tr>
      <w:tr>
        <w:tc>
          <w:tcPr>
            <w:tcW w:type="dxa" w:w="1944"/>
            <w:vAlign w:val="top"/>
          </w:tcPr>
          <w:p>
            <w:pPr>
              <w:spacing w:before="0" w:after="0" w:line="260" w:lineRule="auto"/>
            </w:pPr>
            <w:r>
              <w:rPr>
                <w:rFonts w:ascii="Calibri" w:hAnsi="Calibri"/>
                <w:sz w:val="13"/>
              </w:rPr>
              <w:t>idSku</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idSku</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idSku</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New SKU.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idSku_CVP</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VOD ID SKU CVP. Aliases checked: idSku_CVP, id sku cvp, vod id sku cvp, cvp sku, content id</w:t>
            </w:r>
          </w:p>
        </w:tc>
      </w:tr>
      <w:tr>
        <w:tc>
          <w:tcPr>
            <w:tcW w:type="dxa" w:w="1944"/>
            <w:vAlign w:val="top"/>
          </w:tcPr>
          <w:p>
            <w:pPr>
              <w:spacing w:before="0" w:after="0" w:line="260" w:lineRule="auto"/>
            </w:pPr>
            <w:r>
              <w:rPr>
                <w:rFonts w:ascii="Calibri" w:hAnsi="Calibri"/>
                <w:sz w:val="13"/>
              </w:rPr>
              <w:t>idSku_CVP</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Fills blank SKU fields after WhatsOn and before CVP.</w:t>
            </w:r>
          </w:p>
        </w:tc>
        <w:tc>
          <w:tcPr>
            <w:tcW w:type="dxa" w:w="5472"/>
            <w:vAlign w:val="top"/>
          </w:tcPr>
          <w:p>
            <w:pPr>
              <w:spacing w:before="0" w:after="0" w:line="260" w:lineRule="auto"/>
            </w:pPr>
            <w:r>
              <w:rPr>
                <w:rFonts w:ascii="Calibri" w:hAnsi="Calibri"/>
                <w:sz w:val="13"/>
              </w:rPr>
              <w:t>ContentID, EpisodeContentID, Episode ContentID, CVP_SKU, CVP SKU</w:t>
            </w:r>
          </w:p>
        </w:tc>
      </w:tr>
      <w:tr>
        <w:tc>
          <w:tcPr>
            <w:tcW w:type="dxa" w:w="1944"/>
            <w:vAlign w:val="top"/>
          </w:tcPr>
          <w:p>
            <w:pPr>
              <w:spacing w:before="0" w:after="0" w:line="260" w:lineRule="auto"/>
            </w:pPr>
            <w:r>
              <w:rPr>
                <w:rFonts w:ascii="Calibri" w:hAnsi="Calibri"/>
                <w:sz w:val="13"/>
              </w:rPr>
              <w:t>idSku_CVP</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idSku_CVP</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vodSeriesId (SKU)</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vodSeriesId (SKU), series newsku, series new sku, parentseriesmediaid</w:t>
            </w:r>
          </w:p>
        </w:tc>
      </w:tr>
      <w:tr>
        <w:tc>
          <w:tcPr>
            <w:tcW w:type="dxa" w:w="1944"/>
            <w:vAlign w:val="top"/>
          </w:tcPr>
          <w:p>
            <w:pPr>
              <w:spacing w:before="0" w:after="0" w:line="260" w:lineRule="auto"/>
            </w:pPr>
            <w:r>
              <w:rPr>
                <w:rFonts w:ascii="Calibri" w:hAnsi="Calibri"/>
                <w:sz w:val="13"/>
              </w:rPr>
              <w:t>vodSeriesId (SKU)</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Fills blank SKU fields after WhatsOn and before CVP.</w:t>
            </w:r>
          </w:p>
        </w:tc>
        <w:tc>
          <w:tcPr>
            <w:tcW w:type="dxa" w:w="5472"/>
            <w:vAlign w:val="top"/>
          </w:tcPr>
          <w:p>
            <w:pPr>
              <w:spacing w:before="0" w:after="0" w:line="260" w:lineRule="auto"/>
            </w:pPr>
            <w:r>
              <w:rPr>
                <w:rFonts w:ascii="Calibri" w:hAnsi="Calibri"/>
                <w:sz w:val="13"/>
              </w:rPr>
              <w:t>Series NewSku, Series New SKU, ParentSeriesMediaID, SeriesAltID, Series Alt ID</w:t>
            </w:r>
          </w:p>
        </w:tc>
      </w:tr>
      <w:tr>
        <w:tc>
          <w:tcPr>
            <w:tcW w:type="dxa" w:w="1944"/>
            <w:vAlign w:val="top"/>
          </w:tcPr>
          <w:p>
            <w:pPr>
              <w:spacing w:before="0" w:after="0" w:line="260" w:lineRule="auto"/>
            </w:pPr>
            <w:r>
              <w:rPr>
                <w:rFonts w:ascii="Calibri" w:hAnsi="Calibri"/>
                <w:sz w:val="13"/>
              </w:rPr>
              <w:t>vodSeriesId (SKU)</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vodSeriesId (SKU)_CVP</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vodSeriesId (SKU)_CVP, vod series id cvp, series cvp sku, series content id, cvp series id</w:t>
            </w:r>
          </w:p>
        </w:tc>
      </w:tr>
      <w:tr>
        <w:tc>
          <w:tcPr>
            <w:tcW w:type="dxa" w:w="1944"/>
            <w:vAlign w:val="top"/>
          </w:tcPr>
          <w:p>
            <w:pPr>
              <w:spacing w:before="0" w:after="0" w:line="260" w:lineRule="auto"/>
            </w:pPr>
            <w:r>
              <w:rPr>
                <w:rFonts w:ascii="Calibri" w:hAnsi="Calibri"/>
                <w:sz w:val="13"/>
              </w:rPr>
              <w:t>vodSeriesId (SKU)_CVP</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Fills blank SKU fields after WhatsOn and before CVP.</w:t>
            </w:r>
          </w:p>
        </w:tc>
        <w:tc>
          <w:tcPr>
            <w:tcW w:type="dxa" w:w="5472"/>
            <w:vAlign w:val="top"/>
          </w:tcPr>
          <w:p>
            <w:pPr>
              <w:spacing w:before="0" w:after="0" w:line="260" w:lineRule="auto"/>
            </w:pPr>
            <w:r>
              <w:rPr>
                <w:rFonts w:ascii="Calibri" w:hAnsi="Calibri"/>
                <w:sz w:val="13"/>
              </w:rPr>
              <w:t>vodSeriesId (SKU)_CVP, Series ContentID, Series CVP_SKU, Series CVP SKU, CVP Series ID, SeriesAltID, Series Alt ID</w:t>
            </w:r>
          </w:p>
        </w:tc>
      </w:tr>
      <w:tr>
        <w:tc>
          <w:tcPr>
            <w:tcW w:type="dxa" w:w="1944"/>
            <w:vAlign w:val="top"/>
          </w:tcPr>
          <w:p>
            <w:pPr>
              <w:spacing w:before="0" w:after="0" w:line="260" w:lineRule="auto"/>
            </w:pPr>
            <w:r>
              <w:rPr>
                <w:rFonts w:ascii="Calibri" w:hAnsi="Calibri"/>
                <w:sz w:val="13"/>
              </w:rPr>
              <w:t>vodSeriesId (SKU)_CVP</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vodSeriesId (SKU)_CVP</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vodSeasonId (SKU)</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vodSeasonId (SKU), season newsku, season new sku</w:t>
            </w:r>
          </w:p>
        </w:tc>
      </w:tr>
      <w:tr>
        <w:tc>
          <w:tcPr>
            <w:tcW w:type="dxa" w:w="1944"/>
            <w:vAlign w:val="top"/>
          </w:tcPr>
          <w:p>
            <w:pPr>
              <w:spacing w:before="0" w:after="0" w:line="260" w:lineRule="auto"/>
            </w:pPr>
            <w:r>
              <w:rPr>
                <w:rFonts w:ascii="Calibri" w:hAnsi="Calibri"/>
                <w:sz w:val="13"/>
              </w:rPr>
              <w:t>vodSeasonId (SKU)</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Fills blank SKU fields after WhatsOn and before CVP.</w:t>
            </w:r>
          </w:p>
        </w:tc>
        <w:tc>
          <w:tcPr>
            <w:tcW w:type="dxa" w:w="5472"/>
            <w:vAlign w:val="top"/>
          </w:tcPr>
          <w:p>
            <w:pPr>
              <w:spacing w:before="0" w:after="0" w:line="260" w:lineRule="auto"/>
            </w:pPr>
            <w:r>
              <w:rPr>
                <w:rFonts w:ascii="Calibri" w:hAnsi="Calibri"/>
                <w:sz w:val="13"/>
              </w:rPr>
              <w:t>Season NewSku, Season New SKU, SeasonAltID, Season Alt ID</w:t>
            </w:r>
          </w:p>
        </w:tc>
      </w:tr>
      <w:tr>
        <w:tc>
          <w:tcPr>
            <w:tcW w:type="dxa" w:w="1944"/>
            <w:vAlign w:val="top"/>
          </w:tcPr>
          <w:p>
            <w:pPr>
              <w:spacing w:before="0" w:after="0" w:line="260" w:lineRule="auto"/>
            </w:pPr>
            <w:r>
              <w:rPr>
                <w:rFonts w:ascii="Calibri" w:hAnsi="Calibri"/>
                <w:sz w:val="13"/>
              </w:rPr>
              <w:t>vodSeasonId (SKU)</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vodSeasonId (SKU)_CVP</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vodSeasonId (SKU)_CVP, vod season id cvp, season cvp sku, season content id, cvp season id</w:t>
            </w:r>
          </w:p>
        </w:tc>
      </w:tr>
      <w:tr>
        <w:tc>
          <w:tcPr>
            <w:tcW w:type="dxa" w:w="1944"/>
            <w:vAlign w:val="top"/>
          </w:tcPr>
          <w:p>
            <w:pPr>
              <w:spacing w:before="0" w:after="0" w:line="260" w:lineRule="auto"/>
            </w:pPr>
            <w:r>
              <w:rPr>
                <w:rFonts w:ascii="Calibri" w:hAnsi="Calibri"/>
                <w:sz w:val="13"/>
              </w:rPr>
              <w:t>vodSeasonId (SKU)_CVP</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Fills blank SKU fields after WhatsOn and before CVP.</w:t>
            </w:r>
          </w:p>
        </w:tc>
        <w:tc>
          <w:tcPr>
            <w:tcW w:type="dxa" w:w="5472"/>
            <w:vAlign w:val="top"/>
          </w:tcPr>
          <w:p>
            <w:pPr>
              <w:spacing w:before="0" w:after="0" w:line="260" w:lineRule="auto"/>
            </w:pPr>
            <w:r>
              <w:rPr>
                <w:rFonts w:ascii="Calibri" w:hAnsi="Calibri"/>
                <w:sz w:val="13"/>
              </w:rPr>
              <w:t>vodSeasonId (SKU)_CVP, Season ContentID, Season CVP_SKU, Season CVP SKU, CVP Season ID, SeasonAltID, Season Alt ID</w:t>
            </w:r>
          </w:p>
        </w:tc>
      </w:tr>
      <w:tr>
        <w:tc>
          <w:tcPr>
            <w:tcW w:type="dxa" w:w="1944"/>
            <w:vAlign w:val="top"/>
          </w:tcPr>
          <w:p>
            <w:pPr>
              <w:spacing w:before="0" w:after="0" w:line="260" w:lineRule="auto"/>
            </w:pPr>
            <w:r>
              <w:rPr>
                <w:rFonts w:ascii="Calibri" w:hAnsi="Calibri"/>
                <w:sz w:val="13"/>
              </w:rPr>
              <w:t>vodSeasonId (SKU)_CVP</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vodSeasonId (SKU)_CVP</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idTMS</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idTMS, id tms, tms id, tmsnumber, tms number</w:t>
            </w:r>
          </w:p>
        </w:tc>
      </w:tr>
      <w:tr>
        <w:tc>
          <w:tcPr>
            <w:tcW w:type="dxa" w:w="1944"/>
            <w:vAlign w:val="top"/>
          </w:tcPr>
          <w:p>
            <w:pPr>
              <w:spacing w:before="0" w:after="0" w:line="260" w:lineRule="auto"/>
            </w:pPr>
            <w:r>
              <w:rPr>
                <w:rFonts w:ascii="Calibri" w:hAnsi="Calibri"/>
                <w:sz w:val="13"/>
              </w:rPr>
              <w:t>idTMS</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Overrides with tab-specific Avails retailer IDs. Season rows stay blank.</w:t>
            </w:r>
          </w:p>
        </w:tc>
        <w:tc>
          <w:tcPr>
            <w:tcW w:type="dxa" w:w="5472"/>
            <w:vAlign w:val="top"/>
          </w:tcPr>
          <w:p>
            <w:pPr>
              <w:spacing w:before="0" w:after="0" w:line="260" w:lineRule="auto"/>
            </w:pPr>
            <w:r>
              <w:rPr>
                <w:rFonts w:ascii="Calibri" w:hAnsi="Calibri"/>
                <w:sz w:val="13"/>
              </w:rPr>
              <w:t>Movies!RetailerID1, TV!RetailerEpisodeID1, TV!RetailerSeriesID</w:t>
            </w:r>
          </w:p>
        </w:tc>
      </w:tr>
      <w:tr>
        <w:tc>
          <w:tcPr>
            <w:tcW w:type="dxa" w:w="1944"/>
            <w:vAlign w:val="top"/>
          </w:tcPr>
          <w:p>
            <w:pPr>
              <w:spacing w:before="0" w:after="0" w:line="260" w:lineRule="auto"/>
            </w:pPr>
            <w:r>
              <w:rPr>
                <w:rFonts w:ascii="Calibri" w:hAnsi="Calibri"/>
                <w:sz w:val="13"/>
              </w:rPr>
              <w:t>idTMS</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idTMS_series</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idTMS_series, id tms series, series tms id</w:t>
            </w:r>
          </w:p>
        </w:tc>
      </w:tr>
      <w:tr>
        <w:tc>
          <w:tcPr>
            <w:tcW w:type="dxa" w:w="1944"/>
            <w:vAlign w:val="top"/>
          </w:tcPr>
          <w:p>
            <w:pPr>
              <w:spacing w:before="0" w:after="0" w:line="260" w:lineRule="auto"/>
            </w:pPr>
            <w:r>
              <w:rPr>
                <w:rFonts w:ascii="Calibri" w:hAnsi="Calibri"/>
                <w:sz w:val="13"/>
              </w:rPr>
              <w:t>idTMS_series</w:t>
            </w:r>
          </w:p>
        </w:tc>
        <w:tc>
          <w:tcPr>
            <w:tcW w:type="dxa" w:w="648"/>
            <w:vAlign w:val="top"/>
          </w:tcPr>
          <w:p>
            <w:pPr>
              <w:spacing w:before="0" w:after="0" w:line="260" w:lineRule="auto"/>
            </w:pPr>
            <w:r>
              <w:rPr>
                <w:rFonts w:ascii="Calibri" w:hAnsi="Calibri"/>
                <w:sz w:val="13"/>
              </w:rPr>
              <w:t>2</w:t>
            </w:r>
          </w:p>
        </w:tc>
        <w:tc>
          <w:tcPr>
            <w:tcW w:type="dxa" w:w="2088"/>
            <w:vAlign w:val="top"/>
          </w:tcPr>
          <w:p>
            <w:pPr>
              <w:spacing w:before="0" w:after="0" w:line="260" w:lineRule="auto"/>
            </w:pPr>
            <w:r>
              <w:rPr>
                <w:rFonts w:ascii="Calibri" w:hAnsi="Calibri"/>
                <w:sz w:val="13"/>
              </w:rPr>
              <w:t>Avails input</w:t>
            </w:r>
          </w:p>
        </w:tc>
        <w:tc>
          <w:tcPr>
            <w:tcW w:type="dxa" w:w="4320"/>
            <w:vAlign w:val="top"/>
          </w:tcPr>
          <w:p>
            <w:pPr>
              <w:spacing w:before="0" w:after="0" w:line="260" w:lineRule="auto"/>
            </w:pPr>
            <w:r>
              <w:rPr>
                <w:rFonts w:ascii="Calibri" w:hAnsi="Calibri"/>
                <w:sz w:val="13"/>
              </w:rPr>
              <w:t>Overrides episode and series/show rows from TV-tab series retailer IDs.</w:t>
            </w:r>
          </w:p>
        </w:tc>
        <w:tc>
          <w:tcPr>
            <w:tcW w:type="dxa" w:w="5472"/>
            <w:vAlign w:val="top"/>
          </w:tcPr>
          <w:p>
            <w:pPr>
              <w:spacing w:before="0" w:after="0" w:line="260" w:lineRule="auto"/>
            </w:pPr>
            <w:r>
              <w:rPr>
                <w:rFonts w:ascii="Calibri" w:hAnsi="Calibri"/>
                <w:sz w:val="13"/>
              </w:rPr>
              <w:t>TV!RetailerSeriesID</w:t>
            </w:r>
          </w:p>
        </w:tc>
      </w:tr>
      <w:tr>
        <w:tc>
          <w:tcPr>
            <w:tcW w:type="dxa" w:w="1944"/>
            <w:vAlign w:val="top"/>
          </w:tcPr>
          <w:p>
            <w:pPr>
              <w:spacing w:before="0" w:after="0" w:line="260" w:lineRule="auto"/>
            </w:pPr>
            <w:r>
              <w:rPr>
                <w:rFonts w:ascii="Calibri" w:hAnsi="Calibri"/>
                <w:sz w:val="13"/>
              </w:rPr>
              <w:t>descriptionLong</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Listing Description. Aliases checked: descriptionLong, description long, long description, long description printed press, listing description, description, synopsis</w:t>
            </w:r>
          </w:p>
        </w:tc>
      </w:tr>
      <w:tr>
        <w:tc>
          <w:tcPr>
            <w:tcW w:type="dxa" w:w="1944"/>
            <w:vAlign w:val="top"/>
          </w:tcPr>
          <w:p>
            <w:pPr>
              <w:spacing w:before="0" w:after="0" w:line="260" w:lineRule="auto"/>
            </w:pPr>
            <w:r>
              <w:rPr>
                <w:rFonts w:ascii="Calibri" w:hAnsi="Calibri"/>
                <w:sz w:val="13"/>
              </w:rPr>
              <w:t>descriptionLong</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descriptionLong</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descriptionLong</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Short Description [110 Characters].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descriptionMedium</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Listing Description. Aliases checked: descriptionMedium, description medium, medium description, listing description, description</w:t>
            </w:r>
          </w:p>
        </w:tc>
      </w:tr>
      <w:tr>
        <w:tc>
          <w:tcPr>
            <w:tcW w:type="dxa" w:w="1944"/>
            <w:vAlign w:val="top"/>
          </w:tcPr>
          <w:p>
            <w:pPr>
              <w:spacing w:before="0" w:after="0" w:line="260" w:lineRule="auto"/>
            </w:pPr>
            <w:r>
              <w:rPr>
                <w:rFonts w:ascii="Calibri" w:hAnsi="Calibri"/>
                <w:sz w:val="13"/>
              </w:rPr>
              <w:t>descriptionMedium</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descriptionMedium</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Short Description [110 Characters].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descriptionShort</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Listing Description. Aliases checked: descriptionShort, description short, listing description, short synopsis</w:t>
            </w:r>
          </w:p>
        </w:tc>
      </w:tr>
      <w:tr>
        <w:tc>
          <w:tcPr>
            <w:tcW w:type="dxa" w:w="1944"/>
            <w:vAlign w:val="top"/>
          </w:tcPr>
          <w:p>
            <w:pPr>
              <w:spacing w:before="0" w:after="0" w:line="260" w:lineRule="auto"/>
            </w:pPr>
            <w:r>
              <w:rPr>
                <w:rFonts w:ascii="Calibri" w:hAnsi="Calibri"/>
                <w:sz w:val="13"/>
              </w:rPr>
              <w:t>descriptionShort</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Preferred over mapped values only when CVP Short Description is 150 characters or less. Longer CVP values fill blanks only and are reported in warnings.</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descriptionShort</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Short Description [110 Characters].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descriptionSeason</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Additional Description 2, Short description. Aliases checked: descriptionSeason, description season, season description, short description, additional description 2</w:t>
            </w:r>
          </w:p>
        </w:tc>
      </w:tr>
      <w:tr>
        <w:tc>
          <w:tcPr>
            <w:tcW w:type="dxa" w:w="1944"/>
            <w:vAlign w:val="top"/>
          </w:tcPr>
          <w:p>
            <w:pPr>
              <w:spacing w:before="0" w:after="0" w:line="260" w:lineRule="auto"/>
            </w:pPr>
            <w:r>
              <w:rPr>
                <w:rFonts w:ascii="Calibri" w:hAnsi="Calibri"/>
                <w:sz w:val="13"/>
              </w:rPr>
              <w:t>descriptionSeason</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descriptionSeason</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Matched parent season Short Description [110 Characters].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descriptionSeries</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Short description. Aliases checked: descriptionSeries, description series, series description, short description</w:t>
            </w:r>
          </w:p>
        </w:tc>
      </w:tr>
      <w:tr>
        <w:tc>
          <w:tcPr>
            <w:tcW w:type="dxa" w:w="1944"/>
            <w:vAlign w:val="top"/>
          </w:tcPr>
          <w:p>
            <w:pPr>
              <w:spacing w:before="0" w:after="0" w:line="260" w:lineRule="auto"/>
            </w:pPr>
            <w:r>
              <w:rPr>
                <w:rFonts w:ascii="Calibri" w:hAnsi="Calibri"/>
                <w:sz w:val="13"/>
              </w:rPr>
              <w:t>descriptionSeries</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descriptionSeries</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Matched parent series Short Description [110 Characters].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studio</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Production company. Aliases checked: studio, recording studio, company display credit, company, production company</w:t>
            </w:r>
          </w:p>
        </w:tc>
      </w:tr>
      <w:tr>
        <w:tc>
          <w:tcPr>
            <w:tcW w:type="dxa" w:w="1944"/>
            <w:vAlign w:val="top"/>
          </w:tcPr>
          <w:p>
            <w:pPr>
              <w:spacing w:before="0" w:after="0" w:line="260" w:lineRule="auto"/>
            </w:pPr>
            <w:r>
              <w:rPr>
                <w:rFonts w:ascii="Calibri" w:hAnsi="Calibri"/>
                <w:sz w:val="13"/>
              </w:rPr>
              <w:t>studio</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studio</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studio</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Provider.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productionCompany</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Production company. Aliases checked: productionCompany, production company, productioncompany</w:t>
            </w:r>
          </w:p>
        </w:tc>
      </w:tr>
      <w:tr>
        <w:tc>
          <w:tcPr>
            <w:tcW w:type="dxa" w:w="1944"/>
            <w:vAlign w:val="top"/>
          </w:tcPr>
          <w:p>
            <w:pPr>
              <w:spacing w:before="0" w:after="0" w:line="260" w:lineRule="auto"/>
            </w:pPr>
            <w:r>
              <w:rPr>
                <w:rFonts w:ascii="Calibri" w:hAnsi="Calibri"/>
                <w:sz w:val="13"/>
              </w:rPr>
              <w:t>productionCompany</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productionCompany</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Provider.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countryOrigin</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Production regions. Aliases checked: countryOrigin, country origin, country of origin, origin country, production regions</w:t>
            </w:r>
          </w:p>
        </w:tc>
      </w:tr>
      <w:tr>
        <w:tc>
          <w:tcPr>
            <w:tcW w:type="dxa" w:w="1944"/>
            <w:vAlign w:val="top"/>
          </w:tcPr>
          <w:p>
            <w:pPr>
              <w:spacing w:before="0" w:after="0" w:line="260" w:lineRule="auto"/>
            </w:pPr>
            <w:r>
              <w:rPr>
                <w:rFonts w:ascii="Calibri" w:hAnsi="Calibri"/>
                <w:sz w:val="13"/>
              </w:rPr>
              <w:t>countryOrigin</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countryOrigin</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Country of Origin.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actorName1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actorName1, actor name 1, actor 1, cast 1, principal cast 1</w:t>
            </w:r>
          </w:p>
        </w:tc>
      </w:tr>
      <w:tr>
        <w:tc>
          <w:tcPr>
            <w:tcW w:type="dxa" w:w="1944"/>
            <w:vAlign w:val="top"/>
          </w:tcPr>
          <w:p>
            <w:pPr>
              <w:spacing w:before="0" w:after="0" w:line="260" w:lineRule="auto"/>
            </w:pPr>
            <w:r>
              <w:rPr>
                <w:rFonts w:ascii="Calibri" w:hAnsi="Calibri"/>
                <w:sz w:val="13"/>
              </w:rPr>
              <w:t>actorName1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Uses comma-separated Cast (sorted) value 1; only the first four cast names are used.</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actorName1</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actorName1</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Narrator, 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actorOrder1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actorOrder1</w:t>
            </w:r>
          </w:p>
        </w:tc>
      </w:tr>
      <w:tr>
        <w:tc>
          <w:tcPr>
            <w:tcW w:type="dxa" w:w="1944"/>
            <w:vAlign w:val="top"/>
          </w:tcPr>
          <w:p>
            <w:pPr>
              <w:spacing w:before="0" w:after="0" w:line="260" w:lineRule="auto"/>
            </w:pPr>
            <w:r>
              <w:rPr>
                <w:rFonts w:ascii="Calibri" w:hAnsi="Calibri"/>
                <w:sz w:val="13"/>
              </w:rPr>
              <w:t>actorOrder1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Fills 1 when actorName1 is populated from the comma-separated Cast (sorted) value.</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actorOrder1</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actorOrder1</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Narrator, 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actorName2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actorName2, actor name 2, actor 2, cast 2, principal cast 2</w:t>
            </w:r>
          </w:p>
        </w:tc>
      </w:tr>
      <w:tr>
        <w:tc>
          <w:tcPr>
            <w:tcW w:type="dxa" w:w="1944"/>
            <w:vAlign w:val="top"/>
          </w:tcPr>
          <w:p>
            <w:pPr>
              <w:spacing w:before="0" w:after="0" w:line="260" w:lineRule="auto"/>
            </w:pPr>
            <w:r>
              <w:rPr>
                <w:rFonts w:ascii="Calibri" w:hAnsi="Calibri"/>
                <w:sz w:val="13"/>
              </w:rPr>
              <w:t>actorName2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Uses comma-separated Cast (sorted) value 2; only the first four cast names are used.</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actorName2</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actorName2</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actorOrder2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actorOrder2</w:t>
            </w:r>
          </w:p>
        </w:tc>
      </w:tr>
      <w:tr>
        <w:tc>
          <w:tcPr>
            <w:tcW w:type="dxa" w:w="1944"/>
            <w:vAlign w:val="top"/>
          </w:tcPr>
          <w:p>
            <w:pPr>
              <w:spacing w:before="0" w:after="0" w:line="260" w:lineRule="auto"/>
            </w:pPr>
            <w:r>
              <w:rPr>
                <w:rFonts w:ascii="Calibri" w:hAnsi="Calibri"/>
                <w:sz w:val="13"/>
              </w:rPr>
              <w:t>actorOrder2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Fills 2 when actorName2 is populated from the comma-separated Cast (sorted) value.</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actorOrder2</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actorOrder2</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actorName3</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actorName3, actor name 3, actor 3, cast 3, principal cast 3</w:t>
            </w:r>
          </w:p>
        </w:tc>
      </w:tr>
      <w:tr>
        <w:tc>
          <w:tcPr>
            <w:tcW w:type="dxa" w:w="1944"/>
            <w:vAlign w:val="top"/>
          </w:tcPr>
          <w:p>
            <w:pPr>
              <w:spacing w:before="0" w:after="0" w:line="260" w:lineRule="auto"/>
            </w:pPr>
            <w:r>
              <w:rPr>
                <w:rFonts w:ascii="Calibri" w:hAnsi="Calibri"/>
                <w:sz w:val="13"/>
              </w:rPr>
              <w:t>actorName3</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Uses comma-separated Cast (sorted) value 3; only the first four cast names are used.</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actorName3</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actorName3</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actorOrder3</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actorOrder3</w:t>
            </w:r>
          </w:p>
        </w:tc>
      </w:tr>
      <w:tr>
        <w:tc>
          <w:tcPr>
            <w:tcW w:type="dxa" w:w="1944"/>
            <w:vAlign w:val="top"/>
          </w:tcPr>
          <w:p>
            <w:pPr>
              <w:spacing w:before="0" w:after="0" w:line="260" w:lineRule="auto"/>
            </w:pPr>
            <w:r>
              <w:rPr>
                <w:rFonts w:ascii="Calibri" w:hAnsi="Calibri"/>
                <w:sz w:val="13"/>
              </w:rPr>
              <w:t>actorOrder3</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Fills 3 when actorName3 is populated from the comma-separated Cast (sorted) value.</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actorOrder3</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actorOrder3</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actorName4</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actorName4, actor name 4, actor 4, cast 4, principal cast 4</w:t>
            </w:r>
          </w:p>
        </w:tc>
      </w:tr>
      <w:tr>
        <w:tc>
          <w:tcPr>
            <w:tcW w:type="dxa" w:w="1944"/>
            <w:vAlign w:val="top"/>
          </w:tcPr>
          <w:p>
            <w:pPr>
              <w:spacing w:before="0" w:after="0" w:line="260" w:lineRule="auto"/>
            </w:pPr>
            <w:r>
              <w:rPr>
                <w:rFonts w:ascii="Calibri" w:hAnsi="Calibri"/>
                <w:sz w:val="13"/>
              </w:rPr>
              <w:t>actorName4</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Uses comma-separated Cast (sorted) value 4; only the first four cast names are used.</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actorName4</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actorName4</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actorOrder4</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actorOrder4</w:t>
            </w:r>
          </w:p>
        </w:tc>
      </w:tr>
      <w:tr>
        <w:tc>
          <w:tcPr>
            <w:tcW w:type="dxa" w:w="1944"/>
            <w:vAlign w:val="top"/>
          </w:tcPr>
          <w:p>
            <w:pPr>
              <w:spacing w:before="0" w:after="0" w:line="260" w:lineRule="auto"/>
            </w:pPr>
            <w:r>
              <w:rPr>
                <w:rFonts w:ascii="Calibri" w:hAnsi="Calibri"/>
                <w:sz w:val="13"/>
              </w:rPr>
              <w:t>actorOrder4</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Cast (sorted)</w:t>
            </w:r>
          </w:p>
        </w:tc>
        <w:tc>
          <w:tcPr>
            <w:tcW w:type="dxa" w:w="4320"/>
            <w:vAlign w:val="top"/>
          </w:tcPr>
          <w:p>
            <w:pPr>
              <w:spacing w:before="0" w:after="0" w:line="260" w:lineRule="auto"/>
            </w:pPr>
            <w:r>
              <w:rPr>
                <w:rFonts w:ascii="Calibri" w:hAnsi="Calibri"/>
                <w:sz w:val="13"/>
              </w:rPr>
              <w:t>Fills 4 when actorName4 is populated from the comma-separated Cast (sorted) value.</w:t>
            </w:r>
          </w:p>
        </w:tc>
        <w:tc>
          <w:tcPr>
            <w:tcW w:type="dxa" w:w="5472"/>
            <w:vAlign w:val="top"/>
          </w:tcPr>
          <w:p>
            <w:pPr>
              <w:spacing w:before="0" w:after="0" w:line="260" w:lineRule="auto"/>
            </w:pPr>
            <w:r>
              <w:rPr>
                <w:rFonts w:ascii="Calibri" w:hAnsi="Calibri"/>
                <w:sz w:val="13"/>
              </w:rPr>
              <w:t>Matched WhatsOn fields: Cast (sorted). Aliases checked: Cast (sorted), Cast sorted, cast, cast names, actors, principal cast, principalcast, actor names, actornames</w:t>
            </w:r>
          </w:p>
        </w:tc>
      </w:tr>
      <w:tr>
        <w:tc>
          <w:tcPr>
            <w:tcW w:type="dxa" w:w="1944"/>
            <w:vAlign w:val="top"/>
          </w:tcPr>
          <w:p>
            <w:pPr>
              <w:spacing w:before="0" w:after="0" w:line="260" w:lineRule="auto"/>
            </w:pPr>
            <w:r>
              <w:rPr>
                <w:rFonts w:ascii="Calibri" w:hAnsi="Calibri"/>
                <w:sz w:val="13"/>
              </w:rPr>
              <w:t>actorOrder4</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actorOrder4</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Actors.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director1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director1, director 1, director, directors</w:t>
            </w:r>
          </w:p>
        </w:tc>
      </w:tr>
      <w:tr>
        <w:tc>
          <w:tcPr>
            <w:tcW w:type="dxa" w:w="1944"/>
            <w:vAlign w:val="top"/>
          </w:tcPr>
          <w:p>
            <w:pPr>
              <w:spacing w:before="0" w:after="0" w:line="260" w:lineRule="auto"/>
            </w:pPr>
            <w:r>
              <w:rPr>
                <w:rFonts w:ascii="Calibri" w:hAnsi="Calibri"/>
                <w:sz w:val="13"/>
              </w:rPr>
              <w:t>director1</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director1</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director1</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Directors.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director2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director2, director 2</w:t>
            </w:r>
          </w:p>
        </w:tc>
      </w:tr>
      <w:tr>
        <w:tc>
          <w:tcPr>
            <w:tcW w:type="dxa" w:w="1944"/>
            <w:vAlign w:val="top"/>
          </w:tcPr>
          <w:p>
            <w:pPr>
              <w:spacing w:before="0" w:after="0" w:line="260" w:lineRule="auto"/>
            </w:pPr>
            <w:r>
              <w:rPr>
                <w:rFonts w:ascii="Calibri" w:hAnsi="Calibri"/>
                <w:sz w:val="13"/>
              </w:rPr>
              <w:t>director2</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director2</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Directors.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producer1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producer1, producer 1, producer, producers</w:t>
            </w:r>
          </w:p>
        </w:tc>
      </w:tr>
      <w:tr>
        <w:tc>
          <w:tcPr>
            <w:tcW w:type="dxa" w:w="1944"/>
            <w:vAlign w:val="top"/>
          </w:tcPr>
          <w:p>
            <w:pPr>
              <w:spacing w:before="0" w:after="0" w:line="260" w:lineRule="auto"/>
            </w:pPr>
            <w:r>
              <w:rPr>
                <w:rFonts w:ascii="Calibri" w:hAnsi="Calibri"/>
                <w:sz w:val="13"/>
              </w:rPr>
              <w:t>producer1</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producer1</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Producer, Producers.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producer2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producer2, producer 2</w:t>
            </w:r>
          </w:p>
        </w:tc>
      </w:tr>
      <w:tr>
        <w:tc>
          <w:tcPr>
            <w:tcW w:type="dxa" w:w="1944"/>
            <w:vAlign w:val="top"/>
          </w:tcPr>
          <w:p>
            <w:pPr>
              <w:spacing w:before="0" w:after="0" w:line="260" w:lineRule="auto"/>
            </w:pPr>
            <w:r>
              <w:rPr>
                <w:rFonts w:ascii="Calibri" w:hAnsi="Calibri"/>
                <w:sz w:val="13"/>
              </w:rPr>
              <w:t>producer2</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producer2</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Producer, Producers.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writer1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writer1, writer 1, writer</w:t>
            </w:r>
          </w:p>
        </w:tc>
      </w:tr>
      <w:tr>
        <w:tc>
          <w:tcPr>
            <w:tcW w:type="dxa" w:w="1944"/>
            <w:vAlign w:val="top"/>
          </w:tcPr>
          <w:p>
            <w:pPr>
              <w:spacing w:before="0" w:after="0" w:line="260" w:lineRule="auto"/>
            </w:pPr>
            <w:r>
              <w:rPr>
                <w:rFonts w:ascii="Calibri" w:hAnsi="Calibri"/>
                <w:sz w:val="13"/>
              </w:rPr>
              <w:t>writer1</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writer1</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Writers.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writer2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writer2, writer 2</w:t>
            </w:r>
          </w:p>
        </w:tc>
      </w:tr>
      <w:tr>
        <w:tc>
          <w:tcPr>
            <w:tcW w:type="dxa" w:w="1944"/>
            <w:vAlign w:val="top"/>
          </w:tcPr>
          <w:p>
            <w:pPr>
              <w:spacing w:before="0" w:after="0" w:line="260" w:lineRule="auto"/>
            </w:pPr>
            <w:r>
              <w:rPr>
                <w:rFonts w:ascii="Calibri" w:hAnsi="Calibri"/>
                <w:sz w:val="13"/>
              </w:rPr>
              <w:t>writer2</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writer2</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Writers.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genreMain</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Category. Aliases checked: genreMain, genre main, main genre, genre, category</w:t>
            </w:r>
          </w:p>
        </w:tc>
      </w:tr>
      <w:tr>
        <w:tc>
          <w:tcPr>
            <w:tcW w:type="dxa" w:w="1944"/>
            <w:vAlign w:val="top"/>
          </w:tcPr>
          <w:p>
            <w:pPr>
              <w:spacing w:before="0" w:after="0" w:line="260" w:lineRule="auto"/>
            </w:pPr>
            <w:r>
              <w:rPr>
                <w:rFonts w:ascii="Calibri" w:hAnsi="Calibri"/>
                <w:sz w:val="13"/>
              </w:rPr>
              <w:t>genreMain</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genreMain</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Genre.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genreSub1</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genreSub1, genre sub 1, subgenre 1, genre 2</w:t>
            </w:r>
          </w:p>
        </w:tc>
      </w:tr>
      <w:tr>
        <w:tc>
          <w:tcPr>
            <w:tcW w:type="dxa" w:w="1944"/>
            <w:vAlign w:val="top"/>
          </w:tcPr>
          <w:p>
            <w:pPr>
              <w:spacing w:before="0" w:after="0" w:line="260" w:lineRule="auto"/>
            </w:pPr>
            <w:r>
              <w:rPr>
                <w:rFonts w:ascii="Calibri" w:hAnsi="Calibri"/>
                <w:sz w:val="13"/>
              </w:rPr>
              <w:t>genreSub1</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genreSub1</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Genre.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genreSub2</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genreSub2, genre sub 2, subgenre 2, genre 3</w:t>
            </w:r>
          </w:p>
        </w:tc>
      </w:tr>
      <w:tr>
        <w:tc>
          <w:tcPr>
            <w:tcW w:type="dxa" w:w="1944"/>
            <w:vAlign w:val="top"/>
          </w:tcPr>
          <w:p>
            <w:pPr>
              <w:spacing w:before="0" w:after="0" w:line="260" w:lineRule="auto"/>
            </w:pPr>
            <w:r>
              <w:rPr>
                <w:rFonts w:ascii="Calibri" w:hAnsi="Calibri"/>
                <w:sz w:val="13"/>
              </w:rPr>
              <w:t>genreSub2</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genreSub2</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Genre.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productionYear</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productionYear, production year, release year, releaseyear</w:t>
            </w:r>
          </w:p>
        </w:tc>
      </w:tr>
      <w:tr>
        <w:tc>
          <w:tcPr>
            <w:tcW w:type="dxa" w:w="1944"/>
            <w:vAlign w:val="top"/>
          </w:tcPr>
          <w:p>
            <w:pPr>
              <w:spacing w:before="0" w:after="0" w:line="260" w:lineRule="auto"/>
            </w:pPr>
            <w:r>
              <w:rPr>
                <w:rFonts w:ascii="Calibri" w:hAnsi="Calibri"/>
                <w:sz w:val="13"/>
              </w:rPr>
              <w:t>productionYear</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productionYear</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Global Premiere Date year.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premiereDate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Date 1, Date1. Aliases checked: premiereDate, premiere date, date 1, date1, pubdate, pub date, release history original, original release date</w:t>
            </w:r>
          </w:p>
        </w:tc>
      </w:tr>
      <w:tr>
        <w:tc>
          <w:tcPr>
            <w:tcW w:type="dxa" w:w="1944"/>
            <w:vAlign w:val="top"/>
          </w:tcPr>
          <w:p>
            <w:pPr>
              <w:spacing w:before="0" w:after="0" w:line="260" w:lineRule="auto"/>
            </w:pPr>
            <w:r>
              <w:rPr>
                <w:rFonts w:ascii="Calibri" w:hAnsi="Calibri"/>
                <w:sz w:val="13"/>
              </w:rPr>
              <w:t>premiereDate</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premiereDate</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Global Premiere Date.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premiereYear</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premiereYear, premiere year</w:t>
            </w:r>
          </w:p>
        </w:tc>
      </w:tr>
      <w:tr>
        <w:tc>
          <w:tcPr>
            <w:tcW w:type="dxa" w:w="1944"/>
            <w:vAlign w:val="top"/>
          </w:tcPr>
          <w:p>
            <w:pPr>
              <w:spacing w:before="0" w:after="0" w:line="260" w:lineRule="auto"/>
            </w:pPr>
            <w:r>
              <w:rPr>
                <w:rFonts w:ascii="Calibri" w:hAnsi="Calibri"/>
                <w:sz w:val="13"/>
              </w:rPr>
              <w:t>premiereYear</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premiereYear</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Global Premiere Date year.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Series_Release_Date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Series_Release_Date, series release date, series_release_date</w:t>
            </w:r>
          </w:p>
        </w:tc>
      </w:tr>
      <w:tr>
        <w:tc>
          <w:tcPr>
            <w:tcW w:type="dxa" w:w="1944"/>
            <w:vAlign w:val="top"/>
          </w:tcPr>
          <w:p>
            <w:pPr>
              <w:spacing w:before="0" w:after="0" w:line="260" w:lineRule="auto"/>
            </w:pPr>
            <w:r>
              <w:rPr>
                <w:rFonts w:ascii="Calibri" w:hAnsi="Calibri"/>
                <w:sz w:val="13"/>
              </w:rPr>
              <w:t>Series_Release_Date</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ratingCSA</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ratingCSA, rating csa, csa rating</w:t>
            </w:r>
          </w:p>
        </w:tc>
      </w:tr>
      <w:tr>
        <w:tc>
          <w:tcPr>
            <w:tcW w:type="dxa" w:w="1944"/>
            <w:vAlign w:val="top"/>
          </w:tcPr>
          <w:p>
            <w:pPr>
              <w:spacing w:before="0" w:after="0" w:line="260" w:lineRule="auto"/>
            </w:pPr>
            <w:r>
              <w:rPr>
                <w:rFonts w:ascii="Calibri" w:hAnsi="Calibri"/>
                <w:sz w:val="13"/>
              </w:rPr>
              <w:t>ratingCSA</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ratingCSAAdvisory</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ratingCSAAdvisory, rating csa advisory, csa advisory</w:t>
            </w:r>
          </w:p>
        </w:tc>
      </w:tr>
      <w:tr>
        <w:tc>
          <w:tcPr>
            <w:tcW w:type="dxa" w:w="1944"/>
            <w:vAlign w:val="top"/>
          </w:tcPr>
          <w:p>
            <w:pPr>
              <w:spacing w:before="0" w:after="0" w:line="260" w:lineRule="auto"/>
            </w:pPr>
            <w:r>
              <w:rPr>
                <w:rFonts w:ascii="Calibri" w:hAnsi="Calibri"/>
                <w:sz w:val="13"/>
              </w:rPr>
              <w:t>ratingCSAAdvisory</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ratingMPA</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ratingMPA, rating mpa, rating mpaa, mpa rating, mpaa rating</w:t>
            </w:r>
          </w:p>
        </w:tc>
      </w:tr>
      <w:tr>
        <w:tc>
          <w:tcPr>
            <w:tcW w:type="dxa" w:w="1944"/>
            <w:vAlign w:val="top"/>
          </w:tcPr>
          <w:p>
            <w:pPr>
              <w:spacing w:before="0" w:after="0" w:line="260" w:lineRule="auto"/>
            </w:pPr>
            <w:r>
              <w:rPr>
                <w:rFonts w:ascii="Calibri" w:hAnsi="Calibri"/>
                <w:sz w:val="13"/>
              </w:rPr>
              <w:t>ratingMPA</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ratingMPAAdvisory</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ratingMPAAdvisory, rating mpa advisory, rating mpaa advisory, mpa advisory</w:t>
            </w:r>
          </w:p>
        </w:tc>
      </w:tr>
      <w:tr>
        <w:tc>
          <w:tcPr>
            <w:tcW w:type="dxa" w:w="1944"/>
            <w:vAlign w:val="top"/>
          </w:tcPr>
          <w:p>
            <w:pPr>
              <w:spacing w:before="0" w:after="0" w:line="260" w:lineRule="auto"/>
            </w:pPr>
            <w:r>
              <w:rPr>
                <w:rFonts w:ascii="Calibri" w:hAnsi="Calibri"/>
                <w:sz w:val="13"/>
              </w:rPr>
              <w:t>ratingMPAAdvisory</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ratingTV</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Parental rating. Aliases checked: ratingTV, rating tv, tv rating, parental rating</w:t>
            </w:r>
          </w:p>
        </w:tc>
      </w:tr>
      <w:tr>
        <w:tc>
          <w:tcPr>
            <w:tcW w:type="dxa" w:w="1944"/>
            <w:vAlign w:val="top"/>
          </w:tcPr>
          <w:p>
            <w:pPr>
              <w:spacing w:before="0" w:after="0" w:line="260" w:lineRule="auto"/>
            </w:pPr>
            <w:r>
              <w:rPr>
                <w:rFonts w:ascii="Calibri" w:hAnsi="Calibri"/>
                <w:sz w:val="13"/>
              </w:rPr>
              <w:t>ratingTV</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ratingTV</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Rating.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ratingTVAdvisory</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ratingTVAdvisory, rating tv advisory, tv advisory, rating reason</w:t>
            </w:r>
          </w:p>
        </w:tc>
      </w:tr>
      <w:tr>
        <w:tc>
          <w:tcPr>
            <w:tcW w:type="dxa" w:w="1944"/>
            <w:vAlign w:val="top"/>
          </w:tcPr>
          <w:p>
            <w:pPr>
              <w:spacing w:before="0" w:after="0" w:line="260" w:lineRule="auto"/>
            </w:pPr>
            <w:r>
              <w:rPr>
                <w:rFonts w:ascii="Calibri" w:hAnsi="Calibri"/>
                <w:sz w:val="13"/>
              </w:rPr>
              <w:t>ratingTVAdvisory</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language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Language 1. Aliases checked: language, language 1, asset language, assetlanguage</w:t>
            </w:r>
          </w:p>
        </w:tc>
      </w:tr>
      <w:tr>
        <w:tc>
          <w:tcPr>
            <w:tcW w:type="dxa" w:w="1944"/>
            <w:vAlign w:val="top"/>
          </w:tcPr>
          <w:p>
            <w:pPr>
              <w:spacing w:before="0" w:after="0" w:line="260" w:lineRule="auto"/>
            </w:pPr>
            <w:r>
              <w:rPr>
                <w:rFonts w:ascii="Calibri" w:hAnsi="Calibri"/>
                <w:sz w:val="13"/>
              </w:rPr>
              <w:t>language</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language</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Final pass default</w:t>
            </w:r>
          </w:p>
        </w:tc>
        <w:tc>
          <w:tcPr>
            <w:tcW w:type="dxa" w:w="4320"/>
            <w:vAlign w:val="top"/>
          </w:tcPr>
          <w:p>
            <w:pPr>
              <w:spacing w:before="0" w:after="0" w:line="260" w:lineRule="auto"/>
            </w:pPr>
            <w:r>
              <w:rPr>
                <w:rFonts w:ascii="Calibri" w:hAnsi="Calibri"/>
                <w:sz w:val="13"/>
              </w:rPr>
              <w:t>Fills blank final values after source mapping and enrichment. Existing values are preserved.</w:t>
            </w:r>
          </w:p>
        </w:tc>
        <w:tc>
          <w:tcPr>
            <w:tcW w:type="dxa" w:w="5472"/>
            <w:vAlign w:val="top"/>
          </w:tcPr>
          <w:p>
            <w:pPr>
              <w:spacing w:before="0" w:after="0" w:line="260" w:lineRule="auto"/>
            </w:pPr>
            <w:r>
              <w:rPr>
                <w:rFonts w:ascii="Calibri" w:hAnsi="Calibri"/>
                <w:sz w:val="13"/>
              </w:rPr>
              <w:t>en-US</w:t>
            </w:r>
          </w:p>
        </w:tc>
      </w:tr>
      <w:tr>
        <w:tc>
          <w:tcPr>
            <w:tcW w:type="dxa" w:w="1944"/>
            <w:vAlign w:val="top"/>
          </w:tcPr>
          <w:p>
            <w:pPr>
              <w:spacing w:before="0" w:after="0" w:line="260" w:lineRule="auto"/>
            </w:pPr>
            <w:r>
              <w:rPr>
                <w:rFonts w:ascii="Calibri" w:hAnsi="Calibri"/>
                <w:sz w:val="13"/>
              </w:rPr>
              <w:t>languageSubtitle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Language 1. Aliases checked: languageSubtitle, language subtitle, language 1, subtitle language, subtitling language, caption language</w:t>
            </w:r>
          </w:p>
        </w:tc>
      </w:tr>
      <w:tr>
        <w:tc>
          <w:tcPr>
            <w:tcW w:type="dxa" w:w="1944"/>
            <w:vAlign w:val="top"/>
          </w:tcPr>
          <w:p>
            <w:pPr>
              <w:spacing w:before="0" w:after="0" w:line="260" w:lineRule="auto"/>
            </w:pPr>
            <w:r>
              <w:rPr>
                <w:rFonts w:ascii="Calibri" w:hAnsi="Calibri"/>
                <w:sz w:val="13"/>
              </w:rPr>
              <w:t>languageSubtitle</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languageSubtitle</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Final pass default</w:t>
            </w:r>
          </w:p>
        </w:tc>
        <w:tc>
          <w:tcPr>
            <w:tcW w:type="dxa" w:w="4320"/>
            <w:vAlign w:val="top"/>
          </w:tcPr>
          <w:p>
            <w:pPr>
              <w:spacing w:before="0" w:after="0" w:line="260" w:lineRule="auto"/>
            </w:pPr>
            <w:r>
              <w:rPr>
                <w:rFonts w:ascii="Calibri" w:hAnsi="Calibri"/>
                <w:sz w:val="13"/>
              </w:rPr>
              <w:t>Fills blank final values after source mapping and enrichment. Existing values are preserved.</w:t>
            </w:r>
          </w:p>
        </w:tc>
        <w:tc>
          <w:tcPr>
            <w:tcW w:type="dxa" w:w="5472"/>
            <w:vAlign w:val="top"/>
          </w:tcPr>
          <w:p>
            <w:pPr>
              <w:spacing w:before="0" w:after="0" w:line="260" w:lineRule="auto"/>
            </w:pPr>
            <w:r>
              <w:rPr>
                <w:rFonts w:ascii="Calibri" w:hAnsi="Calibri"/>
                <w:sz w:val="13"/>
              </w:rPr>
              <w:t>en-US</w:t>
            </w:r>
          </w:p>
        </w:tc>
      </w:tr>
      <w:tr>
        <w:tc>
          <w:tcPr>
            <w:tcW w:type="dxa" w:w="1944"/>
            <w:vAlign w:val="top"/>
          </w:tcPr>
          <w:p>
            <w:pPr>
              <w:spacing w:before="0" w:after="0" w:line="260" w:lineRule="auto"/>
            </w:pPr>
            <w:r>
              <w:rPr>
                <w:rFonts w:ascii="Calibri" w:hAnsi="Calibri"/>
                <w:sz w:val="13"/>
              </w:rPr>
              <w:t>rightsAllowDownload</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rightsAllowDownload, rights allow download, download</w:t>
            </w:r>
          </w:p>
        </w:tc>
      </w:tr>
      <w:tr>
        <w:tc>
          <w:tcPr>
            <w:tcW w:type="dxa" w:w="1944"/>
            <w:vAlign w:val="top"/>
          </w:tcPr>
          <w:p>
            <w:pPr>
              <w:spacing w:before="0" w:after="0" w:line="260" w:lineRule="auto"/>
            </w:pPr>
            <w:r>
              <w:rPr>
                <w:rFonts w:ascii="Calibri" w:hAnsi="Calibri"/>
                <w:sz w:val="13"/>
              </w:rPr>
              <w:t>rightsAllowDownload</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rightsAllowDownload</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rightsAllowDownload</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Default value</w:t>
            </w:r>
          </w:p>
        </w:tc>
        <w:tc>
          <w:tcPr>
            <w:tcW w:type="dxa" w:w="4320"/>
            <w:vAlign w:val="top"/>
          </w:tcPr>
          <w:p>
            <w:pPr>
              <w:spacing w:before="0" w:after="0" w:line="260" w:lineRule="auto"/>
            </w:pPr>
            <w:r>
              <w:rPr>
                <w:rFonts w:ascii="Calibri" w:hAnsi="Calibri"/>
                <w:sz w:val="13"/>
              </w:rPr>
              <w:t>Applied when no source filled the field.</w:t>
            </w:r>
          </w:p>
        </w:tc>
        <w:tc>
          <w:tcPr>
            <w:tcW w:type="dxa" w:w="5472"/>
            <w:vAlign w:val="top"/>
          </w:tcPr>
          <w:p>
            <w:pPr>
              <w:spacing w:before="0" w:after="0" w:line="260" w:lineRule="auto"/>
            </w:pPr>
            <w:r>
              <w:rPr>
                <w:rFonts w:ascii="Calibri" w:hAnsi="Calibri"/>
                <w:sz w:val="13"/>
              </w:rPr>
            </w:r>
          </w:p>
        </w:tc>
      </w:tr>
      <w:tr>
        <w:tc>
          <w:tcPr>
            <w:tcW w:type="dxa" w:w="1944"/>
            <w:vAlign w:val="top"/>
          </w:tcPr>
          <w:p>
            <w:pPr>
              <w:spacing w:before="0" w:after="0" w:line="260" w:lineRule="auto"/>
            </w:pPr>
            <w:r>
              <w:rPr>
                <w:rFonts w:ascii="Calibri" w:hAnsi="Calibri"/>
                <w:sz w:val="13"/>
              </w:rPr>
              <w:t>rightsDRMrequired</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rightsDRMrequired, rights drm required, drm required, drm</w:t>
            </w:r>
          </w:p>
        </w:tc>
      </w:tr>
      <w:tr>
        <w:tc>
          <w:tcPr>
            <w:tcW w:type="dxa" w:w="1944"/>
            <w:vAlign w:val="top"/>
          </w:tcPr>
          <w:p>
            <w:pPr>
              <w:spacing w:before="0" w:after="0" w:line="260" w:lineRule="auto"/>
            </w:pPr>
            <w:r>
              <w:rPr>
                <w:rFonts w:ascii="Calibri" w:hAnsi="Calibri"/>
                <w:sz w:val="13"/>
              </w:rPr>
              <w:t>rightsDRMrequired</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rightsDRMrequired</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rightsDRMrequired</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DRM Protected.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rightsLicenseRightsDescription</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rightsLicenseRightsDescription, rights license rights description, license rights description, rights description, all streaming rights</w:t>
            </w:r>
          </w:p>
        </w:tc>
      </w:tr>
      <w:tr>
        <w:tc>
          <w:tcPr>
            <w:tcW w:type="dxa" w:w="1944"/>
            <w:vAlign w:val="top"/>
          </w:tcPr>
          <w:p>
            <w:pPr>
              <w:spacing w:before="0" w:after="0" w:line="260" w:lineRule="auto"/>
            </w:pPr>
            <w:r>
              <w:rPr>
                <w:rFonts w:ascii="Calibri" w:hAnsi="Calibri"/>
                <w:sz w:val="13"/>
              </w:rPr>
              <w:t>rightsLicenseRightsDescription</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rightsLicenseRightsDescription</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rightsLicenseRightsDescription</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Default value</w:t>
            </w:r>
          </w:p>
        </w:tc>
        <w:tc>
          <w:tcPr>
            <w:tcW w:type="dxa" w:w="4320"/>
            <w:vAlign w:val="top"/>
          </w:tcPr>
          <w:p>
            <w:pPr>
              <w:spacing w:before="0" w:after="0" w:line="260" w:lineRule="auto"/>
            </w:pPr>
            <w:r>
              <w:rPr>
                <w:rFonts w:ascii="Calibri" w:hAnsi="Calibri"/>
                <w:sz w:val="13"/>
              </w:rPr>
              <w:t>Applied when no source filled the field.</w:t>
            </w:r>
          </w:p>
        </w:tc>
        <w:tc>
          <w:tcPr>
            <w:tcW w:type="dxa" w:w="5472"/>
            <w:vAlign w:val="top"/>
          </w:tcPr>
          <w:p>
            <w:pPr>
              <w:spacing w:before="0" w:after="0" w:line="260" w:lineRule="auto"/>
            </w:pPr>
            <w:r>
              <w:rPr>
                <w:rFonts w:ascii="Calibri" w:hAnsi="Calibri"/>
                <w:sz w:val="13"/>
              </w:rPr>
              <w:t>SWP</w:t>
            </w:r>
          </w:p>
        </w:tc>
      </w:tr>
      <w:tr>
        <w:tc>
          <w:tcPr>
            <w:tcW w:type="dxa" w:w="1944"/>
            <w:vAlign w:val="top"/>
          </w:tcPr>
          <w:p>
            <w:pPr>
              <w:spacing w:before="0" w:after="0" w:line="260" w:lineRule="auto"/>
            </w:pPr>
            <w:r>
              <w:rPr>
                <w:rFonts w:ascii="Calibri" w:hAnsi="Calibri"/>
                <w:sz w:val="13"/>
              </w:rPr>
              <w:t>rightsLicenseType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rightsLicenseType, rights license type, license type, licensetype</w:t>
            </w:r>
          </w:p>
        </w:tc>
      </w:tr>
      <w:tr>
        <w:tc>
          <w:tcPr>
            <w:tcW w:type="dxa" w:w="1944"/>
            <w:vAlign w:val="top"/>
          </w:tcPr>
          <w:p>
            <w:pPr>
              <w:spacing w:before="0" w:after="0" w:line="260" w:lineRule="auto"/>
            </w:pPr>
            <w:r>
              <w:rPr>
                <w:rFonts w:ascii="Calibri" w:hAnsi="Calibri"/>
                <w:sz w:val="13"/>
              </w:rPr>
              <w:t>rightsLicenseType</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rightsLicenseType</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rightsLicenseType</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Default value</w:t>
            </w:r>
          </w:p>
        </w:tc>
        <w:tc>
          <w:tcPr>
            <w:tcW w:type="dxa" w:w="4320"/>
            <w:vAlign w:val="top"/>
          </w:tcPr>
          <w:p>
            <w:pPr>
              <w:spacing w:before="0" w:after="0" w:line="260" w:lineRule="auto"/>
            </w:pPr>
            <w:r>
              <w:rPr>
                <w:rFonts w:ascii="Calibri" w:hAnsi="Calibri"/>
                <w:sz w:val="13"/>
              </w:rPr>
              <w:t>Applied when no source filled the field.</w:t>
            </w:r>
          </w:p>
        </w:tc>
        <w:tc>
          <w:tcPr>
            <w:tcW w:type="dxa" w:w="5472"/>
            <w:vAlign w:val="top"/>
          </w:tcPr>
          <w:p>
            <w:pPr>
              <w:spacing w:before="0" w:after="0" w:line="260" w:lineRule="auto"/>
            </w:pPr>
            <w:r>
              <w:rPr>
                <w:rFonts w:ascii="Calibri" w:hAnsi="Calibri"/>
                <w:sz w:val="13"/>
              </w:rPr>
              <w:t>SVOD</w:t>
            </w:r>
          </w:p>
        </w:tc>
      </w:tr>
      <w:tr>
        <w:tc>
          <w:tcPr>
            <w:tcW w:type="dxa" w:w="1944"/>
            <w:vAlign w:val="top"/>
          </w:tcPr>
          <w:p>
            <w:pPr>
              <w:spacing w:before="0" w:after="0" w:line="260" w:lineRule="auto"/>
            </w:pPr>
            <w:r>
              <w:rPr>
                <w:rFonts w:ascii="Calibri" w:hAnsi="Calibri"/>
                <w:sz w:val="13"/>
              </w:rPr>
              <w:t>rightsPricingTier</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rightsPricingTier, rights pricing tier, price type, pricing tier</w:t>
            </w:r>
          </w:p>
        </w:tc>
      </w:tr>
      <w:tr>
        <w:tc>
          <w:tcPr>
            <w:tcW w:type="dxa" w:w="1944"/>
            <w:vAlign w:val="top"/>
          </w:tcPr>
          <w:p>
            <w:pPr>
              <w:spacing w:before="0" w:after="0" w:line="260" w:lineRule="auto"/>
            </w:pPr>
            <w:r>
              <w:rPr>
                <w:rFonts w:ascii="Calibri" w:hAnsi="Calibri"/>
                <w:sz w:val="13"/>
              </w:rPr>
              <w:t>rightsPricingTier</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rightsPricingTier</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Default value</w:t>
            </w:r>
          </w:p>
        </w:tc>
        <w:tc>
          <w:tcPr>
            <w:tcW w:type="dxa" w:w="4320"/>
            <w:vAlign w:val="top"/>
          </w:tcPr>
          <w:p>
            <w:pPr>
              <w:spacing w:before="0" w:after="0" w:line="260" w:lineRule="auto"/>
            </w:pPr>
            <w:r>
              <w:rPr>
                <w:rFonts w:ascii="Calibri" w:hAnsi="Calibri"/>
                <w:sz w:val="13"/>
              </w:rPr>
              <w:t>Applied when no source filled the field.</w:t>
            </w:r>
          </w:p>
        </w:tc>
        <w:tc>
          <w:tcPr>
            <w:tcW w:type="dxa" w:w="5472"/>
            <w:vAlign w:val="top"/>
          </w:tcPr>
          <w:p>
            <w:pPr>
              <w:spacing w:before="0" w:after="0" w:line="260" w:lineRule="auto"/>
            </w:pPr>
            <w:r>
              <w:rPr>
                <w:rFonts w:ascii="Calibri" w:hAnsi="Calibri"/>
                <w:sz w:val="13"/>
              </w:rPr>
              <w:t>Category</w:t>
            </w:r>
          </w:p>
        </w:tc>
      </w:tr>
      <w:tr>
        <w:tc>
          <w:tcPr>
            <w:tcW w:type="dxa" w:w="1944"/>
            <w:vAlign w:val="top"/>
          </w:tcPr>
          <w:p>
            <w:pPr>
              <w:spacing w:before="0" w:after="0" w:line="260" w:lineRule="auto"/>
            </w:pPr>
            <w:r>
              <w:rPr>
                <w:rFonts w:ascii="Calibri" w:hAnsi="Calibri"/>
                <w:sz w:val="13"/>
              </w:rPr>
              <w:t>rightsTerritory</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rightsTerritory, rights territory, territory</w:t>
            </w:r>
          </w:p>
        </w:tc>
      </w:tr>
      <w:tr>
        <w:tc>
          <w:tcPr>
            <w:tcW w:type="dxa" w:w="1944"/>
            <w:vAlign w:val="top"/>
          </w:tcPr>
          <w:p>
            <w:pPr>
              <w:spacing w:before="0" w:after="0" w:line="260" w:lineRule="auto"/>
            </w:pPr>
            <w:r>
              <w:rPr>
                <w:rFonts w:ascii="Calibri" w:hAnsi="Calibri"/>
                <w:sz w:val="13"/>
              </w:rPr>
              <w:t>rightsTerritory</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rightsTerritory</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rightsTerritory</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Default value</w:t>
            </w:r>
          </w:p>
        </w:tc>
        <w:tc>
          <w:tcPr>
            <w:tcW w:type="dxa" w:w="4320"/>
            <w:vAlign w:val="top"/>
          </w:tcPr>
          <w:p>
            <w:pPr>
              <w:spacing w:before="0" w:after="0" w:line="260" w:lineRule="auto"/>
            </w:pPr>
            <w:r>
              <w:rPr>
                <w:rFonts w:ascii="Calibri" w:hAnsi="Calibri"/>
                <w:sz w:val="13"/>
              </w:rPr>
              <w:t>Applied when no source filled the field.</w:t>
            </w:r>
          </w:p>
        </w:tc>
        <w:tc>
          <w:tcPr>
            <w:tcW w:type="dxa" w:w="5472"/>
            <w:vAlign w:val="top"/>
          </w:tcPr>
          <w:p>
            <w:pPr>
              <w:spacing w:before="0" w:after="0" w:line="260" w:lineRule="auto"/>
            </w:pPr>
            <w:r>
              <w:rPr>
                <w:rFonts w:ascii="Calibri" w:hAnsi="Calibri"/>
                <w:sz w:val="13"/>
              </w:rPr>
              <w:t>US</w:t>
            </w:r>
          </w:p>
        </w:tc>
      </w:tr>
      <w:tr>
        <w:tc>
          <w:tcPr>
            <w:tcW w:type="dxa" w:w="1944"/>
            <w:vAlign w:val="top"/>
          </w:tcPr>
          <w:p>
            <w:pPr>
              <w:spacing w:before="0" w:after="0" w:line="260" w:lineRule="auto"/>
            </w:pPr>
            <w:r>
              <w:rPr>
                <w:rFonts w:ascii="Calibri" w:hAnsi="Calibri"/>
                <w:sz w:val="13"/>
              </w:rPr>
              <w:t>idParentRef</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idParentRef, id parent ref, parent ref, parent id</w:t>
            </w:r>
          </w:p>
        </w:tc>
      </w:tr>
      <w:tr>
        <w:tc>
          <w:tcPr>
            <w:tcW w:type="dxa" w:w="1944"/>
            <w:vAlign w:val="top"/>
          </w:tcPr>
          <w:p>
            <w:pPr>
              <w:spacing w:before="0" w:after="0" w:line="260" w:lineRule="auto"/>
            </w:pPr>
            <w:r>
              <w:rPr>
                <w:rFonts w:ascii="Calibri" w:hAnsi="Calibri"/>
                <w:sz w:val="13"/>
              </w:rPr>
              <w:t>idParentRef</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mediaExpectedFormat</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mediaExpectedFormat, media expected format, format profile</w:t>
            </w:r>
          </w:p>
        </w:tc>
      </w:tr>
      <w:tr>
        <w:tc>
          <w:tcPr>
            <w:tcW w:type="dxa" w:w="1944"/>
            <w:vAlign w:val="top"/>
          </w:tcPr>
          <w:p>
            <w:pPr>
              <w:spacing w:before="0" w:after="0" w:line="260" w:lineRule="auto"/>
            </w:pPr>
            <w:r>
              <w:rPr>
                <w:rFonts w:ascii="Calibri" w:hAnsi="Calibri"/>
                <w:sz w:val="13"/>
              </w:rPr>
              <w:t>mediaExpectedFormat</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mediaExpectedFormat</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Fills blank connector-supported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mediaHouseNumber</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mediaHouseNumber, media house number, house number</w:t>
            </w:r>
          </w:p>
        </w:tc>
      </w:tr>
      <w:tr>
        <w:tc>
          <w:tcPr>
            <w:tcW w:type="dxa" w:w="1944"/>
            <w:vAlign w:val="top"/>
          </w:tcPr>
          <w:p>
            <w:pPr>
              <w:spacing w:before="0" w:after="0" w:line="260" w:lineRule="auto"/>
            </w:pPr>
            <w:r>
              <w:rPr>
                <w:rFonts w:ascii="Calibri" w:hAnsi="Calibri"/>
                <w:sz w:val="13"/>
              </w:rPr>
              <w:t>mediaHouseNumber</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mediaHouseNumber</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Marker_programStart:start</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Marker_programStart:start</w:t>
            </w:r>
          </w:p>
        </w:tc>
      </w:tr>
      <w:tr>
        <w:tc>
          <w:tcPr>
            <w:tcW w:type="dxa" w:w="1944"/>
            <w:vAlign w:val="top"/>
          </w:tcPr>
          <w:p>
            <w:pPr>
              <w:spacing w:before="0" w:after="0" w:line="260" w:lineRule="auto"/>
            </w:pPr>
            <w:r>
              <w:rPr>
                <w:rFonts w:ascii="Calibri" w:hAnsi="Calibri"/>
                <w:sz w:val="13"/>
              </w:rPr>
              <w:t>Marker_programStart:start</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Marker_programSegment:start</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Marker_programSegment:start</w:t>
            </w:r>
          </w:p>
        </w:tc>
      </w:tr>
      <w:tr>
        <w:tc>
          <w:tcPr>
            <w:tcW w:type="dxa" w:w="1944"/>
            <w:vAlign w:val="top"/>
          </w:tcPr>
          <w:p>
            <w:pPr>
              <w:spacing w:before="0" w:after="0" w:line="260" w:lineRule="auto"/>
            </w:pPr>
            <w:r>
              <w:rPr>
                <w:rFonts w:ascii="Calibri" w:hAnsi="Calibri"/>
                <w:sz w:val="13"/>
              </w:rPr>
              <w:t>Marker_programSegment:start</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Marker_openingCredits:start</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Marker_openingCredits:start</w:t>
            </w:r>
          </w:p>
        </w:tc>
      </w:tr>
      <w:tr>
        <w:tc>
          <w:tcPr>
            <w:tcW w:type="dxa" w:w="1944"/>
            <w:vAlign w:val="top"/>
          </w:tcPr>
          <w:p>
            <w:pPr>
              <w:spacing w:before="0" w:after="0" w:line="260" w:lineRule="auto"/>
            </w:pPr>
            <w:r>
              <w:rPr>
                <w:rFonts w:ascii="Calibri" w:hAnsi="Calibri"/>
                <w:sz w:val="13"/>
              </w:rPr>
              <w:t>Marker_openingCredits:start</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Marker_closingCredits:start</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Marker_closingCredits:start</w:t>
            </w:r>
          </w:p>
        </w:tc>
      </w:tr>
      <w:tr>
        <w:tc>
          <w:tcPr>
            <w:tcW w:type="dxa" w:w="1944"/>
            <w:vAlign w:val="top"/>
          </w:tcPr>
          <w:p>
            <w:pPr>
              <w:spacing w:before="0" w:after="0" w:line="260" w:lineRule="auto"/>
            </w:pPr>
            <w:r>
              <w:rPr>
                <w:rFonts w:ascii="Calibri" w:hAnsi="Calibri"/>
                <w:sz w:val="13"/>
              </w:rPr>
              <w:t>Marker_closingCredits:start</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idMedia (MediaGenix)</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MPX Media ID. Aliases checked: idMedia (MediaGenix), id media, media id, mediagenix media id, mpx media id, cvp media id, cvpmediaid</w:t>
            </w:r>
          </w:p>
        </w:tc>
      </w:tr>
      <w:tr>
        <w:tc>
          <w:tcPr>
            <w:tcW w:type="dxa" w:w="1944"/>
            <w:vAlign w:val="top"/>
          </w:tcPr>
          <w:p>
            <w:pPr>
              <w:spacing w:before="0" w:after="0" w:line="260" w:lineRule="auto"/>
            </w:pPr>
            <w:r>
              <w:rPr>
                <w:rFonts w:ascii="Calibri" w:hAnsi="Calibri"/>
                <w:sz w:val="13"/>
              </w:rPr>
              <w:t>idMedia (MediaGenix)</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idMedia (MediaGenix)</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idProduct (MediaGenix)</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MPX Program ID. Aliases checked: idProduct (MediaGenix), id product, program id, mediagenix product id, mpx program id, cvp program id, cvpprogramid</w:t>
            </w:r>
          </w:p>
        </w:tc>
      </w:tr>
      <w:tr>
        <w:tc>
          <w:tcPr>
            <w:tcW w:type="dxa" w:w="1944"/>
            <w:vAlign w:val="top"/>
          </w:tcPr>
          <w:p>
            <w:pPr>
              <w:spacing w:before="0" w:after="0" w:line="260" w:lineRule="auto"/>
            </w:pPr>
            <w:r>
              <w:rPr>
                <w:rFonts w:ascii="Calibri" w:hAnsi="Calibri"/>
                <w:sz w:val="13"/>
              </w:rPr>
              <w:t>idProduct (MediaGenix)</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idProduct (MediaGenix)</w:t>
            </w:r>
          </w:p>
        </w:tc>
        <w:tc>
          <w:tcPr>
            <w:tcW w:type="dxa" w:w="648"/>
            <w:vAlign w:val="top"/>
          </w:tcPr>
          <w:p>
            <w:pPr>
              <w:spacing w:before="0" w:after="0" w:line="260" w:lineRule="auto"/>
            </w:pPr>
            <w:r>
              <w:rPr>
                <w:rFonts w:ascii="Calibri" w:hAnsi="Calibri"/>
                <w:sz w:val="13"/>
              </w:rPr>
              <w:t>4</w:t>
            </w:r>
          </w:p>
        </w:tc>
        <w:tc>
          <w:tcPr>
            <w:tcW w:type="dxa" w:w="2088"/>
            <w:vAlign w:val="top"/>
          </w:tcPr>
          <w:p>
            <w:pPr>
              <w:spacing w:before="0" w:after="0" w:line="260" w:lineRule="auto"/>
            </w:pPr>
            <w:r>
              <w:rPr>
                <w:rFonts w:ascii="Calibri" w:hAnsi="Calibri"/>
                <w:sz w:val="13"/>
              </w:rPr>
              <w:t>Connector knowledge base</w:t>
            </w:r>
          </w:p>
        </w:tc>
        <w:tc>
          <w:tcPr>
            <w:tcW w:type="dxa" w:w="4320"/>
            <w:vAlign w:val="top"/>
          </w:tcPr>
          <w:p>
            <w:pPr>
              <w:spacing w:before="0" w:after="0" w:line="260" w:lineRule="auto"/>
            </w:pPr>
            <w:r>
              <w:rPr>
                <w:rFonts w:ascii="Calibri" w:hAnsi="Calibri"/>
                <w:sz w:val="13"/>
              </w:rPr>
              <w:t>Overrides connector cross-reference fields on identifier match.</w:t>
            </w:r>
          </w:p>
        </w:tc>
        <w:tc>
          <w:tcPr>
            <w:tcW w:type="dxa" w:w="5472"/>
            <w:vAlign w:val="top"/>
          </w:tcPr>
          <w:p>
            <w:pPr>
              <w:spacing w:before="0" w:after="0" w:line="260" w:lineRule="auto"/>
            </w:pPr>
            <w:r>
              <w:rPr>
                <w:rFonts w:ascii="Calibri" w:hAnsi="Calibri"/>
                <w:sz w:val="13"/>
              </w:rPr>
              <w:t>External reference, NewSku, ParentSeriesMediaID, valid CVP SKU, GUID, TMS</w:t>
            </w:r>
          </w:p>
        </w:tc>
      </w:tr>
      <w:tr>
        <w:tc>
          <w:tcPr>
            <w:tcW w:type="dxa" w:w="1944"/>
            <w:vAlign w:val="top"/>
          </w:tcPr>
          <w:p>
            <w:pPr>
              <w:spacing w:before="0" w:after="0" w:line="260" w:lineRule="auto"/>
            </w:pPr>
            <w:r>
              <w:rPr>
                <w:rFonts w:ascii="Calibri" w:hAnsi="Calibri"/>
                <w:sz w:val="13"/>
              </w:rPr>
              <w:t>titleKeywords</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Matched WhatsOn fields: Category. Aliases checked: titleKeywords, title keywords, keywords, key words, category</w:t>
            </w:r>
          </w:p>
        </w:tc>
      </w:tr>
      <w:tr>
        <w:tc>
          <w:tcPr>
            <w:tcW w:type="dxa" w:w="1944"/>
            <w:vAlign w:val="top"/>
          </w:tcPr>
          <w:p>
            <w:pPr>
              <w:spacing w:before="0" w:after="0" w:line="260" w:lineRule="auto"/>
            </w:pPr>
            <w:r>
              <w:rPr>
                <w:rFonts w:ascii="Calibri" w:hAnsi="Calibri"/>
                <w:sz w:val="13"/>
              </w:rPr>
              <w:t>titleKeywords</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Fills blank values only.</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titleKeywords</w:t>
            </w:r>
          </w:p>
        </w:tc>
        <w:tc>
          <w:tcPr>
            <w:tcW w:type="dxa" w:w="648"/>
            <w:vAlign w:val="top"/>
          </w:tcPr>
          <w:p>
            <w:pPr>
              <w:spacing w:before="0" w:after="0" w:line="260" w:lineRule="auto"/>
            </w:pPr>
            <w:r>
              <w:rPr>
                <w:rFonts w:ascii="Calibri" w:hAnsi="Calibri"/>
                <w:sz w:val="13"/>
              </w:rPr>
              <w:t>5</w:t>
            </w:r>
          </w:p>
        </w:tc>
        <w:tc>
          <w:tcPr>
            <w:tcW w:type="dxa" w:w="2088"/>
            <w:vAlign w:val="top"/>
          </w:tcPr>
          <w:p>
            <w:pPr>
              <w:spacing w:before="0" w:after="0" w:line="260" w:lineRule="auto"/>
            </w:pPr>
            <w:r>
              <w:rPr>
                <w:rFonts w:ascii="Calibri" w:hAnsi="Calibri"/>
                <w:sz w:val="13"/>
              </w:rPr>
              <w:t>Metadata Smart Sheet</w:t>
            </w:r>
          </w:p>
        </w:tc>
        <w:tc>
          <w:tcPr>
            <w:tcW w:type="dxa" w:w="4320"/>
            <w:vAlign w:val="top"/>
          </w:tcPr>
          <w:p>
            <w:pPr>
              <w:spacing w:before="0" w:after="0" w:line="260" w:lineRule="auto"/>
            </w:pPr>
            <w:r>
              <w:rPr>
                <w:rFonts w:ascii="Calibri" w:hAnsi="Calibri"/>
                <w:sz w:val="13"/>
              </w:rPr>
              <w:t>Optional final metadata override for selected fields only.</w:t>
            </w:r>
          </w:p>
        </w:tc>
        <w:tc>
          <w:tcPr>
            <w:tcW w:type="dxa" w:w="5472"/>
            <w:vAlign w:val="top"/>
          </w:tcPr>
          <w:p>
            <w:pPr>
              <w:spacing w:before="0" w:after="0" w:line="260" w:lineRule="auto"/>
            </w:pPr>
            <w:r>
              <w:rPr>
                <w:rFonts w:ascii="Calibri" w:hAnsi="Calibri"/>
                <w:sz w:val="13"/>
              </w:rPr>
              <w:t>Key Words. Matches by External ID -&gt; assetNameSDVI or New SKU -&gt; idSku. After a TVSHOW/PODCAST series row is matched, child seasons and episodes can match by parent SKU, Season, and Episode.</w:t>
            </w:r>
          </w:p>
        </w:tc>
      </w:tr>
      <w:tr>
        <w:tc>
          <w:tcPr>
            <w:tcW w:type="dxa" w:w="1944"/>
            <w:vAlign w:val="top"/>
          </w:tcPr>
          <w:p>
            <w:pPr>
              <w:spacing w:before="0" w:after="0" w:line="260" w:lineRule="auto"/>
            </w:pPr>
            <w:r>
              <w:rPr>
                <w:rFonts w:ascii="Calibri" w:hAnsi="Calibri"/>
                <w:sz w:val="13"/>
              </w:rPr>
              <w:t>titleSchedule</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titleSchedule, title schedule, schedule title</w:t>
            </w:r>
          </w:p>
        </w:tc>
      </w:tr>
      <w:tr>
        <w:tc>
          <w:tcPr>
            <w:tcW w:type="dxa" w:w="1944"/>
            <w:vAlign w:val="top"/>
          </w:tcPr>
          <w:p>
            <w:pPr>
              <w:spacing w:before="0" w:after="0" w:line="260" w:lineRule="auto"/>
            </w:pPr>
            <w:r>
              <w:rPr>
                <w:rFonts w:ascii="Calibri" w:hAnsi="Calibri"/>
                <w:sz w:val="13"/>
              </w:rPr>
              <w:t>titleSchedule</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vodMediaId (SKU)</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vodMediaId (SKU), vod media id, media sku</w:t>
            </w:r>
          </w:p>
        </w:tc>
      </w:tr>
      <w:tr>
        <w:tc>
          <w:tcPr>
            <w:tcW w:type="dxa" w:w="1944"/>
            <w:vAlign w:val="top"/>
          </w:tcPr>
          <w:p>
            <w:pPr>
              <w:spacing w:before="0" w:after="0" w:line="260" w:lineRule="auto"/>
            </w:pPr>
            <w:r>
              <w:rPr>
                <w:rFonts w:ascii="Calibri" w:hAnsi="Calibri"/>
                <w:sz w:val="13"/>
              </w:rPr>
              <w:t>vodMediaId (SKU)</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r>
        <w:tc>
          <w:tcPr>
            <w:tcW w:type="dxa" w:w="1944"/>
            <w:vAlign w:val="top"/>
          </w:tcPr>
          <w:p>
            <w:pPr>
              <w:spacing w:before="0" w:after="0" w:line="260" w:lineRule="auto"/>
            </w:pPr>
            <w:r>
              <w:rPr>
                <w:rFonts w:ascii="Calibri" w:hAnsi="Calibri"/>
                <w:sz w:val="13"/>
              </w:rPr>
              <w:t>vodProgramId (SKU)</w:t>
            </w:r>
          </w:p>
        </w:tc>
        <w:tc>
          <w:tcPr>
            <w:tcW w:type="dxa" w:w="648"/>
            <w:vAlign w:val="top"/>
          </w:tcPr>
          <w:p>
            <w:pPr>
              <w:spacing w:before="0" w:after="0" w:line="260" w:lineRule="auto"/>
            </w:pPr>
            <w:r>
              <w:rPr>
                <w:rFonts w:ascii="Calibri" w:hAnsi="Calibri"/>
                <w:sz w:val="13"/>
              </w:rPr>
              <w:t>1</w:t>
            </w:r>
          </w:p>
        </w:tc>
        <w:tc>
          <w:tcPr>
            <w:tcW w:type="dxa" w:w="2088"/>
            <w:vAlign w:val="top"/>
          </w:tcPr>
          <w:p>
            <w:pPr>
              <w:spacing w:before="0" w:after="0" w:line="260" w:lineRule="auto"/>
            </w:pPr>
            <w:r>
              <w:rPr>
                <w:rFonts w:ascii="Calibri" w:hAnsi="Calibri"/>
                <w:sz w:val="13"/>
              </w:rPr>
              <w:t>WhatsOn and row-producing sources</w:t>
            </w:r>
          </w:p>
        </w:tc>
        <w:tc>
          <w:tcPr>
            <w:tcW w:type="dxa" w:w="4320"/>
            <w:vAlign w:val="top"/>
          </w:tcPr>
          <w:p>
            <w:pPr>
              <w:spacing w:before="0" w:after="0" w:line="260" w:lineRule="auto"/>
            </w:pPr>
            <w:r>
              <w:rPr>
                <w:rFonts w:ascii="Calibri" w:hAnsi="Calibri"/>
                <w:sz w:val="13"/>
              </w:rPr>
              <w:t>Exact source headers and configured aliases are read first.</w:t>
            </w:r>
          </w:p>
        </w:tc>
        <w:tc>
          <w:tcPr>
            <w:tcW w:type="dxa" w:w="5472"/>
            <w:vAlign w:val="top"/>
          </w:tcPr>
          <w:p>
            <w:pPr>
              <w:spacing w:before="0" w:after="0" w:line="260" w:lineRule="auto"/>
            </w:pPr>
            <w:r>
              <w:rPr>
                <w:rFonts w:ascii="Calibri" w:hAnsi="Calibri"/>
                <w:sz w:val="13"/>
              </w:rPr>
              <w:t>No matching WhatsOn field found. Aliases checked: vodProgramId (SKU), vod program id, program sku</w:t>
            </w:r>
          </w:p>
        </w:tc>
      </w:tr>
      <w:tr>
        <w:tc>
          <w:tcPr>
            <w:tcW w:type="dxa" w:w="1944"/>
            <w:vAlign w:val="top"/>
          </w:tcPr>
          <w:p>
            <w:pPr>
              <w:spacing w:before="0" w:after="0" w:line="260" w:lineRule="auto"/>
            </w:pPr>
            <w:r>
              <w:rPr>
                <w:rFonts w:ascii="Calibri" w:hAnsi="Calibri"/>
                <w:sz w:val="13"/>
              </w:rPr>
              <w:t>vodProgramId (SKU)</w:t>
            </w:r>
          </w:p>
        </w:tc>
        <w:tc>
          <w:tcPr>
            <w:tcW w:type="dxa" w:w="648"/>
            <w:vAlign w:val="top"/>
          </w:tcPr>
          <w:p>
            <w:pPr>
              <w:spacing w:before="0" w:after="0" w:line="260" w:lineRule="auto"/>
            </w:pPr>
            <w:r>
              <w:rPr>
                <w:rFonts w:ascii="Calibri" w:hAnsi="Calibri"/>
                <w:sz w:val="13"/>
              </w:rPr>
              <w:t>3</w:t>
            </w:r>
          </w:p>
        </w:tc>
        <w:tc>
          <w:tcPr>
            <w:tcW w:type="dxa" w:w="2088"/>
            <w:vAlign w:val="top"/>
          </w:tcPr>
          <w:p>
            <w:pPr>
              <w:spacing w:before="0" w:after="0" w:line="260" w:lineRule="auto"/>
            </w:pPr>
            <w:r>
              <w:rPr>
                <w:rFonts w:ascii="Calibri" w:hAnsi="Calibri"/>
                <w:sz w:val="13"/>
              </w:rPr>
              <w:t>CVP Metadata knowledge base</w:t>
            </w:r>
          </w:p>
        </w:tc>
        <w:tc>
          <w:tcPr>
            <w:tcW w:type="dxa" w:w="4320"/>
            <w:vAlign w:val="top"/>
          </w:tcPr>
          <w:p>
            <w:pPr>
              <w:spacing w:before="0" w:after="0" w:line="260" w:lineRule="auto"/>
            </w:pPr>
            <w:r>
              <w:rPr>
                <w:rFonts w:ascii="Calibri" w:hAnsi="Calibri"/>
                <w:sz w:val="13"/>
              </w:rPr>
              <w:t>Overrides mapped source values on match.</w:t>
            </w:r>
          </w:p>
        </w:tc>
        <w:tc>
          <w:tcPr>
            <w:tcW w:type="dxa" w:w="5472"/>
            <w:vAlign w:val="top"/>
          </w:tcPr>
          <w:p>
            <w:pPr>
              <w:spacing w:before="0" w:after="0" w:line="260" w:lineRule="auto"/>
            </w:pPr>
            <w:r>
              <w:rPr>
                <w:rFonts w:ascii="Calibri" w:hAnsi="Calibri"/>
                <w:sz w:val="13"/>
              </w:rPr>
              <w:t>Title, GUID, SKU, MPX/CVP Media ID, or MPX/CVP Program ID match</w:t>
            </w:r>
          </w:p>
        </w:tc>
      </w:tr>
    </w:tbl>
    <w:sectPr w:rsidR="00FC693F" w:rsidRPr="0006063C" w:rsidSect="00034616">
      <w:pgSz w:w="15840" w:h="12240" w:orient="landscape"/>
      <w:pgMar w:top="648" w:right="648" w:bottom="648" w:left="64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