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0"/>
        </w:rPr>
        <w:t>Rally Connect Input CSV Maker Mapping Guide V1.47</w:t>
      </w:r>
    </w:p>
    <w:p>
      <w:r>
        <w:rPr>
          <w:color w:val="555555"/>
          <w:sz w:val="18"/>
        </w:rPr>
        <w:t>Description last updated August 3, 2026. Mapping documents last updated August 3, 2026 - V1.47.</w:t>
      </w:r>
    </w:p>
    <w:p>
      <w:pPr>
        <w:spacing w:before="160" w:after="60"/>
      </w:pPr>
      <w:r>
        <w:rPr>
          <w:b/>
          <w:color w:val="2E74B5"/>
          <w:sz w:val="24"/>
        </w:rPr>
        <w:t>Purpose</w:t>
      </w:r>
    </w:p>
    <w:p>
      <w:r>
        <w:t>This guide explains how Rally Connect Input CSV Maker populates the SDVI Input CSV output from WhatsOn, optional Avails, Connector knowledge base, CVP Metadata knowledge base, optional Metadata Smart Sheet, defaults, and final cleanup passes. It includes source priority and the transformations used to force values into the required output syntax.</w:t>
      </w:r>
    </w:p>
    <w:p>
      <w:pPr>
        <w:spacing w:before="160" w:after="60"/>
      </w:pPr>
      <w:r>
        <w:rPr>
          <w:b/>
          <w:color w:val="2E74B5"/>
          <w:sz w:val="24"/>
        </w:rPr>
        <w:t>Source Priority</w:t>
      </w:r>
    </w:p>
    <w:p>
      <w:r>
        <w:t>1. WhatsOn input and other row-producing sources fill exact field aliases first.</w:t>
      </w:r>
    </w:p>
    <w:p>
      <w:r>
        <w:t>2. Avails fills VOD dates and supported ID/SKU fields after strict matching.</w:t>
      </w:r>
    </w:p>
    <w:p>
      <w:r>
        <w:t>3. CVP Metadata enriches matched rows unless a field is protected by app rules.</w:t>
      </w:r>
    </w:p>
    <w:p>
      <w:r>
        <w:t>4. Connector knowledge base fills or overrides connector-supported cross-reference fields on strict identifier matches.</w:t>
      </w:r>
    </w:p>
    <w:p>
      <w:r>
        <w:t>5. Metadata Smart Sheet optionally overrides only its approved fields.</w:t>
      </w:r>
    </w:p>
    <w:p>
      <w:r>
        <w:t>6. Final passes apply publish endpoints, language defaults, parent row derivations, warnings, and cleanup rules.</w:t>
      </w:r>
    </w:p>
    <w:p>
      <w:pPr>
        <w:spacing w:before="160" w:after="60"/>
      </w:pPr>
      <w:r>
        <w:rPr>
          <w:b/>
          <w:color w:val="2E74B5"/>
          <w:sz w:val="24"/>
        </w:rPr>
        <w:t>Critical Transform Highlights</w:t>
      </w:r>
    </w:p>
    <w:p>
      <w:r>
        <w:t>premiereDate is always written as YYYY-MM-DD. Recognized date strings are normalized, a four-digit year becomes YYYY-01-01, and invalid nonblank text is blanked so it can be corrected from warnings.</w:t>
      </w:r>
    </w:p>
    <w:p>
      <w:r>
        <w:t>titleKeywords are split on commas or semicolons and written with semicolon separators.</w:t>
      </w:r>
    </w:p>
    <w:p>
      <w:r>
        <w:t>Country of Origin is normalized to MovieLabs ISO 3166 alpha-2 codes when possible.</w:t>
      </w:r>
    </w:p>
    <w:p>
      <w:r>
        <w:t>TV ratings must use TV-format values such as tv-g, tv-pg, tv-14, or tv-ma; bare placeholders such as [FCC] are treated as blank.</w:t>
      </w:r>
    </w:p>
    <w:p>
      <w:r>
        <w:t>WhatsOn Cast (sorted) is split by comma into actorName1 through actorName4, and actorOrder fields are filled only for populated actor names.</w:t>
      </w:r>
    </w:p>
    <w:p>
      <w:r>
        <w:t>Endpoint fields stay blank unless selected on the home screen, then receive the selected publish type.</w:t>
      </w:r>
    </w:p>
    <w:p>
      <w:pPr>
        <w:spacing w:before="160" w:after="60"/>
      </w:pPr>
      <w:r>
        <w:rPr>
          <w:b/>
          <w:color w:val="2E74B5"/>
          <w:sz w:val="24"/>
        </w:rPr>
        <w:t>WhatsOn Header Basis</w:t>
      </w:r>
    </w:p>
    <w:p>
      <w:r>
        <w:t>Exact WhatsOn matches in the catalog are based on the sample WhatsOn workbook headers available during generation.</w:t>
      </w:r>
    </w:p>
    <w:p>
      <w:pPr>
        <w:spacing w:before="160" w:after="60"/>
      </w:pPr>
      <w:r>
        <w:rPr>
          <w:b/>
          <w:color w:val="2E74B5"/>
          <w:sz w:val="24"/>
        </w:rPr>
        <w:t>Field Mapping Catalog</w:t>
      </w:r>
    </w:p>
    <w:tbl>
      <w:tblPr>
        <w:tblStyle w:val="TableGrid"/>
        <w:tblW w:type="auto" w:w="0"/>
        <w:jc w:val="left"/>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440"/>
            <w:vAlign w:val="top"/>
            <w:shd w:fill="1F4D78"/>
          </w:tcPr>
          <w:p>
            <w:pPr>
              <w:spacing w:after="0"/>
              <w:jc w:val="left"/>
            </w:pPr>
            <w:r>
              <w:rPr>
                <w:rFonts w:ascii="Calibri" w:hAnsi="Calibri"/>
                <w:b/>
                <w:color w:val="FFFFFF"/>
                <w:sz w:val="12"/>
              </w:rPr>
              <w:t>Output Field</w:t>
            </w:r>
          </w:p>
        </w:tc>
        <w:tc>
          <w:tcPr>
            <w:tcW w:type="dxa" w:w="648"/>
            <w:vAlign w:val="top"/>
            <w:shd w:fill="1F4D78"/>
          </w:tcPr>
          <w:p>
            <w:pPr>
              <w:spacing w:after="0"/>
              <w:jc w:val="left"/>
            </w:pPr>
            <w:r>
              <w:rPr>
                <w:rFonts w:ascii="Calibri" w:hAnsi="Calibri"/>
                <w:b/>
                <w:color w:val="FFFFFF"/>
                <w:sz w:val="12"/>
              </w:rPr>
              <w:t>Priority</w:t>
            </w:r>
          </w:p>
        </w:tc>
        <w:tc>
          <w:tcPr>
            <w:tcW w:type="dxa" w:w="1655"/>
            <w:vAlign w:val="top"/>
            <w:shd w:fill="1F4D78"/>
          </w:tcPr>
          <w:p>
            <w:pPr>
              <w:spacing w:after="0"/>
              <w:jc w:val="left"/>
            </w:pPr>
            <w:r>
              <w:rPr>
                <w:rFonts w:ascii="Calibri" w:hAnsi="Calibri"/>
                <w:b/>
                <w:color w:val="FFFFFF"/>
                <w:sz w:val="12"/>
              </w:rPr>
              <w:t>Source</w:t>
            </w:r>
          </w:p>
        </w:tc>
        <w:tc>
          <w:tcPr>
            <w:tcW w:type="dxa" w:w="2951"/>
            <w:vAlign w:val="top"/>
            <w:shd w:fill="1F4D78"/>
          </w:tcPr>
          <w:p>
            <w:pPr>
              <w:spacing w:after="0"/>
              <w:jc w:val="left"/>
            </w:pPr>
            <w:r>
              <w:rPr>
                <w:rFonts w:ascii="Calibri" w:hAnsi="Calibri"/>
                <w:b/>
                <w:color w:val="FFFFFF"/>
                <w:sz w:val="12"/>
              </w:rPr>
              <w:t>Behavior</w:t>
            </w:r>
          </w:p>
        </w:tc>
        <w:tc>
          <w:tcPr>
            <w:tcW w:type="dxa" w:w="3816"/>
            <w:vAlign w:val="top"/>
            <w:shd w:fill="1F4D78"/>
          </w:tcPr>
          <w:p>
            <w:pPr>
              <w:spacing w:after="0"/>
              <w:jc w:val="left"/>
            </w:pPr>
            <w:r>
              <w:rPr>
                <w:rFonts w:ascii="Calibri" w:hAnsi="Calibri"/>
                <w:b/>
                <w:color w:val="FFFFFF"/>
                <w:sz w:val="12"/>
              </w:rPr>
              <w:t>Details</w:t>
            </w:r>
          </w:p>
        </w:tc>
        <w:tc>
          <w:tcPr>
            <w:tcW w:type="dxa" w:w="4104"/>
            <w:vAlign w:val="top"/>
            <w:shd w:fill="1F4D78"/>
          </w:tcPr>
          <w:p>
            <w:pPr>
              <w:spacing w:after="0"/>
              <w:jc w:val="left"/>
            </w:pPr>
            <w:r>
              <w:rPr>
                <w:rFonts w:ascii="Calibri" w:hAnsi="Calibri"/>
                <w:b/>
                <w:color w:val="FFFFFF"/>
                <w:sz w:val="12"/>
              </w:rPr>
              <w:t>Transform / Formula</w:t>
            </w:r>
          </w:p>
        </w:tc>
      </w:tr>
      <w:tr>
        <w:tc>
          <w:tcPr>
            <w:tcW w:type="dxa" w:w="1440"/>
            <w:vAlign w:val="top"/>
          </w:tcPr>
          <w:p>
            <w:pPr>
              <w:spacing w:after="0"/>
              <w:jc w:val="left"/>
            </w:pPr>
            <w:r>
              <w:rPr>
                <w:rFonts w:ascii="Calibri" w:hAnsi="Calibri"/>
                <w:b w:val="0"/>
                <w:color w:val="000000"/>
                <w:sz w:val="11"/>
              </w:rPr>
              <w:t>assetNameSDVI</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External reference. Aliases checked: assetNameSDVI, asset name sdvi, asset name, sdvi asset, external reference, internal asset name, title internal alias, episode title internal alias, series title internal alias</w:t>
            </w:r>
          </w:p>
        </w:tc>
        <w:tc>
          <w:tcPr>
            <w:tcW w:type="dxa" w:w="4104"/>
            <w:vAlign w:val="top"/>
          </w:tcPr>
          <w:p>
            <w:pPr>
              <w:spacing w:after="0"/>
              <w:jc w:val="left"/>
            </w:pPr>
            <w:r>
              <w:rPr>
                <w:rFonts w:ascii="Calibri" w:hAnsi="Calibri"/>
                <w:b w:val="0"/>
                <w:color w:val="000000"/>
                <w:sz w:val="11"/>
              </w:rPr>
              <w:t>WhatsOn External reference maps directly with no exceptions. If no direct value exists, a fallback asset code may be generated from title/series text plus S##E## and truncated to 64 characters.</w:t>
            </w:r>
          </w:p>
        </w:tc>
      </w:tr>
      <w:tr>
        <w:tc>
          <w:tcPr>
            <w:tcW w:type="dxa" w:w="1440"/>
            <w:vAlign w:val="top"/>
          </w:tcPr>
          <w:p>
            <w:pPr>
              <w:spacing w:after="0"/>
              <w:jc w:val="left"/>
            </w:pPr>
            <w:r>
              <w:rPr>
                <w:rFonts w:ascii="Calibri" w:hAnsi="Calibri"/>
                <w:b w:val="0"/>
                <w:color w:val="000000"/>
                <w:sz w:val="11"/>
              </w:rPr>
              <w:t>assetNameSDVI</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WhatsOn External reference maps directly with no exceptions. If no direct value exists, a fallback asset code may be generated from title/series text plus S##E## and truncated to 64 characters.</w:t>
            </w:r>
          </w:p>
        </w:tc>
      </w:tr>
      <w:tr>
        <w:tc>
          <w:tcPr>
            <w:tcW w:type="dxa" w:w="1440"/>
            <w:vAlign w:val="top"/>
          </w:tcPr>
          <w:p>
            <w:pPr>
              <w:spacing w:after="0"/>
              <w:jc w:val="left"/>
            </w:pPr>
            <w:r>
              <w:rPr>
                <w:rFonts w:ascii="Calibri" w:hAnsi="Calibri"/>
                <w:b w:val="0"/>
                <w:color w:val="000000"/>
                <w:sz w:val="11"/>
              </w:rPr>
              <w:t>Grandfathered</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Grandfathered, grandfathered, is grandfathered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Grandfathered</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Grandfathered</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True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SourceMedia</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SourceMedia, source media, source path, source, s3 path, s3 feature path, media path, feature path, source url</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SourceMedia</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endpoint_Amazon</w:t>
            </w:r>
          </w:p>
        </w:tc>
        <w:tc>
          <w:tcPr>
            <w:tcW w:type="dxa" w:w="648"/>
            <w:vAlign w:val="top"/>
          </w:tcPr>
          <w:p>
            <w:pPr>
              <w:spacing w:after="0"/>
              <w:jc w:val="left"/>
            </w:pPr>
            <w:r>
              <w:rPr>
                <w:rFonts w:ascii="Calibri" w:hAnsi="Calibri"/>
                <w:b w:val="0"/>
                <w:color w:val="000000"/>
                <w:sz w:val="11"/>
              </w:rPr>
              <w:t>6</w:t>
            </w:r>
          </w:p>
        </w:tc>
        <w:tc>
          <w:tcPr>
            <w:tcW w:type="dxa" w:w="1655"/>
            <w:vAlign w:val="top"/>
          </w:tcPr>
          <w:p>
            <w:pPr>
              <w:spacing w:after="0"/>
              <w:jc w:val="left"/>
            </w:pPr>
            <w:r>
              <w:rPr>
                <w:rFonts w:ascii="Calibri" w:hAnsi="Calibri"/>
                <w:b w:val="0"/>
                <w:color w:val="000000"/>
                <w:sz w:val="11"/>
              </w:rPr>
              <w:t>Home screen publish selection</w:t>
            </w:r>
          </w:p>
        </w:tc>
        <w:tc>
          <w:tcPr>
            <w:tcW w:type="dxa" w:w="2951"/>
            <w:vAlign w:val="top"/>
          </w:tcPr>
          <w:p>
            <w:pPr>
              <w:spacing w:after="0"/>
              <w:jc w:val="left"/>
            </w:pPr>
            <w:r>
              <w:rPr>
                <w:rFonts w:ascii="Calibri" w:hAnsi="Calibri"/>
                <w:b w:val="0"/>
                <w:color w:val="000000"/>
                <w:sz w:val="11"/>
              </w:rPr>
              <w:t>Final pass fills selected endpoint fields with the selected publish kind. Unselected endpoints stay blank.</w:t>
            </w:r>
          </w:p>
        </w:tc>
        <w:tc>
          <w:tcPr>
            <w:tcW w:type="dxa" w:w="3816"/>
            <w:vAlign w:val="top"/>
          </w:tcPr>
          <w:p>
            <w:pPr>
              <w:spacing w:after="0"/>
              <w:jc w:val="left"/>
            </w:pPr>
            <w:r>
              <w:rPr>
                <w:rFonts w:ascii="Calibri" w:hAnsi="Calibri"/>
                <w:b w:val="0"/>
                <w:color w:val="000000"/>
                <w:sz w:val="11"/>
              </w:rPr>
              <w:t>Full Delivery, Full package replacement, Full Delete, Metadata Update</w:t>
            </w:r>
          </w:p>
        </w:tc>
        <w:tc>
          <w:tcPr>
            <w:tcW w:type="dxa" w:w="4104"/>
            <w:vAlign w:val="top"/>
          </w:tcPr>
          <w:p>
            <w:pPr>
              <w:spacing w:after="0"/>
              <w:jc w:val="left"/>
            </w:pPr>
            <w:r>
              <w:rPr>
                <w:rFonts w:ascii="Calibri" w:hAnsi="Calibri"/>
                <w:b w:val="0"/>
                <w:color w:val="000000"/>
                <w:sz w:val="11"/>
              </w:rPr>
              <w:t>Selected endpoints get the publish type selected on the home screen. Unselected endpoints stay blank.</w:t>
            </w:r>
          </w:p>
        </w:tc>
      </w:tr>
      <w:tr>
        <w:tc>
          <w:tcPr>
            <w:tcW w:type="dxa" w:w="1440"/>
            <w:vAlign w:val="top"/>
          </w:tcPr>
          <w:p>
            <w:pPr>
              <w:spacing w:after="0"/>
              <w:jc w:val="left"/>
            </w:pPr>
            <w:r>
              <w:rPr>
                <w:rFonts w:ascii="Calibri" w:hAnsi="Calibri"/>
                <w:b w:val="0"/>
                <w:color w:val="000000"/>
                <w:sz w:val="11"/>
              </w:rPr>
              <w:t>endpoint_Roku</w:t>
            </w:r>
          </w:p>
        </w:tc>
        <w:tc>
          <w:tcPr>
            <w:tcW w:type="dxa" w:w="648"/>
            <w:vAlign w:val="top"/>
          </w:tcPr>
          <w:p>
            <w:pPr>
              <w:spacing w:after="0"/>
              <w:jc w:val="left"/>
            </w:pPr>
            <w:r>
              <w:rPr>
                <w:rFonts w:ascii="Calibri" w:hAnsi="Calibri"/>
                <w:b w:val="0"/>
                <w:color w:val="000000"/>
                <w:sz w:val="11"/>
              </w:rPr>
              <w:t>6</w:t>
            </w:r>
          </w:p>
        </w:tc>
        <w:tc>
          <w:tcPr>
            <w:tcW w:type="dxa" w:w="1655"/>
            <w:vAlign w:val="top"/>
          </w:tcPr>
          <w:p>
            <w:pPr>
              <w:spacing w:after="0"/>
              <w:jc w:val="left"/>
            </w:pPr>
            <w:r>
              <w:rPr>
                <w:rFonts w:ascii="Calibri" w:hAnsi="Calibri"/>
                <w:b w:val="0"/>
                <w:color w:val="000000"/>
                <w:sz w:val="11"/>
              </w:rPr>
              <w:t>Home screen publish selection</w:t>
            </w:r>
          </w:p>
        </w:tc>
        <w:tc>
          <w:tcPr>
            <w:tcW w:type="dxa" w:w="2951"/>
            <w:vAlign w:val="top"/>
          </w:tcPr>
          <w:p>
            <w:pPr>
              <w:spacing w:after="0"/>
              <w:jc w:val="left"/>
            </w:pPr>
            <w:r>
              <w:rPr>
                <w:rFonts w:ascii="Calibri" w:hAnsi="Calibri"/>
                <w:b w:val="0"/>
                <w:color w:val="000000"/>
                <w:sz w:val="11"/>
              </w:rPr>
              <w:t>Final pass fills selected endpoint fields with the selected publish kind. Unselected endpoints stay blank.</w:t>
            </w:r>
          </w:p>
        </w:tc>
        <w:tc>
          <w:tcPr>
            <w:tcW w:type="dxa" w:w="3816"/>
            <w:vAlign w:val="top"/>
          </w:tcPr>
          <w:p>
            <w:pPr>
              <w:spacing w:after="0"/>
              <w:jc w:val="left"/>
            </w:pPr>
            <w:r>
              <w:rPr>
                <w:rFonts w:ascii="Calibri" w:hAnsi="Calibri"/>
                <w:b w:val="0"/>
                <w:color w:val="000000"/>
                <w:sz w:val="11"/>
              </w:rPr>
              <w:t>Full Delivery, Full package replacement, Full Delete, Metadata Update</w:t>
            </w:r>
          </w:p>
        </w:tc>
        <w:tc>
          <w:tcPr>
            <w:tcW w:type="dxa" w:w="4104"/>
            <w:vAlign w:val="top"/>
          </w:tcPr>
          <w:p>
            <w:pPr>
              <w:spacing w:after="0"/>
              <w:jc w:val="left"/>
            </w:pPr>
            <w:r>
              <w:rPr>
                <w:rFonts w:ascii="Calibri" w:hAnsi="Calibri"/>
                <w:b w:val="0"/>
                <w:color w:val="000000"/>
                <w:sz w:val="11"/>
              </w:rPr>
              <w:t>Selected endpoints get the publish type selected on the home screen. Unselected endpoints stay blank.</w:t>
            </w:r>
          </w:p>
        </w:tc>
      </w:tr>
      <w:tr>
        <w:tc>
          <w:tcPr>
            <w:tcW w:type="dxa" w:w="1440"/>
            <w:vAlign w:val="top"/>
          </w:tcPr>
          <w:p>
            <w:pPr>
              <w:spacing w:after="0"/>
              <w:jc w:val="left"/>
            </w:pPr>
            <w:r>
              <w:rPr>
                <w:rFonts w:ascii="Calibri" w:hAnsi="Calibri"/>
                <w:b w:val="0"/>
                <w:color w:val="000000"/>
                <w:sz w:val="11"/>
              </w:rPr>
              <w:t>endpoint_Frndly</w:t>
            </w:r>
          </w:p>
        </w:tc>
        <w:tc>
          <w:tcPr>
            <w:tcW w:type="dxa" w:w="648"/>
            <w:vAlign w:val="top"/>
          </w:tcPr>
          <w:p>
            <w:pPr>
              <w:spacing w:after="0"/>
              <w:jc w:val="left"/>
            </w:pPr>
            <w:r>
              <w:rPr>
                <w:rFonts w:ascii="Calibri" w:hAnsi="Calibri"/>
                <w:b w:val="0"/>
                <w:color w:val="000000"/>
                <w:sz w:val="11"/>
              </w:rPr>
              <w:t>6</w:t>
            </w:r>
          </w:p>
        </w:tc>
        <w:tc>
          <w:tcPr>
            <w:tcW w:type="dxa" w:w="1655"/>
            <w:vAlign w:val="top"/>
          </w:tcPr>
          <w:p>
            <w:pPr>
              <w:spacing w:after="0"/>
              <w:jc w:val="left"/>
            </w:pPr>
            <w:r>
              <w:rPr>
                <w:rFonts w:ascii="Calibri" w:hAnsi="Calibri"/>
                <w:b w:val="0"/>
                <w:color w:val="000000"/>
                <w:sz w:val="11"/>
              </w:rPr>
              <w:t>Home screen publish selection</w:t>
            </w:r>
          </w:p>
        </w:tc>
        <w:tc>
          <w:tcPr>
            <w:tcW w:type="dxa" w:w="2951"/>
            <w:vAlign w:val="top"/>
          </w:tcPr>
          <w:p>
            <w:pPr>
              <w:spacing w:after="0"/>
              <w:jc w:val="left"/>
            </w:pPr>
            <w:r>
              <w:rPr>
                <w:rFonts w:ascii="Calibri" w:hAnsi="Calibri"/>
                <w:b w:val="0"/>
                <w:color w:val="000000"/>
                <w:sz w:val="11"/>
              </w:rPr>
              <w:t>Final pass fills selected endpoint fields with the selected publish kind. Unselected endpoints stay blank.</w:t>
            </w:r>
          </w:p>
        </w:tc>
        <w:tc>
          <w:tcPr>
            <w:tcW w:type="dxa" w:w="3816"/>
            <w:vAlign w:val="top"/>
          </w:tcPr>
          <w:p>
            <w:pPr>
              <w:spacing w:after="0"/>
              <w:jc w:val="left"/>
            </w:pPr>
            <w:r>
              <w:rPr>
                <w:rFonts w:ascii="Calibri" w:hAnsi="Calibri"/>
                <w:b w:val="0"/>
                <w:color w:val="000000"/>
                <w:sz w:val="11"/>
              </w:rPr>
              <w:t>Full Delivery, Full package replacement, Full Delete, Metadata Update</w:t>
            </w:r>
          </w:p>
        </w:tc>
        <w:tc>
          <w:tcPr>
            <w:tcW w:type="dxa" w:w="4104"/>
            <w:vAlign w:val="top"/>
          </w:tcPr>
          <w:p>
            <w:pPr>
              <w:spacing w:after="0"/>
              <w:jc w:val="left"/>
            </w:pPr>
            <w:r>
              <w:rPr>
                <w:rFonts w:ascii="Calibri" w:hAnsi="Calibri"/>
                <w:b w:val="0"/>
                <w:color w:val="000000"/>
                <w:sz w:val="11"/>
              </w:rPr>
              <w:t>Selected endpoints get the publish type selected on the home screen. Unselected endpoints stay blank.</w:t>
            </w:r>
          </w:p>
        </w:tc>
      </w:tr>
      <w:tr>
        <w:tc>
          <w:tcPr>
            <w:tcW w:type="dxa" w:w="1440"/>
            <w:vAlign w:val="top"/>
          </w:tcPr>
          <w:p>
            <w:pPr>
              <w:spacing w:after="0"/>
              <w:jc w:val="left"/>
            </w:pPr>
            <w:r>
              <w:rPr>
                <w:rFonts w:ascii="Calibri" w:hAnsi="Calibri"/>
                <w:b w:val="0"/>
                <w:color w:val="000000"/>
                <w:sz w:val="11"/>
              </w:rPr>
              <w:t>endpoint_YouTube</w:t>
            </w:r>
          </w:p>
        </w:tc>
        <w:tc>
          <w:tcPr>
            <w:tcW w:type="dxa" w:w="648"/>
            <w:vAlign w:val="top"/>
          </w:tcPr>
          <w:p>
            <w:pPr>
              <w:spacing w:after="0"/>
              <w:jc w:val="left"/>
            </w:pPr>
            <w:r>
              <w:rPr>
                <w:rFonts w:ascii="Calibri" w:hAnsi="Calibri"/>
                <w:b w:val="0"/>
                <w:color w:val="000000"/>
                <w:sz w:val="11"/>
              </w:rPr>
              <w:t>6</w:t>
            </w:r>
          </w:p>
        </w:tc>
        <w:tc>
          <w:tcPr>
            <w:tcW w:type="dxa" w:w="1655"/>
            <w:vAlign w:val="top"/>
          </w:tcPr>
          <w:p>
            <w:pPr>
              <w:spacing w:after="0"/>
              <w:jc w:val="left"/>
            </w:pPr>
            <w:r>
              <w:rPr>
                <w:rFonts w:ascii="Calibri" w:hAnsi="Calibri"/>
                <w:b w:val="0"/>
                <w:color w:val="000000"/>
                <w:sz w:val="11"/>
              </w:rPr>
              <w:t>Home screen publish selection</w:t>
            </w:r>
          </w:p>
        </w:tc>
        <w:tc>
          <w:tcPr>
            <w:tcW w:type="dxa" w:w="2951"/>
            <w:vAlign w:val="top"/>
          </w:tcPr>
          <w:p>
            <w:pPr>
              <w:spacing w:after="0"/>
              <w:jc w:val="left"/>
            </w:pPr>
            <w:r>
              <w:rPr>
                <w:rFonts w:ascii="Calibri" w:hAnsi="Calibri"/>
                <w:b w:val="0"/>
                <w:color w:val="000000"/>
                <w:sz w:val="11"/>
              </w:rPr>
              <w:t>Final pass fills selected endpoint fields with the selected publish kind. Unselected endpoints stay blank.</w:t>
            </w:r>
          </w:p>
        </w:tc>
        <w:tc>
          <w:tcPr>
            <w:tcW w:type="dxa" w:w="3816"/>
            <w:vAlign w:val="top"/>
          </w:tcPr>
          <w:p>
            <w:pPr>
              <w:spacing w:after="0"/>
              <w:jc w:val="left"/>
            </w:pPr>
            <w:r>
              <w:rPr>
                <w:rFonts w:ascii="Calibri" w:hAnsi="Calibri"/>
                <w:b w:val="0"/>
                <w:color w:val="000000"/>
                <w:sz w:val="11"/>
              </w:rPr>
              <w:t>Full Delivery, Full package replacement, Full Delete, Metadata Update</w:t>
            </w:r>
          </w:p>
        </w:tc>
        <w:tc>
          <w:tcPr>
            <w:tcW w:type="dxa" w:w="4104"/>
            <w:vAlign w:val="top"/>
          </w:tcPr>
          <w:p>
            <w:pPr>
              <w:spacing w:after="0"/>
              <w:jc w:val="left"/>
            </w:pPr>
            <w:r>
              <w:rPr>
                <w:rFonts w:ascii="Calibri" w:hAnsi="Calibri"/>
                <w:b w:val="0"/>
                <w:color w:val="000000"/>
                <w:sz w:val="11"/>
              </w:rPr>
              <w:t>Selected endpoints get the publish type selected on the home screen. Unselected endpoints stay blank.</w:t>
            </w:r>
          </w:p>
        </w:tc>
      </w:tr>
      <w:tr>
        <w:tc>
          <w:tcPr>
            <w:tcW w:type="dxa" w:w="1440"/>
            <w:vAlign w:val="top"/>
          </w:tcPr>
          <w:p>
            <w:pPr>
              <w:spacing w:after="0"/>
              <w:jc w:val="left"/>
            </w:pPr>
            <w:r>
              <w:rPr>
                <w:rFonts w:ascii="Calibri" w:hAnsi="Calibri"/>
                <w:b w:val="0"/>
                <w:color w:val="000000"/>
                <w:sz w:val="11"/>
              </w:rPr>
              <w:t>endpoint_Truth</w:t>
            </w:r>
          </w:p>
        </w:tc>
        <w:tc>
          <w:tcPr>
            <w:tcW w:type="dxa" w:w="648"/>
            <w:vAlign w:val="top"/>
          </w:tcPr>
          <w:p>
            <w:pPr>
              <w:spacing w:after="0"/>
              <w:jc w:val="left"/>
            </w:pPr>
            <w:r>
              <w:rPr>
                <w:rFonts w:ascii="Calibri" w:hAnsi="Calibri"/>
                <w:b w:val="0"/>
                <w:color w:val="000000"/>
                <w:sz w:val="11"/>
              </w:rPr>
              <w:t>6</w:t>
            </w:r>
          </w:p>
        </w:tc>
        <w:tc>
          <w:tcPr>
            <w:tcW w:type="dxa" w:w="1655"/>
            <w:vAlign w:val="top"/>
          </w:tcPr>
          <w:p>
            <w:pPr>
              <w:spacing w:after="0"/>
              <w:jc w:val="left"/>
            </w:pPr>
            <w:r>
              <w:rPr>
                <w:rFonts w:ascii="Calibri" w:hAnsi="Calibri"/>
                <w:b w:val="0"/>
                <w:color w:val="000000"/>
                <w:sz w:val="11"/>
              </w:rPr>
              <w:t>Home screen publish selection</w:t>
            </w:r>
          </w:p>
        </w:tc>
        <w:tc>
          <w:tcPr>
            <w:tcW w:type="dxa" w:w="2951"/>
            <w:vAlign w:val="top"/>
          </w:tcPr>
          <w:p>
            <w:pPr>
              <w:spacing w:after="0"/>
              <w:jc w:val="left"/>
            </w:pPr>
            <w:r>
              <w:rPr>
                <w:rFonts w:ascii="Calibri" w:hAnsi="Calibri"/>
                <w:b w:val="0"/>
                <w:color w:val="000000"/>
                <w:sz w:val="11"/>
              </w:rPr>
              <w:t>Final pass fills selected endpoint fields with the selected publish kind. Unselected endpoints stay blank.</w:t>
            </w:r>
          </w:p>
        </w:tc>
        <w:tc>
          <w:tcPr>
            <w:tcW w:type="dxa" w:w="3816"/>
            <w:vAlign w:val="top"/>
          </w:tcPr>
          <w:p>
            <w:pPr>
              <w:spacing w:after="0"/>
              <w:jc w:val="left"/>
            </w:pPr>
            <w:r>
              <w:rPr>
                <w:rFonts w:ascii="Calibri" w:hAnsi="Calibri"/>
                <w:b w:val="0"/>
                <w:color w:val="000000"/>
                <w:sz w:val="11"/>
              </w:rPr>
              <w:t>Full Delivery, Full package replacement, Full Delete, Metadata Update</w:t>
            </w:r>
          </w:p>
        </w:tc>
        <w:tc>
          <w:tcPr>
            <w:tcW w:type="dxa" w:w="4104"/>
            <w:vAlign w:val="top"/>
          </w:tcPr>
          <w:p>
            <w:pPr>
              <w:spacing w:after="0"/>
              <w:jc w:val="left"/>
            </w:pPr>
            <w:r>
              <w:rPr>
                <w:rFonts w:ascii="Calibri" w:hAnsi="Calibri"/>
                <w:b w:val="0"/>
                <w:color w:val="000000"/>
                <w:sz w:val="11"/>
              </w:rPr>
              <w:t>Selected endpoints get the publish type selected on the home screen. Unselected endpoints stay blank.</w:t>
            </w:r>
          </w:p>
        </w:tc>
      </w:tr>
      <w:tr>
        <w:tc>
          <w:tcPr>
            <w:tcW w:type="dxa" w:w="1440"/>
            <w:vAlign w:val="top"/>
          </w:tcPr>
          <w:p>
            <w:pPr>
              <w:spacing w:after="0"/>
              <w:jc w:val="left"/>
            </w:pPr>
            <w:r>
              <w:rPr>
                <w:rFonts w:ascii="Calibri" w:hAnsi="Calibri"/>
                <w:b w:val="0"/>
                <w:color w:val="000000"/>
                <w:sz w:val="11"/>
              </w:rPr>
              <w:t>assetVodStartDate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TVOD Start Date. Aliases checked: assetVodStartDate, asset vod start date, tvod start date, start, start date, window start, rights start, license start</w:t>
            </w:r>
          </w:p>
        </w:tc>
        <w:tc>
          <w:tcPr>
            <w:tcW w:type="dxa" w:w="4104"/>
            <w:vAlign w:val="top"/>
          </w:tcPr>
          <w:p>
            <w:pPr>
              <w:spacing w:after="0"/>
              <w:jc w:val="left"/>
            </w:pPr>
            <w:r>
              <w:rPr>
                <w:rFonts w:ascii="Calibri" w:hAnsi="Calibri"/>
                <w:b w:val="0"/>
                <w:color w:val="000000"/>
                <w:sz w:val="11"/>
              </w:rPr>
              <w:t>Uses Avails only. Common date formats are normalized to YYYY-MM-DD when recognized.</w:t>
            </w:r>
          </w:p>
        </w:tc>
      </w:tr>
      <w:tr>
        <w:tc>
          <w:tcPr>
            <w:tcW w:type="dxa" w:w="1440"/>
            <w:vAlign w:val="top"/>
          </w:tcPr>
          <w:p>
            <w:pPr>
              <w:spacing w:after="0"/>
              <w:jc w:val="left"/>
            </w:pPr>
            <w:r>
              <w:rPr>
                <w:rFonts w:ascii="Calibri" w:hAnsi="Calibri"/>
                <w:b w:val="0"/>
                <w:color w:val="000000"/>
                <w:sz w:val="11"/>
              </w:rPr>
              <w:t>assetVodStartDate</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Direct Avails match overrides VOD dates. Parent series and season rows roll up earliest matched episode dates.</w:t>
            </w:r>
          </w:p>
        </w:tc>
        <w:tc>
          <w:tcPr>
            <w:tcW w:type="dxa" w:w="3816"/>
            <w:vAlign w:val="top"/>
          </w:tcPr>
          <w:p>
            <w:pPr>
              <w:spacing w:after="0"/>
              <w:jc w:val="left"/>
            </w:pPr>
            <w:r>
              <w:rPr>
                <w:rFonts w:ascii="Calibri" w:hAnsi="Calibri"/>
                <w:b w:val="0"/>
                <w:color w:val="000000"/>
                <w:sz w:val="11"/>
              </w:rPr>
              <w:t>ExternalReference, NewSku, CVP SKU, GUID, TMS, MediaGenix IDs, exact title, or WhatsOn VOD ID SKU/VOD ID SKU CVP to Avails ALID when Connector did not match</w:t>
            </w:r>
          </w:p>
        </w:tc>
        <w:tc>
          <w:tcPr>
            <w:tcW w:type="dxa" w:w="4104"/>
            <w:vAlign w:val="top"/>
          </w:tcPr>
          <w:p>
            <w:pPr>
              <w:spacing w:after="0"/>
              <w:jc w:val="left"/>
            </w:pPr>
            <w:r>
              <w:rPr>
                <w:rFonts w:ascii="Calibri" w:hAnsi="Calibri"/>
                <w:b w:val="0"/>
                <w:color w:val="000000"/>
                <w:sz w:val="11"/>
              </w:rPr>
              <w:t>Uses Avails only. Common date formats are normalized to YYYY-MM-DD when recognized.</w:t>
            </w:r>
          </w:p>
        </w:tc>
      </w:tr>
      <w:tr>
        <w:tc>
          <w:tcPr>
            <w:tcW w:type="dxa" w:w="1440"/>
            <w:vAlign w:val="top"/>
          </w:tcPr>
          <w:p>
            <w:pPr>
              <w:spacing w:after="0"/>
              <w:jc w:val="left"/>
            </w:pPr>
            <w:r>
              <w:rPr>
                <w:rFonts w:ascii="Calibri" w:hAnsi="Calibri"/>
                <w:b w:val="0"/>
                <w:color w:val="000000"/>
                <w:sz w:val="11"/>
              </w:rPr>
              <w:t>assetVodEndDate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TVOD End Date. Aliases checked: assetVodEndDate, asset vod end date, tvod end date, end, end date, window end, fixed end date, rights end, license end</w:t>
            </w:r>
          </w:p>
        </w:tc>
        <w:tc>
          <w:tcPr>
            <w:tcW w:type="dxa" w:w="4104"/>
            <w:vAlign w:val="top"/>
          </w:tcPr>
          <w:p>
            <w:pPr>
              <w:spacing w:after="0"/>
              <w:jc w:val="left"/>
            </w:pPr>
            <w:r>
              <w:rPr>
                <w:rFonts w:ascii="Calibri" w:hAnsi="Calibri"/>
                <w:b w:val="0"/>
                <w:color w:val="000000"/>
                <w:sz w:val="11"/>
              </w:rPr>
              <w:t>Uses Avails only. Common date formats are normalized to YYYY-MM-DD when recognized.</w:t>
            </w:r>
          </w:p>
        </w:tc>
      </w:tr>
      <w:tr>
        <w:tc>
          <w:tcPr>
            <w:tcW w:type="dxa" w:w="1440"/>
            <w:vAlign w:val="top"/>
          </w:tcPr>
          <w:p>
            <w:pPr>
              <w:spacing w:after="0"/>
              <w:jc w:val="left"/>
            </w:pPr>
            <w:r>
              <w:rPr>
                <w:rFonts w:ascii="Calibri" w:hAnsi="Calibri"/>
                <w:b w:val="0"/>
                <w:color w:val="000000"/>
                <w:sz w:val="11"/>
              </w:rPr>
              <w:t>assetVodEndDate</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Direct Avails match overrides VOD dates. Parent series and season rows roll up earliest matched episode dates.</w:t>
            </w:r>
          </w:p>
        </w:tc>
        <w:tc>
          <w:tcPr>
            <w:tcW w:type="dxa" w:w="3816"/>
            <w:vAlign w:val="top"/>
          </w:tcPr>
          <w:p>
            <w:pPr>
              <w:spacing w:after="0"/>
              <w:jc w:val="left"/>
            </w:pPr>
            <w:r>
              <w:rPr>
                <w:rFonts w:ascii="Calibri" w:hAnsi="Calibri"/>
                <w:b w:val="0"/>
                <w:color w:val="000000"/>
                <w:sz w:val="11"/>
              </w:rPr>
              <w:t>ExternalReference, NewSku, CVP SKU, GUID, TMS, MediaGenix IDs, exact title, or WhatsOn VOD ID SKU/VOD ID SKU CVP to Avails ALID when Connector did not match</w:t>
            </w:r>
          </w:p>
        </w:tc>
        <w:tc>
          <w:tcPr>
            <w:tcW w:type="dxa" w:w="4104"/>
            <w:vAlign w:val="top"/>
          </w:tcPr>
          <w:p>
            <w:pPr>
              <w:spacing w:after="0"/>
              <w:jc w:val="left"/>
            </w:pPr>
            <w:r>
              <w:rPr>
                <w:rFonts w:ascii="Calibri" w:hAnsi="Calibri"/>
                <w:b w:val="0"/>
                <w:color w:val="000000"/>
                <w:sz w:val="11"/>
              </w:rPr>
              <w:t>Uses Avails only. Common date formats are normalized to YYYY-MM-DD when recognized.</w:t>
            </w:r>
          </w:p>
        </w:tc>
      </w:tr>
      <w:tr>
        <w:tc>
          <w:tcPr>
            <w:tcW w:type="dxa" w:w="1440"/>
            <w:vAlign w:val="top"/>
          </w:tcPr>
          <w:p>
            <w:pPr>
              <w:spacing w:after="0"/>
              <w:jc w:val="left"/>
            </w:pPr>
            <w:r>
              <w:rPr>
                <w:rFonts w:ascii="Calibri" w:hAnsi="Calibri"/>
                <w:b w:val="0"/>
                <w:color w:val="000000"/>
                <w:sz w:val="11"/>
              </w:rPr>
              <w:t>contentType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Content type. Aliases checked: contentType, content type, work type, worktype, asset type, type</w:t>
            </w:r>
          </w:p>
        </w:tc>
        <w:tc>
          <w:tcPr>
            <w:tcW w:type="dxa" w:w="4104"/>
            <w:vAlign w:val="top"/>
          </w:tcPr>
          <w:p>
            <w:pPr>
              <w:spacing w:after="0"/>
              <w:jc w:val="left"/>
            </w:pPr>
            <w:r>
              <w:rPr>
                <w:rFonts w:ascii="Calibri" w:hAnsi="Calibri"/>
                <w:b w:val="0"/>
                <w:color w:val="000000"/>
                <w:sz w:val="11"/>
              </w:rPr>
              <w:t>Normalizes film/feature/program to movie, episode variants to episode, parent series to series, and WhatsOn Series rows with season data to season.</w:t>
            </w:r>
          </w:p>
        </w:tc>
      </w:tr>
      <w:tr>
        <w:tc>
          <w:tcPr>
            <w:tcW w:type="dxa" w:w="1440"/>
            <w:vAlign w:val="top"/>
          </w:tcPr>
          <w:p>
            <w:pPr>
              <w:spacing w:after="0"/>
              <w:jc w:val="left"/>
            </w:pPr>
            <w:r>
              <w:rPr>
                <w:rFonts w:ascii="Calibri" w:hAnsi="Calibri"/>
                <w:b w:val="0"/>
                <w:color w:val="000000"/>
                <w:sz w:val="11"/>
              </w:rPr>
              <w:t>contentType</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Normalizes film/feature/program to movie, episode variants to episode, parent series to series, and WhatsOn Series rows with season data to season.</w:t>
            </w:r>
          </w:p>
        </w:tc>
      </w:tr>
      <w:tr>
        <w:tc>
          <w:tcPr>
            <w:tcW w:type="dxa" w:w="1440"/>
            <w:vAlign w:val="top"/>
          </w:tcPr>
          <w:p>
            <w:pPr>
              <w:spacing w:after="0"/>
              <w:jc w:val="left"/>
            </w:pPr>
            <w:r>
              <w:rPr>
                <w:rFonts w:ascii="Calibri" w:hAnsi="Calibri"/>
                <w:b w:val="0"/>
                <w:color w:val="000000"/>
                <w:sz w:val="11"/>
              </w:rPr>
              <w:t>titleVod</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Title. Aliases checked: titleVod, title vod, title, whats on title, program title, movie title, episode title display unlimited, episode title internal alias, episode title</w:t>
            </w:r>
          </w:p>
        </w:tc>
        <w:tc>
          <w:tcPr>
            <w:tcW w:type="dxa" w:w="4104"/>
            <w:vAlign w:val="top"/>
          </w:tcPr>
          <w:p>
            <w:pPr>
              <w:spacing w:after="0"/>
              <w:jc w:val="left"/>
            </w:pPr>
            <w:r>
              <w:rPr>
                <w:rFonts w:ascii="Calibri" w:hAnsi="Calibri"/>
                <w:b w:val="0"/>
                <w:color w:val="000000"/>
                <w:sz w:val="11"/>
              </w:rPr>
              <w:t>Uses direct title mapping for movies, episodes, and parent series rows. Season rows can be formed from the parent series title plus ' Season ' plus the season number when creating season placeholders.</w:t>
            </w:r>
          </w:p>
        </w:tc>
      </w:tr>
      <w:tr>
        <w:tc>
          <w:tcPr>
            <w:tcW w:type="dxa" w:w="1440"/>
            <w:vAlign w:val="top"/>
          </w:tcPr>
          <w:p>
            <w:pPr>
              <w:spacing w:after="0"/>
              <w:jc w:val="left"/>
            </w:pPr>
            <w:r>
              <w:rPr>
                <w:rFonts w:ascii="Calibri" w:hAnsi="Calibri"/>
                <w:b w:val="0"/>
                <w:color w:val="000000"/>
                <w:sz w:val="11"/>
              </w:rPr>
              <w:t>titleVod</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Uses direct title mapping for movies, episodes, and parent series rows. Season rows can be formed from the parent series title plus ' Season ' plus the season number when creating season placeholders.</w:t>
            </w:r>
          </w:p>
        </w:tc>
      </w:tr>
      <w:tr>
        <w:tc>
          <w:tcPr>
            <w:tcW w:type="dxa" w:w="1440"/>
            <w:vAlign w:val="top"/>
          </w:tcPr>
          <w:p>
            <w:pPr>
              <w:spacing w:after="0"/>
              <w:jc w:val="left"/>
            </w:pPr>
            <w:r>
              <w:rPr>
                <w:rFonts w:ascii="Calibri" w:hAnsi="Calibri"/>
                <w:b w:val="0"/>
                <w:color w:val="000000"/>
                <w:sz w:val="11"/>
              </w:rPr>
              <w:t>titleSeries</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Parent series. Aliases checked: titleSeries, title series, series title, series name, parent series, series title display unlimited, series title internal alias</w:t>
            </w:r>
          </w:p>
        </w:tc>
        <w:tc>
          <w:tcPr>
            <w:tcW w:type="dxa" w:w="4104"/>
            <w:vAlign w:val="top"/>
          </w:tcPr>
          <w:p>
            <w:pPr>
              <w:spacing w:after="0"/>
              <w:jc w:val="left"/>
            </w:pPr>
            <w:r>
              <w:rPr>
                <w:rFonts w:ascii="Calibri" w:hAnsi="Calibri"/>
                <w:b w:val="0"/>
                <w:color w:val="000000"/>
                <w:sz w:val="11"/>
              </w:rPr>
              <w:t>Uses the parent series title. Parent series rows also keep titleVod populated with the same series title.</w:t>
            </w:r>
          </w:p>
        </w:tc>
      </w:tr>
      <w:tr>
        <w:tc>
          <w:tcPr>
            <w:tcW w:type="dxa" w:w="1440"/>
            <w:vAlign w:val="top"/>
          </w:tcPr>
          <w:p>
            <w:pPr>
              <w:spacing w:after="0"/>
              <w:jc w:val="left"/>
            </w:pPr>
            <w:r>
              <w:rPr>
                <w:rFonts w:ascii="Calibri" w:hAnsi="Calibri"/>
                <w:b w:val="0"/>
                <w:color w:val="000000"/>
                <w:sz w:val="11"/>
              </w:rPr>
              <w:t>titleEpisode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titleEpisode, title episode, episode title, episode name, episode title display, episode title display unlimited, episode title internal alias</w:t>
            </w:r>
          </w:p>
        </w:tc>
        <w:tc>
          <w:tcPr>
            <w:tcW w:type="dxa" w:w="4104"/>
            <w:vAlign w:val="top"/>
          </w:tcPr>
          <w:p>
            <w:pPr>
              <w:spacing w:after="0"/>
              <w:jc w:val="left"/>
            </w:pPr>
            <w:r>
              <w:rPr>
                <w:rFonts w:ascii="Calibri" w:hAnsi="Calibri"/>
                <w:b w:val="0"/>
                <w:color w:val="000000"/>
                <w:sz w:val="11"/>
              </w:rPr>
              <w:t>For episode rows, copies titleVod into titleEpisode when titleEpisode is blank.</w:t>
            </w:r>
          </w:p>
        </w:tc>
      </w:tr>
      <w:tr>
        <w:tc>
          <w:tcPr>
            <w:tcW w:type="dxa" w:w="1440"/>
            <w:vAlign w:val="top"/>
          </w:tcPr>
          <w:p>
            <w:pPr>
              <w:spacing w:after="0"/>
              <w:jc w:val="left"/>
            </w:pPr>
            <w:r>
              <w:rPr>
                <w:rFonts w:ascii="Calibri" w:hAnsi="Calibri"/>
                <w:b w:val="0"/>
                <w:color w:val="000000"/>
                <w:sz w:val="11"/>
              </w:rPr>
              <w:t>seasonNumber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Season. Aliases checked: seasonNumber, season number, season, seasonnumber</w:t>
            </w:r>
          </w:p>
        </w:tc>
        <w:tc>
          <w:tcPr>
            <w:tcW w:type="dxa" w:w="4104"/>
            <w:vAlign w:val="top"/>
          </w:tcPr>
          <w:p>
            <w:pPr>
              <w:spacing w:after="0"/>
              <w:jc w:val="left"/>
            </w:pPr>
            <w:r>
              <w:rPr>
                <w:rFonts w:ascii="Calibri" w:hAnsi="Calibri"/>
                <w:b w:val="0"/>
                <w:color w:val="000000"/>
                <w:sz w:val="11"/>
              </w:rPr>
              <w:t>Converts numeric-looking values to an integer; season placeholder rows use the related season number.</w:t>
            </w:r>
          </w:p>
        </w:tc>
      </w:tr>
      <w:tr>
        <w:tc>
          <w:tcPr>
            <w:tcW w:type="dxa" w:w="1440"/>
            <w:vAlign w:val="top"/>
          </w:tcPr>
          <w:p>
            <w:pPr>
              <w:spacing w:after="0"/>
              <w:jc w:val="left"/>
            </w:pPr>
            <w:r>
              <w:rPr>
                <w:rFonts w:ascii="Calibri" w:hAnsi="Calibri"/>
                <w:b w:val="0"/>
                <w:color w:val="000000"/>
                <w:sz w:val="11"/>
              </w:rPr>
              <w:t>seasonNumber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Converts numeric-looking values to an integer; season placeholder rows use the related season number.</w:t>
            </w:r>
          </w:p>
        </w:tc>
      </w:tr>
      <w:tr>
        <w:tc>
          <w:tcPr>
            <w:tcW w:type="dxa" w:w="1440"/>
            <w:vAlign w:val="top"/>
          </w:tcPr>
          <w:p>
            <w:pPr>
              <w:spacing w:after="0"/>
              <w:jc w:val="left"/>
            </w:pPr>
            <w:r>
              <w:rPr>
                <w:rFonts w:ascii="Calibri" w:hAnsi="Calibri"/>
                <w:b w:val="0"/>
                <w:color w:val="000000"/>
                <w:sz w:val="11"/>
              </w:rPr>
              <w:t>seasonNumber</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Converts numeric-looking values to an integer; season placeholder rows use the related season number.</w:t>
            </w:r>
          </w:p>
        </w:tc>
      </w:tr>
      <w:tr>
        <w:tc>
          <w:tcPr>
            <w:tcW w:type="dxa" w:w="1440"/>
            <w:vAlign w:val="top"/>
          </w:tcPr>
          <w:p>
            <w:pPr>
              <w:spacing w:after="0"/>
              <w:jc w:val="left"/>
            </w:pPr>
            <w:r>
              <w:rPr>
                <w:rFonts w:ascii="Calibri" w:hAnsi="Calibri"/>
                <w:b w:val="0"/>
                <w:color w:val="000000"/>
                <w:sz w:val="11"/>
              </w:rPr>
              <w:t>episodeAirOrder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Episode #. Aliases checked: episodeAirOrder, episode air order, episode number, episode #, episode, distribution number, episodenumber</w:t>
            </w:r>
          </w:p>
        </w:tc>
        <w:tc>
          <w:tcPr>
            <w:tcW w:type="dxa" w:w="4104"/>
            <w:vAlign w:val="top"/>
          </w:tcPr>
          <w:p>
            <w:pPr>
              <w:spacing w:after="0"/>
              <w:jc w:val="left"/>
            </w:pPr>
            <w:r>
              <w:rPr>
                <w:rFonts w:ascii="Calibri" w:hAnsi="Calibri"/>
                <w:b w:val="0"/>
                <w:color w:val="000000"/>
                <w:sz w:val="11"/>
              </w:rPr>
              <w:t>Converts numeric-looking values to a normalized episode order; blank episode values warn.</w:t>
            </w:r>
          </w:p>
        </w:tc>
      </w:tr>
      <w:tr>
        <w:tc>
          <w:tcPr>
            <w:tcW w:type="dxa" w:w="1440"/>
            <w:vAlign w:val="top"/>
          </w:tcPr>
          <w:p>
            <w:pPr>
              <w:spacing w:after="0"/>
              <w:jc w:val="left"/>
            </w:pPr>
            <w:r>
              <w:rPr>
                <w:rFonts w:ascii="Calibri" w:hAnsi="Calibri"/>
                <w:b w:val="0"/>
                <w:color w:val="000000"/>
                <w:sz w:val="11"/>
              </w:rPr>
              <w:t>episodeAirOrder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Converts numeric-looking values to a normalized episode order; blank episode values warn.</w:t>
            </w:r>
          </w:p>
        </w:tc>
      </w:tr>
      <w:tr>
        <w:tc>
          <w:tcPr>
            <w:tcW w:type="dxa" w:w="1440"/>
            <w:vAlign w:val="top"/>
          </w:tcPr>
          <w:p>
            <w:pPr>
              <w:spacing w:after="0"/>
              <w:jc w:val="left"/>
            </w:pPr>
            <w:r>
              <w:rPr>
                <w:rFonts w:ascii="Calibri" w:hAnsi="Calibri"/>
                <w:b w:val="0"/>
                <w:color w:val="000000"/>
                <w:sz w:val="11"/>
              </w:rPr>
              <w:t>IdGUID</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MPX GUID. Aliases checked: IdGUID, id guid, guid, global id, uuid, mpx guid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IdGUID</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IdGUID</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idSku</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idSku, id sku, vod id sku, newsku, new sku</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idSku</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NewSku, New SKU</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idSku</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idSku</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idSku</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New SKU.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idSku_CVP</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idSku_CVP, id sku cvp, vod id sku cvp, cvp sku, content id</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idSku_CVP</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ContentID, EpisodeContentID, Episode ContentID, CVP_SKU, CVP SKU</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idSku_CVP</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idSku_CVP</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vodSeriesId (SKU)</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vodSeriesId (SKU), series newsku, series new sku, parentseriesmediaid</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vodSeriesId (SKU)</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Series NewSku, Series New SKU, ParentSeriesMediaID, SeriesAltID, Series Alt ID</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vodSeriesId (SKU)</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vodSeriesId (SKU)_CVP</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vodSeriesId (SKU)_CVP, vod series id cvp, series cvp sku, series content id, cvp series id</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vodSeriesId (SKU)_CVP</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vodSeriesId (SKU)_CVP, Series ContentID, Series CVP_SKU, Series CVP SKU, CVP Series ID, SeriesAltID, Series Alt ID</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vodSeriesId (SKU)_CVP</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vodSeriesId (SKU)_CVP</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vodSeasonId (SKU)</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vodSeasonId (SKU), season newsku, season new sku</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vodSeasonId (SKU)</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Season NewSku, Season New SKU, SeasonAltID, Season Alt ID</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vodSeasonId (SKU)</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Non-CVP SKU fields preserve WhatsOn VOD ID SKU first and can fill from NewSku, ParentSeriesMediaID, UUIDs, or numeric SKU values. Parent season/series IDs are copied from related rows.</w:t>
            </w:r>
          </w:p>
        </w:tc>
      </w:tr>
      <w:tr>
        <w:tc>
          <w:tcPr>
            <w:tcW w:type="dxa" w:w="1440"/>
            <w:vAlign w:val="top"/>
          </w:tcPr>
          <w:p>
            <w:pPr>
              <w:spacing w:after="0"/>
              <w:jc w:val="left"/>
            </w:pPr>
            <w:r>
              <w:rPr>
                <w:rFonts w:ascii="Calibri" w:hAnsi="Calibri"/>
                <w:b w:val="0"/>
                <w:color w:val="000000"/>
                <w:sz w:val="11"/>
              </w:rPr>
              <w:t>vodSeasonId (SKU)_CVP</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vodSeasonId (SKU)_CVP, vod season id cvp, season cvp sku, season content id, cvp season id</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vodSeasonId (SKU)_CVP</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Fills blank SKU fields after WhatsOn and before CVP.</w:t>
            </w:r>
          </w:p>
        </w:tc>
        <w:tc>
          <w:tcPr>
            <w:tcW w:type="dxa" w:w="3816"/>
            <w:vAlign w:val="top"/>
          </w:tcPr>
          <w:p>
            <w:pPr>
              <w:spacing w:after="0"/>
              <w:jc w:val="left"/>
            </w:pPr>
            <w:r>
              <w:rPr>
                <w:rFonts w:ascii="Calibri" w:hAnsi="Calibri"/>
                <w:b w:val="0"/>
                <w:color w:val="000000"/>
                <w:sz w:val="11"/>
              </w:rPr>
              <w:t>vodSeasonId (SKU)_CVP, Season ContentID, Season CVP_SKU, Season CVP SKU, CVP Season ID, SeasonAltID, Season Alt ID</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vodSeasonId (SKU)_CVP</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vodSeasonId (SKU)_CVP</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CVP SKU fields only accept CVP-shaped values such as M_..., S_..., S1_..., or S1_E...; TMS IDs, Retailer IDs, and non-CVP aliases are ignored.</w:t>
            </w:r>
          </w:p>
        </w:tc>
      </w:tr>
      <w:tr>
        <w:tc>
          <w:tcPr>
            <w:tcW w:type="dxa" w:w="1440"/>
            <w:vAlign w:val="top"/>
          </w:tcPr>
          <w:p>
            <w:pPr>
              <w:spacing w:after="0"/>
              <w:jc w:val="left"/>
            </w:pPr>
            <w:r>
              <w:rPr>
                <w:rFonts w:ascii="Calibri" w:hAnsi="Calibri"/>
                <w:b w:val="0"/>
                <w:color w:val="000000"/>
                <w:sz w:val="11"/>
              </w:rPr>
              <w:t>idTMS</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TMSNumber. Aliases checked: idTMS, id tms, tms id, tmsnumber, tms number</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idTMS</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Overrides with tab-specific Avails retailer IDs. Season rows stay blank.</w:t>
            </w:r>
          </w:p>
        </w:tc>
        <w:tc>
          <w:tcPr>
            <w:tcW w:type="dxa" w:w="3816"/>
            <w:vAlign w:val="top"/>
          </w:tcPr>
          <w:p>
            <w:pPr>
              <w:spacing w:after="0"/>
              <w:jc w:val="left"/>
            </w:pPr>
            <w:r>
              <w:rPr>
                <w:rFonts w:ascii="Calibri" w:hAnsi="Calibri"/>
                <w:b w:val="0"/>
                <w:color w:val="000000"/>
                <w:sz w:val="11"/>
              </w:rPr>
              <w:t>Movies!RetailerID1, TV!RetailerEpisodeID1, TV!RetailerSeriesID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idTMS</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idTMS_series</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idTMS_series, id tms series, series tms id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idTMS_series</w:t>
            </w:r>
          </w:p>
        </w:tc>
        <w:tc>
          <w:tcPr>
            <w:tcW w:type="dxa" w:w="648"/>
            <w:vAlign w:val="top"/>
          </w:tcPr>
          <w:p>
            <w:pPr>
              <w:spacing w:after="0"/>
              <w:jc w:val="left"/>
            </w:pPr>
            <w:r>
              <w:rPr>
                <w:rFonts w:ascii="Calibri" w:hAnsi="Calibri"/>
                <w:b w:val="0"/>
                <w:color w:val="000000"/>
                <w:sz w:val="11"/>
              </w:rPr>
              <w:t>2</w:t>
            </w:r>
          </w:p>
        </w:tc>
        <w:tc>
          <w:tcPr>
            <w:tcW w:type="dxa" w:w="1655"/>
            <w:vAlign w:val="top"/>
          </w:tcPr>
          <w:p>
            <w:pPr>
              <w:spacing w:after="0"/>
              <w:jc w:val="left"/>
            </w:pPr>
            <w:r>
              <w:rPr>
                <w:rFonts w:ascii="Calibri" w:hAnsi="Calibri"/>
                <w:b w:val="0"/>
                <w:color w:val="000000"/>
                <w:sz w:val="11"/>
              </w:rPr>
              <w:t>Avails input</w:t>
            </w:r>
          </w:p>
        </w:tc>
        <w:tc>
          <w:tcPr>
            <w:tcW w:type="dxa" w:w="2951"/>
            <w:vAlign w:val="top"/>
          </w:tcPr>
          <w:p>
            <w:pPr>
              <w:spacing w:after="0"/>
              <w:jc w:val="left"/>
            </w:pPr>
            <w:r>
              <w:rPr>
                <w:rFonts w:ascii="Calibri" w:hAnsi="Calibri"/>
                <w:b w:val="0"/>
                <w:color w:val="000000"/>
                <w:sz w:val="11"/>
              </w:rPr>
              <w:t>Overrides episode and series/show rows from TV-tab series retailer IDs.</w:t>
            </w:r>
          </w:p>
        </w:tc>
        <w:tc>
          <w:tcPr>
            <w:tcW w:type="dxa" w:w="3816"/>
            <w:vAlign w:val="top"/>
          </w:tcPr>
          <w:p>
            <w:pPr>
              <w:spacing w:after="0"/>
              <w:jc w:val="left"/>
            </w:pPr>
            <w:r>
              <w:rPr>
                <w:rFonts w:ascii="Calibri" w:hAnsi="Calibri"/>
                <w:b w:val="0"/>
                <w:color w:val="000000"/>
                <w:sz w:val="11"/>
              </w:rPr>
              <w:t>TV!RetailerSeriesID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descriptionLong</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Long description printed press, Description, Listing Description. Aliases checked: descriptionLong, description long, long description, long description printed press, listing description, description, synopsis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descriptionLong</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descriptionLong</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descriptionLong</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Short Description [110 Characters].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descriptionMedium</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Description, Listing Description. Aliases checked: descriptionMedium, description medium, medium description, listing description, description</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descriptionMedium</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descriptionMedium</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Short Description [110 Characters].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descriptionShort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Listing Description. Aliases checked: descriptionShort, description short, listing description, short synopsis</w:t>
            </w:r>
          </w:p>
        </w:tc>
        <w:tc>
          <w:tcPr>
            <w:tcW w:type="dxa" w:w="4104"/>
            <w:vAlign w:val="top"/>
          </w:tcPr>
          <w:p>
            <w:pPr>
              <w:spacing w:after="0"/>
              <w:jc w:val="left"/>
            </w:pPr>
            <w:r>
              <w:rPr>
                <w:rFonts w:ascii="Calibri" w:hAnsi="Calibri"/>
                <w:b w:val="0"/>
                <w:color w:val="000000"/>
                <w:sz w:val="11"/>
              </w:rPr>
              <w:t>CVP shortDescription is preferred only at 150 characters or less. Longer values can populate but warn.</w:t>
            </w:r>
          </w:p>
        </w:tc>
      </w:tr>
      <w:tr>
        <w:tc>
          <w:tcPr>
            <w:tcW w:type="dxa" w:w="1440"/>
            <w:vAlign w:val="top"/>
          </w:tcPr>
          <w:p>
            <w:pPr>
              <w:spacing w:after="0"/>
              <w:jc w:val="left"/>
            </w:pPr>
            <w:r>
              <w:rPr>
                <w:rFonts w:ascii="Calibri" w:hAnsi="Calibri"/>
                <w:b w:val="0"/>
                <w:color w:val="000000"/>
                <w:sz w:val="11"/>
              </w:rPr>
              <w:t>descriptionShort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Preferred over mapped values only when CVP Short Description is 150 characters or less. Longer CVP values fill blanks only and are reported in warnings.</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shortDescription is preferred only at 150 characters or less. Longer values can populate but warn.</w:t>
            </w:r>
          </w:p>
        </w:tc>
      </w:tr>
      <w:tr>
        <w:tc>
          <w:tcPr>
            <w:tcW w:type="dxa" w:w="1440"/>
            <w:vAlign w:val="top"/>
          </w:tcPr>
          <w:p>
            <w:pPr>
              <w:spacing w:after="0"/>
              <w:jc w:val="left"/>
            </w:pPr>
            <w:r>
              <w:rPr>
                <w:rFonts w:ascii="Calibri" w:hAnsi="Calibri"/>
                <w:b w:val="0"/>
                <w:color w:val="000000"/>
                <w:sz w:val="11"/>
              </w:rPr>
              <w:t>descriptionShort</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Short Description [110 Characters].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CVP shortDescription is preferred only at 150 characters or less. Longer values can populate but warn.</w:t>
            </w:r>
          </w:p>
        </w:tc>
      </w:tr>
      <w:tr>
        <w:tc>
          <w:tcPr>
            <w:tcW w:type="dxa" w:w="1440"/>
            <w:vAlign w:val="top"/>
          </w:tcPr>
          <w:p>
            <w:pPr>
              <w:spacing w:after="0"/>
              <w:jc w:val="left"/>
            </w:pPr>
            <w:r>
              <w:rPr>
                <w:rFonts w:ascii="Calibri" w:hAnsi="Calibri"/>
                <w:b w:val="0"/>
                <w:color w:val="000000"/>
                <w:sz w:val="11"/>
              </w:rPr>
              <w:t>descriptionSeason</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Short description. Aliases checked: descriptionSeason, description season, season description, short description, additional description 2</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descriptionSeason</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descriptionSeason</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Matched parent season Short Description [110 Characters].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descriptionSeries</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Short description. Aliases checked: descriptionSeries, description series, series description, short description</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descriptionSeries</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descriptionSeries</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Matched parent series Short Description [110 Characters].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Longer than 150 characters warns. Movie rows clear these fields because season/series descriptions do not apply.</w:t>
            </w:r>
          </w:p>
        </w:tc>
      </w:tr>
      <w:tr>
        <w:tc>
          <w:tcPr>
            <w:tcW w:type="dxa" w:w="1440"/>
            <w:vAlign w:val="top"/>
          </w:tcPr>
          <w:p>
            <w:pPr>
              <w:spacing w:after="0"/>
              <w:jc w:val="left"/>
            </w:pPr>
            <w:r>
              <w:rPr>
                <w:rFonts w:ascii="Calibri" w:hAnsi="Calibri"/>
                <w:b w:val="0"/>
                <w:color w:val="000000"/>
                <w:sz w:val="11"/>
              </w:rPr>
              <w:t>studio</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Production company, Recording studio. Aliases checked: studio, recording studio, company display credit, company, production company</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studio</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studio</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studio</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Provider.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productionCompany</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Production company. Aliases checked: productionCompany, production company, productioncompany</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productionCompany</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productionCompany</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Provider.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countryOrigin</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countryOrigin, country origin, country of origin, origin country, production regions</w:t>
            </w:r>
          </w:p>
        </w:tc>
        <w:tc>
          <w:tcPr>
            <w:tcW w:type="dxa" w:w="4104"/>
            <w:vAlign w:val="top"/>
          </w:tcPr>
          <w:p>
            <w:pPr>
              <w:spacing w:after="0"/>
              <w:jc w:val="left"/>
            </w:pPr>
            <w:r>
              <w:rPr>
                <w:rFonts w:ascii="Calibri" w:hAnsi="Calibri"/>
                <w:b w:val="0"/>
                <w:color w:val="000000"/>
                <w:sz w:val="11"/>
              </w:rPr>
              <w:t>Normalizes recognized country names and aliases to MovieLabs ISO 3166 alpha-2 codes. Nonblank values that cannot be normalized to two letters remain warning-eligible.</w:t>
            </w:r>
          </w:p>
        </w:tc>
      </w:tr>
      <w:tr>
        <w:tc>
          <w:tcPr>
            <w:tcW w:type="dxa" w:w="1440"/>
            <w:vAlign w:val="top"/>
          </w:tcPr>
          <w:p>
            <w:pPr>
              <w:spacing w:after="0"/>
              <w:jc w:val="left"/>
            </w:pPr>
            <w:r>
              <w:rPr>
                <w:rFonts w:ascii="Calibri" w:hAnsi="Calibri"/>
                <w:b w:val="0"/>
                <w:color w:val="000000"/>
                <w:sz w:val="11"/>
              </w:rPr>
              <w:t>countryOrigin</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recognized country names and aliases to MovieLabs ISO 3166 alpha-2 codes. Nonblank values that cannot be normalized to two letters remain warning-eligible.</w:t>
            </w:r>
          </w:p>
        </w:tc>
      </w:tr>
      <w:tr>
        <w:tc>
          <w:tcPr>
            <w:tcW w:type="dxa" w:w="1440"/>
            <w:vAlign w:val="top"/>
          </w:tcPr>
          <w:p>
            <w:pPr>
              <w:spacing w:after="0"/>
              <w:jc w:val="left"/>
            </w:pPr>
            <w:r>
              <w:rPr>
                <w:rFonts w:ascii="Calibri" w:hAnsi="Calibri"/>
                <w:b w:val="0"/>
                <w:color w:val="000000"/>
                <w:sz w:val="11"/>
              </w:rPr>
              <w:t>countryOrigin</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Country of Origin.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Normalizes recognized country names and aliases to MovieLabs ISO 3166 alpha-2 codes. Nonblank values that cannot be normalized to two letters remain warning-eligible.</w:t>
            </w:r>
          </w:p>
        </w:tc>
      </w:tr>
      <w:tr>
        <w:tc>
          <w:tcPr>
            <w:tcW w:type="dxa" w:w="1440"/>
            <w:vAlign w:val="top"/>
          </w:tcPr>
          <w:p>
            <w:pPr>
              <w:spacing w:after="0"/>
              <w:jc w:val="left"/>
            </w:pPr>
            <w:r>
              <w:rPr>
                <w:rFonts w:ascii="Calibri" w:hAnsi="Calibri"/>
                <w:b w:val="0"/>
                <w:color w:val="000000"/>
                <w:sz w:val="11"/>
              </w:rPr>
              <w:t>actorName1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actorName1, actor name 1, actor 1, cast 1, principal cast 1</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Uses comma-separated Cast (sorted) value 1; only the first four cast names are used.</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Narrator, 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actorOrder1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actorOrder1</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Fills 1 when actorName1 is populated from the comma-separated Cast (sorted) value.</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Narrator, 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actorName2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actorName2, actor name 2, actor 2, cast 2, principal cast 2</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Uses comma-separated Cast (sorted) value 2; only the first four cast names are used.</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actorOrder2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actorOrder2</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Fills 2 when actorName2 is populated from the comma-separated Cast (sorted) value.</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actorName3</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actorName3, actor name 3, actor 3, cast 3, principal cast 3</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actorName3</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Uses comma-separated Cast (sorted) value 3; only the first four cast names are used.</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actorName3</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actorName3</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actorOrder3</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actorOrder3</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actorOrder3</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Fills 3 when actorName3 is populated from the comma-separated Cast (sorted) value.</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actorOrder3</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actorOrder3</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actorName4</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actorName4, actor name 4, actor 4, cast 4, principal cast 4</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actorName4</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Uses comma-separated Cast (sorted) value 4; only the first four cast names are used.</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actorName4</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actorName4</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From WhatsOn Cast (sorted), splits comma-separated cast and uses only the first four names. CVP/Smart Sheet people lists are also split into ordered name fields when available.</w:t>
            </w:r>
          </w:p>
        </w:tc>
      </w:tr>
      <w:tr>
        <w:tc>
          <w:tcPr>
            <w:tcW w:type="dxa" w:w="1440"/>
            <w:vAlign w:val="top"/>
          </w:tcPr>
          <w:p>
            <w:pPr>
              <w:spacing w:after="0"/>
              <w:jc w:val="left"/>
            </w:pPr>
            <w:r>
              <w:rPr>
                <w:rFonts w:ascii="Calibri" w:hAnsi="Calibri"/>
                <w:b w:val="0"/>
                <w:color w:val="000000"/>
                <w:sz w:val="11"/>
              </w:rPr>
              <w:t>actorOrder4</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actorOrder4</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actorOrder4</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Cast (sorted)</w:t>
            </w:r>
          </w:p>
        </w:tc>
        <w:tc>
          <w:tcPr>
            <w:tcW w:type="dxa" w:w="2951"/>
            <w:vAlign w:val="top"/>
          </w:tcPr>
          <w:p>
            <w:pPr>
              <w:spacing w:after="0"/>
              <w:jc w:val="left"/>
            </w:pPr>
            <w:r>
              <w:rPr>
                <w:rFonts w:ascii="Calibri" w:hAnsi="Calibri"/>
                <w:b w:val="0"/>
                <w:color w:val="000000"/>
                <w:sz w:val="11"/>
              </w:rPr>
              <w:t>Fills 4 when actorName4 is populated from the comma-separated Cast (sorted) value.</w:t>
            </w:r>
          </w:p>
        </w:tc>
        <w:tc>
          <w:tcPr>
            <w:tcW w:type="dxa" w:w="3816"/>
            <w:vAlign w:val="top"/>
          </w:tcPr>
          <w:p>
            <w:pPr>
              <w:spacing w:after="0"/>
              <w:jc w:val="left"/>
            </w:pPr>
            <w:r>
              <w:rPr>
                <w:rFonts w:ascii="Calibri" w:hAnsi="Calibri"/>
                <w:b w:val="0"/>
                <w:color w:val="000000"/>
                <w:sz w:val="11"/>
              </w:rPr>
              <w:t>Matched WhatsOn fields: Cast names. Aliases checked: Cast (sorted), Cast sorted, cast, cast names, actors, principal cast, principalcast, actor names, actornames</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actorOrder4</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actorOrder4</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Actors.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Fills the matching numeric order only when the corresponding actorName field is populated.</w:t>
            </w:r>
          </w:p>
        </w:tc>
      </w:tr>
      <w:tr>
        <w:tc>
          <w:tcPr>
            <w:tcW w:type="dxa" w:w="1440"/>
            <w:vAlign w:val="top"/>
          </w:tcPr>
          <w:p>
            <w:pPr>
              <w:spacing w:after="0"/>
              <w:jc w:val="left"/>
            </w:pPr>
            <w:r>
              <w:rPr>
                <w:rFonts w:ascii="Calibri" w:hAnsi="Calibri"/>
                <w:b w:val="0"/>
                <w:color w:val="000000"/>
                <w:sz w:val="11"/>
              </w:rPr>
              <w:t>director1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Directors. Aliases checked: director1, director 1, director, directors</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director1</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Directors.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director2, director 2</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director2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Directors.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Producer1, Producers. Aliases checked: producer1, producer 1, producer, producers</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Producer, Producers.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Producer2. Aliases checked: producer2, producer 2</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producer2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Producer, Producers.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writer1, writer 1, writer</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Writers.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writer2, writer 2</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writer2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Writers.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people lists and keeps the first two ordered values for that role.</w:t>
            </w:r>
          </w:p>
        </w:tc>
      </w:tr>
      <w:tr>
        <w:tc>
          <w:tcPr>
            <w:tcW w:type="dxa" w:w="1440"/>
            <w:vAlign w:val="top"/>
          </w:tcPr>
          <w:p>
            <w:pPr>
              <w:spacing w:after="0"/>
              <w:jc w:val="left"/>
            </w:pPr>
            <w:r>
              <w:rPr>
                <w:rFonts w:ascii="Calibri" w:hAnsi="Calibri"/>
                <w:b w:val="0"/>
                <w:color w:val="000000"/>
                <w:sz w:val="11"/>
              </w:rPr>
              <w:t>genreMain</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Category. Aliases checked: genreMain, genre main, main genre, genre, category</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genreMain</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genreMain</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Genre.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genreSub1</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genreSub1, genre sub 1, subgenre 1, genre 2</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genreSub1</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genreSub1</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Genre.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genreSub2</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genreSub2, genre sub 2, subgenre 2, genre 3</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genreSub2</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genreSub2</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Genre.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category/genre values on commas or semicolons and fills main/sub genres in order. If genreMain is blank after enrichment and genreSub1 exists, genreMain is copied from genreSub1.</w:t>
            </w:r>
          </w:p>
        </w:tc>
      </w:tr>
      <w:tr>
        <w:tc>
          <w:tcPr>
            <w:tcW w:type="dxa" w:w="1440"/>
            <w:vAlign w:val="top"/>
          </w:tcPr>
          <w:p>
            <w:pPr>
              <w:spacing w:after="0"/>
              <w:jc w:val="left"/>
            </w:pPr>
            <w:r>
              <w:rPr>
                <w:rFonts w:ascii="Calibri" w:hAnsi="Calibri"/>
                <w:b w:val="0"/>
                <w:color w:val="000000"/>
                <w:sz w:val="11"/>
              </w:rPr>
              <w:t>productionYear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Production year. Aliases checked: productionYear, production year, release year, releaseyear</w:t>
            </w:r>
          </w:p>
        </w:tc>
        <w:tc>
          <w:tcPr>
            <w:tcW w:type="dxa" w:w="4104"/>
            <w:vAlign w:val="top"/>
          </w:tcPr>
          <w:p>
            <w:pPr>
              <w:spacing w:after="0"/>
              <w:jc w:val="left"/>
            </w:pPr>
            <w:r>
              <w:rPr>
                <w:rFonts w:ascii="Calibri" w:hAnsi="Calibri"/>
                <w:b w:val="0"/>
                <w:color w:val="000000"/>
                <w:sz w:val="11"/>
              </w:rPr>
              <w:t>Preserves the mapped source year; used only as a final fallback for blank premiereYear and premiereDate.</w:t>
            </w:r>
          </w:p>
        </w:tc>
      </w:tr>
      <w:tr>
        <w:tc>
          <w:tcPr>
            <w:tcW w:type="dxa" w:w="1440"/>
            <w:vAlign w:val="top"/>
          </w:tcPr>
          <w:p>
            <w:pPr>
              <w:spacing w:after="0"/>
              <w:jc w:val="left"/>
            </w:pPr>
            <w:r>
              <w:rPr>
                <w:rFonts w:ascii="Calibri" w:hAnsi="Calibri"/>
                <w:b w:val="0"/>
                <w:color w:val="000000"/>
                <w:sz w:val="11"/>
              </w:rPr>
              <w:t>productionYear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Preserves the mapped source year; used only as a final fallback for blank premiereYear and premiereDate.</w:t>
            </w:r>
          </w:p>
        </w:tc>
      </w:tr>
      <w:tr>
        <w:tc>
          <w:tcPr>
            <w:tcW w:type="dxa" w:w="1440"/>
            <w:vAlign w:val="top"/>
          </w:tcPr>
          <w:p>
            <w:pPr>
              <w:spacing w:after="0"/>
              <w:jc w:val="left"/>
            </w:pPr>
            <w:r>
              <w:rPr>
                <w:rFonts w:ascii="Calibri" w:hAnsi="Calibri"/>
                <w:b w:val="0"/>
                <w:color w:val="000000"/>
                <w:sz w:val="11"/>
              </w:rPr>
              <w:t>productionYear</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Global Premiere Date year.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Preserves the mapped source year; used only as a final fallback for blank premiereYear and premiereDate.</w:t>
            </w:r>
          </w:p>
        </w:tc>
      </w:tr>
      <w:tr>
        <w:tc>
          <w:tcPr>
            <w:tcW w:type="dxa" w:w="1440"/>
            <w:vAlign w:val="top"/>
          </w:tcPr>
          <w:p>
            <w:pPr>
              <w:spacing w:after="0"/>
              <w:jc w:val="left"/>
            </w:pPr>
            <w:r>
              <w:rPr>
                <w:rFonts w:ascii="Calibri" w:hAnsi="Calibri"/>
                <w:b w:val="0"/>
                <w:color w:val="000000"/>
                <w:sz w:val="11"/>
              </w:rPr>
              <w:t>premiereDate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premiereDate, premiere date, date 1, date1, pubdate, pub date, release history original, original release date</w:t>
            </w:r>
          </w:p>
        </w:tc>
        <w:tc>
          <w:tcPr>
            <w:tcW w:type="dxa" w:w="4104"/>
            <w:vAlign w:val="top"/>
          </w:tcPr>
          <w:p>
            <w:pPr>
              <w:spacing w:after="0"/>
              <w:jc w:val="left"/>
            </w:pPr>
            <w:r>
              <w:rPr>
                <w:rFonts w:ascii="Calibri" w:hAnsi="Calibri"/>
                <w:b w:val="0"/>
                <w:color w:val="000000"/>
                <w:sz w:val="11"/>
              </w:rPr>
              <w:t>Final output is always YYYY-MM-DD. Parses YYYY-MM-DD, MM/DD/YYYY, MM/DD/YY, YYYY/MM/DD, and ISO date-time prefixes. A four-digit year becomes YYYY-01-01. Unparseable nonblank values are blanked so they can be corrected from warnings. If still blank, the final fallback can derive YYYY-01-01 from premiereYear or productionYear.</w:t>
            </w:r>
          </w:p>
        </w:tc>
      </w:tr>
      <w:tr>
        <w:tc>
          <w:tcPr>
            <w:tcW w:type="dxa" w:w="1440"/>
            <w:vAlign w:val="top"/>
          </w:tcPr>
          <w:p>
            <w:pPr>
              <w:spacing w:after="0"/>
              <w:jc w:val="left"/>
            </w:pPr>
            <w:r>
              <w:rPr>
                <w:rFonts w:ascii="Calibri" w:hAnsi="Calibri"/>
                <w:b w:val="0"/>
                <w:color w:val="000000"/>
                <w:sz w:val="11"/>
              </w:rPr>
              <w:t>premiereDate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Final output is always YYYY-MM-DD. Parses YYYY-MM-DD, MM/DD/YYYY, MM/DD/YY, YYYY/MM/DD, and ISO date-time prefixes. A four-digit year becomes YYYY-01-01. Unparseable nonblank values are blanked so they can be corrected from warnings. If still blank, the final fallback can derive YYYY-01-01 from premiereYear or productionYear.</w:t>
            </w:r>
          </w:p>
        </w:tc>
      </w:tr>
      <w:tr>
        <w:tc>
          <w:tcPr>
            <w:tcW w:type="dxa" w:w="1440"/>
            <w:vAlign w:val="top"/>
          </w:tcPr>
          <w:p>
            <w:pPr>
              <w:spacing w:after="0"/>
              <w:jc w:val="left"/>
            </w:pPr>
            <w:r>
              <w:rPr>
                <w:rFonts w:ascii="Calibri" w:hAnsi="Calibri"/>
                <w:b w:val="0"/>
                <w:color w:val="000000"/>
                <w:sz w:val="11"/>
              </w:rPr>
              <w:t>premiereDate</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Global Premiere Date.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Final output is always YYYY-MM-DD. Parses YYYY-MM-DD, MM/DD/YYYY, MM/DD/YY, YYYY/MM/DD, and ISO date-time prefixes. A four-digit year becomes YYYY-01-01. Unparseable nonblank values are blanked so they can be corrected from warnings. If still blank, the final fallback can derive YYYY-01-01 from premiereYear or productionYear.</w:t>
            </w:r>
          </w:p>
        </w:tc>
      </w:tr>
      <w:tr>
        <w:tc>
          <w:tcPr>
            <w:tcW w:type="dxa" w:w="1440"/>
            <w:vAlign w:val="top"/>
          </w:tcPr>
          <w:p>
            <w:pPr>
              <w:spacing w:after="0"/>
              <w:jc w:val="left"/>
            </w:pPr>
            <w:r>
              <w:rPr>
                <w:rFonts w:ascii="Calibri" w:hAnsi="Calibri"/>
                <w:b w:val="0"/>
                <w:color w:val="000000"/>
                <w:sz w:val="11"/>
              </w:rPr>
              <w:t>premiereYear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premiereYear, premiere year</w:t>
            </w:r>
          </w:p>
        </w:tc>
        <w:tc>
          <w:tcPr>
            <w:tcW w:type="dxa" w:w="4104"/>
            <w:vAlign w:val="top"/>
          </w:tcPr>
          <w:p>
            <w:pPr>
              <w:spacing w:after="0"/>
              <w:jc w:val="left"/>
            </w:pPr>
            <w:r>
              <w:rPr>
                <w:rFonts w:ascii="Calibri" w:hAnsi="Calibri"/>
                <w:b w:val="0"/>
                <w:color w:val="000000"/>
                <w:sz w:val="11"/>
              </w:rPr>
              <w:t>Uses the mapped source value when present. If blank, derives the year from premiereDate; if premiereDate is blank too, productionYear can be copied as the final fallback.</w:t>
            </w:r>
          </w:p>
        </w:tc>
      </w:tr>
      <w:tr>
        <w:tc>
          <w:tcPr>
            <w:tcW w:type="dxa" w:w="1440"/>
            <w:vAlign w:val="top"/>
          </w:tcPr>
          <w:p>
            <w:pPr>
              <w:spacing w:after="0"/>
              <w:jc w:val="left"/>
            </w:pPr>
            <w:r>
              <w:rPr>
                <w:rFonts w:ascii="Calibri" w:hAnsi="Calibri"/>
                <w:b w:val="0"/>
                <w:color w:val="000000"/>
                <w:sz w:val="11"/>
              </w:rPr>
              <w:t>premiereYear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Uses the mapped source value when present. If blank, derives the year from premiereDate; if premiereDate is blank too, productionYear can be copied as the final fallback.</w:t>
            </w:r>
          </w:p>
        </w:tc>
      </w:tr>
      <w:tr>
        <w:tc>
          <w:tcPr>
            <w:tcW w:type="dxa" w:w="1440"/>
            <w:vAlign w:val="top"/>
          </w:tcPr>
          <w:p>
            <w:pPr>
              <w:spacing w:after="0"/>
              <w:jc w:val="left"/>
            </w:pPr>
            <w:r>
              <w:rPr>
                <w:rFonts w:ascii="Calibri" w:hAnsi="Calibri"/>
                <w:b w:val="0"/>
                <w:color w:val="000000"/>
                <w:sz w:val="11"/>
              </w:rPr>
              <w:t>premiereYear</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Global Premiere Date year.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Uses the mapped source value when present. If blank, derives the year from premiereDate; if premiereDate is blank too, productionYear can be copied as the final fallback.</w:t>
            </w:r>
          </w:p>
        </w:tc>
      </w:tr>
      <w:tr>
        <w:tc>
          <w:tcPr>
            <w:tcW w:type="dxa" w:w="1440"/>
            <w:vAlign w:val="top"/>
          </w:tcPr>
          <w:p>
            <w:pPr>
              <w:spacing w:after="0"/>
              <w:jc w:val="left"/>
            </w:pPr>
            <w:r>
              <w:rPr>
                <w:rFonts w:ascii="Calibri" w:hAnsi="Calibri"/>
                <w:b w:val="0"/>
                <w:color w:val="000000"/>
                <w:sz w:val="11"/>
              </w:rPr>
              <w:t>Series_Release_Date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Series_Release_Date, series release date, series_release_date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Series_Release_Date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ratingCSA</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ratingCSA, rating csa, csa rating</w:t>
            </w:r>
          </w:p>
        </w:tc>
        <w:tc>
          <w:tcPr>
            <w:tcW w:type="dxa" w:w="4104"/>
            <w:vAlign w:val="top"/>
          </w:tcPr>
          <w:p>
            <w:pPr>
              <w:spacing w:after="0"/>
              <w:jc w:val="left"/>
            </w:pPr>
            <w:r>
              <w:rPr>
                <w:rFonts w:ascii="Calibri" w:hAnsi="Calibri"/>
                <w:b w:val="0"/>
                <w:color w:val="000000"/>
                <w:sz w:val="11"/>
              </w:rPr>
              <w:t>Normalizes rating text by removing scheme labels/placeholders and lowercasing the rating value.</w:t>
            </w:r>
          </w:p>
        </w:tc>
      </w:tr>
      <w:tr>
        <w:tc>
          <w:tcPr>
            <w:tcW w:type="dxa" w:w="1440"/>
            <w:vAlign w:val="top"/>
          </w:tcPr>
          <w:p>
            <w:pPr>
              <w:spacing w:after="0"/>
              <w:jc w:val="left"/>
            </w:pPr>
            <w:r>
              <w:rPr>
                <w:rFonts w:ascii="Calibri" w:hAnsi="Calibri"/>
                <w:b w:val="0"/>
                <w:color w:val="000000"/>
                <w:sz w:val="11"/>
              </w:rPr>
              <w:t>ratingCSA</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rating text by removing scheme labels/placeholders and lowercasing the rating value.</w:t>
            </w:r>
          </w:p>
        </w:tc>
      </w:tr>
      <w:tr>
        <w:tc>
          <w:tcPr>
            <w:tcW w:type="dxa" w:w="1440"/>
            <w:vAlign w:val="top"/>
          </w:tcPr>
          <w:p>
            <w:pPr>
              <w:spacing w:after="0"/>
              <w:jc w:val="left"/>
            </w:pPr>
            <w:r>
              <w:rPr>
                <w:rFonts w:ascii="Calibri" w:hAnsi="Calibri"/>
                <w:b w:val="0"/>
                <w:color w:val="000000"/>
                <w:sz w:val="11"/>
              </w:rPr>
              <w:t>ratingCSAAdvisory</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ratingCSAAdvisory, rating csa advisory, csa advisory</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ratingCSAAdvisory</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ratingMPA</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ratingMPA, rating mpa, rating mpaa, mpa rating, mpaa rating</w:t>
            </w:r>
          </w:p>
        </w:tc>
        <w:tc>
          <w:tcPr>
            <w:tcW w:type="dxa" w:w="4104"/>
            <w:vAlign w:val="top"/>
          </w:tcPr>
          <w:p>
            <w:pPr>
              <w:spacing w:after="0"/>
              <w:jc w:val="left"/>
            </w:pPr>
            <w:r>
              <w:rPr>
                <w:rFonts w:ascii="Calibri" w:hAnsi="Calibri"/>
                <w:b w:val="0"/>
                <w:color w:val="000000"/>
                <w:sz w:val="11"/>
              </w:rPr>
              <w:t>Normalizes rating text by removing scheme labels/placeholders and lowercasing the rating value.</w:t>
            </w:r>
          </w:p>
        </w:tc>
      </w:tr>
      <w:tr>
        <w:tc>
          <w:tcPr>
            <w:tcW w:type="dxa" w:w="1440"/>
            <w:vAlign w:val="top"/>
          </w:tcPr>
          <w:p>
            <w:pPr>
              <w:spacing w:after="0"/>
              <w:jc w:val="left"/>
            </w:pPr>
            <w:r>
              <w:rPr>
                <w:rFonts w:ascii="Calibri" w:hAnsi="Calibri"/>
                <w:b w:val="0"/>
                <w:color w:val="000000"/>
                <w:sz w:val="11"/>
              </w:rPr>
              <w:t>ratingMPA</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rating text by removing scheme labels/placeholders and lowercasing the rating value.</w:t>
            </w:r>
          </w:p>
        </w:tc>
      </w:tr>
      <w:tr>
        <w:tc>
          <w:tcPr>
            <w:tcW w:type="dxa" w:w="1440"/>
            <w:vAlign w:val="top"/>
          </w:tcPr>
          <w:p>
            <w:pPr>
              <w:spacing w:after="0"/>
              <w:jc w:val="left"/>
            </w:pPr>
            <w:r>
              <w:rPr>
                <w:rFonts w:ascii="Calibri" w:hAnsi="Calibri"/>
                <w:b w:val="0"/>
                <w:color w:val="000000"/>
                <w:sz w:val="11"/>
              </w:rPr>
              <w:t>ratingMPAAdvisory</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ratingMPAAdvisory, rating mpa advisory, rating mpaa advisory, mpa advisory</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ratingMPAAdvisory</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ratingTV</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Parental rating. Aliases checked: ratingTV, rating tv, tv rating, parental rating</w:t>
            </w:r>
          </w:p>
        </w:tc>
        <w:tc>
          <w:tcPr>
            <w:tcW w:type="dxa" w:w="4104"/>
            <w:vAlign w:val="top"/>
          </w:tcPr>
          <w:p>
            <w:pPr>
              <w:spacing w:after="0"/>
              <w:jc w:val="left"/>
            </w:pPr>
            <w:r>
              <w:rPr>
                <w:rFonts w:ascii="Calibri" w:hAnsi="Calibri"/>
                <w:b w:val="0"/>
                <w:color w:val="000000"/>
                <w:sz w:val="11"/>
              </w:rPr>
              <w:t>Normalizes TV ratings to tv-g, tv-pg, tv-14, tv-ma, etc. A bare [FCC] placeholder is treated as blank.</w:t>
            </w:r>
          </w:p>
        </w:tc>
      </w:tr>
      <w:tr>
        <w:tc>
          <w:tcPr>
            <w:tcW w:type="dxa" w:w="1440"/>
            <w:vAlign w:val="top"/>
          </w:tcPr>
          <w:p>
            <w:pPr>
              <w:spacing w:after="0"/>
              <w:jc w:val="left"/>
            </w:pPr>
            <w:r>
              <w:rPr>
                <w:rFonts w:ascii="Calibri" w:hAnsi="Calibri"/>
                <w:b w:val="0"/>
                <w:color w:val="000000"/>
                <w:sz w:val="11"/>
              </w:rPr>
              <w:t>ratingTV</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TV ratings to tv-g, tv-pg, tv-14, tv-ma, etc. A bare [FCC] placeholder is treated as blank.</w:t>
            </w:r>
          </w:p>
        </w:tc>
      </w:tr>
      <w:tr>
        <w:tc>
          <w:tcPr>
            <w:tcW w:type="dxa" w:w="1440"/>
            <w:vAlign w:val="top"/>
          </w:tcPr>
          <w:p>
            <w:pPr>
              <w:spacing w:after="0"/>
              <w:jc w:val="left"/>
            </w:pPr>
            <w:r>
              <w:rPr>
                <w:rFonts w:ascii="Calibri" w:hAnsi="Calibri"/>
                <w:b w:val="0"/>
                <w:color w:val="000000"/>
                <w:sz w:val="11"/>
              </w:rPr>
              <w:t>ratingTV</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Rating.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Normalizes TV ratings to tv-g, tv-pg, tv-14, tv-ma, etc. A bare [FCC] placeholder is treated as blank.</w:t>
            </w:r>
          </w:p>
        </w:tc>
      </w:tr>
      <w:tr>
        <w:tc>
          <w:tcPr>
            <w:tcW w:type="dxa" w:w="1440"/>
            <w:vAlign w:val="top"/>
          </w:tcPr>
          <w:p>
            <w:pPr>
              <w:spacing w:after="0"/>
              <w:jc w:val="left"/>
            </w:pPr>
            <w:r>
              <w:rPr>
                <w:rFonts w:ascii="Calibri" w:hAnsi="Calibri"/>
                <w:b w:val="0"/>
                <w:color w:val="000000"/>
                <w:sz w:val="11"/>
              </w:rPr>
              <w:t>ratingTVAdvisory</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ratingTVAdvisory, rating tv advisory, tv advisory, rating reason</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ratingTVAdvisory</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CVP parental warning is copied only to the advisory field that corresponds to the rating scheme found.</w:t>
            </w:r>
          </w:p>
        </w:tc>
      </w:tr>
      <w:tr>
        <w:tc>
          <w:tcPr>
            <w:tcW w:type="dxa" w:w="1440"/>
            <w:vAlign w:val="top"/>
          </w:tcPr>
          <w:p>
            <w:pPr>
              <w:spacing w:after="0"/>
              <w:jc w:val="left"/>
            </w:pPr>
            <w:r>
              <w:rPr>
                <w:rFonts w:ascii="Calibri" w:hAnsi="Calibri"/>
                <w:b w:val="0"/>
                <w:color w:val="000000"/>
                <w:sz w:val="11"/>
              </w:rPr>
              <w:t>language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Language 1. Aliases checked: language, language 1, asset language, assetlanguage</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language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language</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Final pass default</w:t>
            </w:r>
          </w:p>
        </w:tc>
        <w:tc>
          <w:tcPr>
            <w:tcW w:type="dxa" w:w="2951"/>
            <w:vAlign w:val="top"/>
          </w:tcPr>
          <w:p>
            <w:pPr>
              <w:spacing w:after="0"/>
              <w:jc w:val="left"/>
            </w:pPr>
            <w:r>
              <w:rPr>
                <w:rFonts w:ascii="Calibri" w:hAnsi="Calibri"/>
                <w:b w:val="0"/>
                <w:color w:val="000000"/>
                <w:sz w:val="11"/>
              </w:rPr>
              <w:t>Fills blank final values after source mapping and enrichment. Existing values are preserved.</w:t>
            </w:r>
          </w:p>
        </w:tc>
        <w:tc>
          <w:tcPr>
            <w:tcW w:type="dxa" w:w="3816"/>
            <w:vAlign w:val="top"/>
          </w:tcPr>
          <w:p>
            <w:pPr>
              <w:spacing w:after="0"/>
              <w:jc w:val="left"/>
            </w:pPr>
            <w:r>
              <w:rPr>
                <w:rFonts w:ascii="Calibri" w:hAnsi="Calibri"/>
                <w:b w:val="0"/>
                <w:color w:val="000000"/>
                <w:sz w:val="11"/>
              </w:rPr>
              <w:t>en-US</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languageSubtitle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Language 1, Subtitling language. Aliases checked: languageSubtitle, language subtitle, language 1, subtitle language, subtitling language, caption language</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languageSubtitle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languageSubtitle</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Final pass default</w:t>
            </w:r>
          </w:p>
        </w:tc>
        <w:tc>
          <w:tcPr>
            <w:tcW w:type="dxa" w:w="2951"/>
            <w:vAlign w:val="top"/>
          </w:tcPr>
          <w:p>
            <w:pPr>
              <w:spacing w:after="0"/>
              <w:jc w:val="left"/>
            </w:pPr>
            <w:r>
              <w:rPr>
                <w:rFonts w:ascii="Calibri" w:hAnsi="Calibri"/>
                <w:b w:val="0"/>
                <w:color w:val="000000"/>
                <w:sz w:val="11"/>
              </w:rPr>
              <w:t>Fills blank final values after source mapping and enrichment. Existing values are preserved.</w:t>
            </w:r>
          </w:p>
        </w:tc>
        <w:tc>
          <w:tcPr>
            <w:tcW w:type="dxa" w:w="3816"/>
            <w:vAlign w:val="top"/>
          </w:tcPr>
          <w:p>
            <w:pPr>
              <w:spacing w:after="0"/>
              <w:jc w:val="left"/>
            </w:pPr>
            <w:r>
              <w:rPr>
                <w:rFonts w:ascii="Calibri" w:hAnsi="Calibri"/>
                <w:b w:val="0"/>
                <w:color w:val="000000"/>
                <w:sz w:val="11"/>
              </w:rPr>
              <w:t>en-US</w:t>
            </w:r>
          </w:p>
        </w:tc>
        <w:tc>
          <w:tcPr>
            <w:tcW w:type="dxa" w:w="4104"/>
            <w:vAlign w:val="top"/>
          </w:tcPr>
          <w:p>
            <w:pPr>
              <w:spacing w:after="0"/>
              <w:jc w:val="left"/>
            </w:pPr>
            <w:r>
              <w:rPr>
                <w:rFonts w:ascii="Calibri" w:hAnsi="Calibri"/>
                <w:b w:val="0"/>
                <w:color w:val="000000"/>
                <w:sz w:val="11"/>
              </w:rPr>
              <w:t>Normalizes known language values to app syntax; if blank on the final pass, defaults to en-US.</w:t>
            </w:r>
          </w:p>
        </w:tc>
      </w:tr>
      <w:tr>
        <w:tc>
          <w:tcPr>
            <w:tcW w:type="dxa" w:w="1440"/>
            <w:vAlign w:val="top"/>
          </w:tcPr>
          <w:p>
            <w:pPr>
              <w:spacing w:after="0"/>
              <w:jc w:val="left"/>
            </w:pPr>
            <w:r>
              <w:rPr>
                <w:rFonts w:ascii="Calibri" w:hAnsi="Calibri"/>
                <w:b w:val="0"/>
                <w:color w:val="000000"/>
                <w:sz w:val="11"/>
              </w:rPr>
              <w:t>rightsAllowDownload</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rightsAllowDownload, rights allow download, download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rightsAllowDownload</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rightsAllowDownload</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rightsAllowDownload</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False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rightsDRMrequired</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rightsDRMrequired, rights drm required, drm required, drm</w:t>
            </w:r>
          </w:p>
        </w:tc>
        <w:tc>
          <w:tcPr>
            <w:tcW w:type="dxa" w:w="4104"/>
            <w:vAlign w:val="top"/>
          </w:tcPr>
          <w:p>
            <w:pPr>
              <w:spacing w:after="0"/>
              <w:jc w:val="left"/>
            </w:pPr>
            <w:r>
              <w:rPr>
                <w:rFonts w:ascii="Calibri" w:hAnsi="Calibri"/>
                <w:b w:val="0"/>
                <w:color w:val="000000"/>
                <w:sz w:val="11"/>
              </w:rPr>
              <w:t>Connector DRM text maps DRM Concurrency to True and NDRM Concurrency to False. Metadata Smart Sheet DRM Protected maps Yes to True; No or blank stays blank.</w:t>
            </w:r>
          </w:p>
        </w:tc>
      </w:tr>
      <w:tr>
        <w:tc>
          <w:tcPr>
            <w:tcW w:type="dxa" w:w="1440"/>
            <w:vAlign w:val="top"/>
          </w:tcPr>
          <w:p>
            <w:pPr>
              <w:spacing w:after="0"/>
              <w:jc w:val="left"/>
            </w:pPr>
            <w:r>
              <w:rPr>
                <w:rFonts w:ascii="Calibri" w:hAnsi="Calibri"/>
                <w:b w:val="0"/>
                <w:color w:val="000000"/>
                <w:sz w:val="11"/>
              </w:rPr>
              <w:t>rightsDRMrequired</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Connector DRM text maps DRM Concurrency to True and NDRM Concurrency to False. Metadata Smart Sheet DRM Protected maps Yes to True; No or blank stays blank.</w:t>
            </w:r>
          </w:p>
        </w:tc>
      </w:tr>
      <w:tr>
        <w:tc>
          <w:tcPr>
            <w:tcW w:type="dxa" w:w="1440"/>
            <w:vAlign w:val="top"/>
          </w:tcPr>
          <w:p>
            <w:pPr>
              <w:spacing w:after="0"/>
              <w:jc w:val="left"/>
            </w:pPr>
            <w:r>
              <w:rPr>
                <w:rFonts w:ascii="Calibri" w:hAnsi="Calibri"/>
                <w:b w:val="0"/>
                <w:color w:val="000000"/>
                <w:sz w:val="11"/>
              </w:rPr>
              <w:t>rightsDRMrequired</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Connector DRM text maps DRM Concurrency to True and NDRM Concurrency to False. Metadata Smart Sheet DRM Protected maps Yes to True; No or blank stays blank.</w:t>
            </w:r>
          </w:p>
        </w:tc>
      </w:tr>
      <w:tr>
        <w:tc>
          <w:tcPr>
            <w:tcW w:type="dxa" w:w="1440"/>
            <w:vAlign w:val="top"/>
          </w:tcPr>
          <w:p>
            <w:pPr>
              <w:spacing w:after="0"/>
              <w:jc w:val="left"/>
            </w:pPr>
            <w:r>
              <w:rPr>
                <w:rFonts w:ascii="Calibri" w:hAnsi="Calibri"/>
                <w:b w:val="0"/>
                <w:color w:val="000000"/>
                <w:sz w:val="11"/>
              </w:rPr>
              <w:t>rightsDRMrequired</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DRM Protected.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Connector DRM text maps DRM Concurrency to True and NDRM Concurrency to False. Metadata Smart Sheet DRM Protected maps Yes to True; No or blank stays blank.</w:t>
            </w:r>
          </w:p>
        </w:tc>
      </w:tr>
      <w:tr>
        <w:tc>
          <w:tcPr>
            <w:tcW w:type="dxa" w:w="1440"/>
            <w:vAlign w:val="top"/>
          </w:tcPr>
          <w:p>
            <w:pPr>
              <w:spacing w:after="0"/>
              <w:jc w:val="left"/>
            </w:pPr>
            <w:r>
              <w:rPr>
                <w:rFonts w:ascii="Calibri" w:hAnsi="Calibri"/>
                <w:b w:val="0"/>
                <w:color w:val="000000"/>
                <w:sz w:val="11"/>
              </w:rPr>
              <w:t>rightsLicenseRightsDescription</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All streaming rights. Aliases checked: rightsLicenseRightsDescription, rights license rights description, license rights description, rights description, all streaming rights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rightsLicenseRightsDescription</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rightsLicenseRightsDescription</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rightsLicenseRightsDescription</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SWP</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rightsLicenseType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rightsLicenseType, rights license type, license type, licensetype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rightsLicenseType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rightsLicenseType</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rightsLicenseType</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SVOD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rightsPricingTier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rightsPricingTier, rights pricing tier, price type, pricing tier</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rightsPricingTier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rightsPricingTier</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Category</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rightsTerritory</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rightsTerritory, rights territory, territory</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rightsTerritory</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rightsTerritory</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rightsTerritory</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Default value</w:t>
            </w:r>
          </w:p>
        </w:tc>
        <w:tc>
          <w:tcPr>
            <w:tcW w:type="dxa" w:w="2951"/>
            <w:vAlign w:val="top"/>
          </w:tcPr>
          <w:p>
            <w:pPr>
              <w:spacing w:after="0"/>
              <w:jc w:val="left"/>
            </w:pPr>
            <w:r>
              <w:rPr>
                <w:rFonts w:ascii="Calibri" w:hAnsi="Calibri"/>
                <w:b w:val="0"/>
                <w:color w:val="000000"/>
                <w:sz w:val="11"/>
              </w:rPr>
              <w:t>Applied when no source filled the field.</w:t>
            </w:r>
          </w:p>
        </w:tc>
        <w:tc>
          <w:tcPr>
            <w:tcW w:type="dxa" w:w="3816"/>
            <w:vAlign w:val="top"/>
          </w:tcPr>
          <w:p>
            <w:pPr>
              <w:spacing w:after="0"/>
              <w:jc w:val="left"/>
            </w:pPr>
            <w:r>
              <w:rPr>
                <w:rFonts w:ascii="Calibri" w:hAnsi="Calibri"/>
                <w:b w:val="0"/>
                <w:color w:val="000000"/>
                <w:sz w:val="11"/>
              </w:rPr>
              <w:t>US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idParentRef</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idParentRef, id parent ref, parent ref, parent id</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idParentRef</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mediaExpectedFormat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mediaExpectedFormat, media expected format, format profile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mediaExpectedFormat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mediaExpectedFormat</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Fills blank connector-supported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mediaHouseNumber</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House number. Aliases checked: mediaHouseNumber, media house number, house number</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mediaHouseNumber</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mediaHouseNumber</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Marker_programStart:start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Marker_programStart:start</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Marker_programStart:start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Marker_programSegment:start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Marker_programSegment:start</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Marker_programSegment:start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Marker_openingCredits:start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Marker_openingCredits:start</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Marker_openingCredits:start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Marker_closingCredits:start</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Marker_closingCredits:start</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Marker_closingCredits:start</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idMedia (MediaGenix)</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MPX Media ID. Aliases checked: idMedia (MediaGenix), id media, media id, mediagenix media id, mpx media id, cvp media id, cvpmediaid</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idMedia (MediaGenix)</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idMedia (MediaGenix)</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idProduct (MediaGenix)</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MPX Program ID. Aliases checked: idProduct (MediaGenix), id product, program id, mediagenix product id, mpx program id, cvp program id, cvpprogramid</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idProduct (MediaGenix)</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idProduct (MediaGenix)</w:t>
            </w:r>
          </w:p>
        </w:tc>
        <w:tc>
          <w:tcPr>
            <w:tcW w:type="dxa" w:w="648"/>
            <w:vAlign w:val="top"/>
          </w:tcPr>
          <w:p>
            <w:pPr>
              <w:spacing w:after="0"/>
              <w:jc w:val="left"/>
            </w:pPr>
            <w:r>
              <w:rPr>
                <w:rFonts w:ascii="Calibri" w:hAnsi="Calibri"/>
                <w:b w:val="0"/>
                <w:color w:val="000000"/>
                <w:sz w:val="11"/>
              </w:rPr>
              <w:t>4</w:t>
            </w:r>
          </w:p>
        </w:tc>
        <w:tc>
          <w:tcPr>
            <w:tcW w:type="dxa" w:w="1655"/>
            <w:vAlign w:val="top"/>
          </w:tcPr>
          <w:p>
            <w:pPr>
              <w:spacing w:after="0"/>
              <w:jc w:val="left"/>
            </w:pPr>
            <w:r>
              <w:rPr>
                <w:rFonts w:ascii="Calibri" w:hAnsi="Calibri"/>
                <w:b w:val="0"/>
                <w:color w:val="000000"/>
                <w:sz w:val="11"/>
              </w:rPr>
              <w:t>Connector knowledge base</w:t>
            </w:r>
          </w:p>
        </w:tc>
        <w:tc>
          <w:tcPr>
            <w:tcW w:type="dxa" w:w="2951"/>
            <w:vAlign w:val="top"/>
          </w:tcPr>
          <w:p>
            <w:pPr>
              <w:spacing w:after="0"/>
              <w:jc w:val="left"/>
            </w:pPr>
            <w:r>
              <w:rPr>
                <w:rFonts w:ascii="Calibri" w:hAnsi="Calibri"/>
                <w:b w:val="0"/>
                <w:color w:val="000000"/>
                <w:sz w:val="11"/>
              </w:rPr>
              <w:t>Overrides connector cross-reference fields on identifier match.</w:t>
            </w:r>
          </w:p>
        </w:tc>
        <w:tc>
          <w:tcPr>
            <w:tcW w:type="dxa" w:w="3816"/>
            <w:vAlign w:val="top"/>
          </w:tcPr>
          <w:p>
            <w:pPr>
              <w:spacing w:after="0"/>
              <w:jc w:val="left"/>
            </w:pPr>
            <w:r>
              <w:rPr>
                <w:rFonts w:ascii="Calibri" w:hAnsi="Calibri"/>
                <w:b w:val="0"/>
                <w:color w:val="000000"/>
                <w:sz w:val="11"/>
              </w:rPr>
              <w:t>External reference, NewSku, ParentSeriesMediaID, valid CVP SKU, GUID, TMS</w:t>
            </w:r>
          </w:p>
        </w:tc>
        <w:tc>
          <w:tcPr>
            <w:tcW w:type="dxa" w:w="4104"/>
            <w:vAlign w:val="top"/>
          </w:tcPr>
          <w:p>
            <w:pPr>
              <w:spacing w:after="0"/>
              <w:jc w:val="left"/>
            </w:pPr>
            <w:r>
              <w:rPr>
                <w:rFonts w:ascii="Calibri" w:hAnsi="Calibri"/>
                <w:b w:val="0"/>
                <w:color w:val="000000"/>
                <w:sz w:val="11"/>
              </w:rPr>
              <w:t>Normalizes MPX/CVP URLs and numeric-looking values to the trailing numeric Media ID or Program ID.</w:t>
            </w:r>
          </w:p>
        </w:tc>
      </w:tr>
      <w:tr>
        <w:tc>
          <w:tcPr>
            <w:tcW w:type="dxa" w:w="1440"/>
            <w:vAlign w:val="top"/>
          </w:tcPr>
          <w:p>
            <w:pPr>
              <w:spacing w:after="0"/>
              <w:jc w:val="left"/>
            </w:pPr>
            <w:r>
              <w:rPr>
                <w:rFonts w:ascii="Calibri" w:hAnsi="Calibri"/>
                <w:b w:val="0"/>
                <w:color w:val="000000"/>
                <w:sz w:val="11"/>
              </w:rPr>
              <w:t>titleKeywords</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Matched WhatsOn fields: Category, Key words. Aliases checked: titleKeywords, title keywords, keywords, key words, category</w:t>
            </w:r>
          </w:p>
        </w:tc>
        <w:tc>
          <w:tcPr>
            <w:tcW w:type="dxa" w:w="4104"/>
            <w:vAlign w:val="top"/>
          </w:tcPr>
          <w:p>
            <w:pPr>
              <w:spacing w:after="0"/>
              <w:jc w:val="left"/>
            </w:pPr>
            <w:r>
              <w:rPr>
                <w:rFonts w:ascii="Calibri" w:hAnsi="Calibri"/>
                <w:b w:val="0"/>
                <w:color w:val="000000"/>
                <w:sz w:val="11"/>
              </w:rPr>
              <w:t>Splits comma- or semicolon-separated inputs, trims each value, and outputs keywords separated by '; '.</w:t>
            </w:r>
          </w:p>
        </w:tc>
      </w:tr>
      <w:tr>
        <w:tc>
          <w:tcPr>
            <w:tcW w:type="dxa" w:w="1440"/>
            <w:vAlign w:val="top"/>
          </w:tcPr>
          <w:p>
            <w:pPr>
              <w:spacing w:after="0"/>
              <w:jc w:val="left"/>
            </w:pPr>
            <w:r>
              <w:rPr>
                <w:rFonts w:ascii="Calibri" w:hAnsi="Calibri"/>
                <w:b w:val="0"/>
                <w:color w:val="000000"/>
                <w:sz w:val="11"/>
              </w:rPr>
              <w:t>titleKeywords</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Fills blank values only.</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Splits comma- or semicolon-separated inputs, trims each value, and outputs keywords separated by '; '.</w:t>
            </w:r>
          </w:p>
        </w:tc>
      </w:tr>
      <w:tr>
        <w:tc>
          <w:tcPr>
            <w:tcW w:type="dxa" w:w="1440"/>
            <w:vAlign w:val="top"/>
          </w:tcPr>
          <w:p>
            <w:pPr>
              <w:spacing w:after="0"/>
              <w:jc w:val="left"/>
            </w:pPr>
            <w:r>
              <w:rPr>
                <w:rFonts w:ascii="Calibri" w:hAnsi="Calibri"/>
                <w:b w:val="0"/>
                <w:color w:val="000000"/>
                <w:sz w:val="11"/>
              </w:rPr>
              <w:t>titleKeywords</w:t>
            </w:r>
          </w:p>
        </w:tc>
        <w:tc>
          <w:tcPr>
            <w:tcW w:type="dxa" w:w="648"/>
            <w:vAlign w:val="top"/>
          </w:tcPr>
          <w:p>
            <w:pPr>
              <w:spacing w:after="0"/>
              <w:jc w:val="left"/>
            </w:pPr>
            <w:r>
              <w:rPr>
                <w:rFonts w:ascii="Calibri" w:hAnsi="Calibri"/>
                <w:b w:val="0"/>
                <w:color w:val="000000"/>
                <w:sz w:val="11"/>
              </w:rPr>
              <w:t>5</w:t>
            </w:r>
          </w:p>
        </w:tc>
        <w:tc>
          <w:tcPr>
            <w:tcW w:type="dxa" w:w="1655"/>
            <w:vAlign w:val="top"/>
          </w:tcPr>
          <w:p>
            <w:pPr>
              <w:spacing w:after="0"/>
              <w:jc w:val="left"/>
            </w:pPr>
            <w:r>
              <w:rPr>
                <w:rFonts w:ascii="Calibri" w:hAnsi="Calibri"/>
                <w:b w:val="0"/>
                <w:color w:val="000000"/>
                <w:sz w:val="11"/>
              </w:rPr>
              <w:t>Metadata Smart Sheet</w:t>
            </w:r>
          </w:p>
        </w:tc>
        <w:tc>
          <w:tcPr>
            <w:tcW w:type="dxa" w:w="2951"/>
            <w:vAlign w:val="top"/>
          </w:tcPr>
          <w:p>
            <w:pPr>
              <w:spacing w:after="0"/>
              <w:jc w:val="left"/>
            </w:pPr>
            <w:r>
              <w:rPr>
                <w:rFonts w:ascii="Calibri" w:hAnsi="Calibri"/>
                <w:b w:val="0"/>
                <w:color w:val="000000"/>
                <w:sz w:val="11"/>
              </w:rPr>
              <w:t>Optional final metadata override for selected fields only.</w:t>
            </w:r>
          </w:p>
        </w:tc>
        <w:tc>
          <w:tcPr>
            <w:tcW w:type="dxa" w:w="3816"/>
            <w:vAlign w:val="top"/>
          </w:tcPr>
          <w:p>
            <w:pPr>
              <w:spacing w:after="0"/>
              <w:jc w:val="left"/>
            </w:pPr>
            <w:r>
              <w:rPr>
                <w:rFonts w:ascii="Calibri" w:hAnsi="Calibri"/>
                <w:b w:val="0"/>
                <w:color w:val="000000"/>
                <w:sz w:val="11"/>
              </w:rPr>
              <w:t>Key Words. Matches by External ID -&gt; assetNameSDVI or New SKU -&gt; idSku. After a TVSHOW/PODCAST series row is matched, child seasons and episodes can match by parent SKU, Season, and Episode.</w:t>
            </w:r>
          </w:p>
        </w:tc>
        <w:tc>
          <w:tcPr>
            <w:tcW w:type="dxa" w:w="4104"/>
            <w:vAlign w:val="top"/>
          </w:tcPr>
          <w:p>
            <w:pPr>
              <w:spacing w:after="0"/>
              <w:jc w:val="left"/>
            </w:pPr>
            <w:r>
              <w:rPr>
                <w:rFonts w:ascii="Calibri" w:hAnsi="Calibri"/>
                <w:b w:val="0"/>
                <w:color w:val="000000"/>
                <w:sz w:val="11"/>
              </w:rPr>
              <w:t>Splits comma- or semicolon-separated inputs, trims each value, and outputs keywords separated by '; '.</w:t>
            </w:r>
          </w:p>
        </w:tc>
      </w:tr>
      <w:tr>
        <w:tc>
          <w:tcPr>
            <w:tcW w:type="dxa" w:w="1440"/>
            <w:vAlign w:val="top"/>
          </w:tcPr>
          <w:p>
            <w:pPr>
              <w:spacing w:after="0"/>
              <w:jc w:val="left"/>
            </w:pPr>
            <w:r>
              <w:rPr>
                <w:rFonts w:ascii="Calibri" w:hAnsi="Calibri"/>
                <w:b w:val="0"/>
                <w:color w:val="000000"/>
                <w:sz w:val="11"/>
              </w:rPr>
              <w:t>titleSchedule</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titleSchedule, title schedule, schedule title</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titleSchedule</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vodMediaId (SKU)</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vodMediaId (SKU), vod media id, media sku</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vodMediaId (SKU)</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vodProgramId (SKU)</w:t>
            </w:r>
          </w:p>
        </w:tc>
        <w:tc>
          <w:tcPr>
            <w:tcW w:type="dxa" w:w="648"/>
            <w:vAlign w:val="top"/>
          </w:tcPr>
          <w:p>
            <w:pPr>
              <w:spacing w:after="0"/>
              <w:jc w:val="left"/>
            </w:pPr>
            <w:r>
              <w:rPr>
                <w:rFonts w:ascii="Calibri" w:hAnsi="Calibri"/>
                <w:b w:val="0"/>
                <w:color w:val="000000"/>
                <w:sz w:val="11"/>
              </w:rPr>
              <w:t>1</w:t>
            </w:r>
          </w:p>
        </w:tc>
        <w:tc>
          <w:tcPr>
            <w:tcW w:type="dxa" w:w="1655"/>
            <w:vAlign w:val="top"/>
          </w:tcPr>
          <w:p>
            <w:pPr>
              <w:spacing w:after="0"/>
              <w:jc w:val="left"/>
            </w:pPr>
            <w:r>
              <w:rPr>
                <w:rFonts w:ascii="Calibri" w:hAnsi="Calibri"/>
                <w:b w:val="0"/>
                <w:color w:val="000000"/>
                <w:sz w:val="11"/>
              </w:rPr>
              <w:t>WhatsOn and row-producing sources</w:t>
            </w:r>
          </w:p>
        </w:tc>
        <w:tc>
          <w:tcPr>
            <w:tcW w:type="dxa" w:w="2951"/>
            <w:vAlign w:val="top"/>
          </w:tcPr>
          <w:p>
            <w:pPr>
              <w:spacing w:after="0"/>
              <w:jc w:val="left"/>
            </w:pPr>
            <w:r>
              <w:rPr>
                <w:rFonts w:ascii="Calibri" w:hAnsi="Calibri"/>
                <w:b w:val="0"/>
                <w:color w:val="000000"/>
                <w:sz w:val="11"/>
              </w:rPr>
              <w:t>Exact source headers and configured aliases are read first.</w:t>
            </w:r>
          </w:p>
        </w:tc>
        <w:tc>
          <w:tcPr>
            <w:tcW w:type="dxa" w:w="3816"/>
            <w:vAlign w:val="top"/>
          </w:tcPr>
          <w:p>
            <w:pPr>
              <w:spacing w:after="0"/>
              <w:jc w:val="left"/>
            </w:pPr>
            <w:r>
              <w:rPr>
                <w:rFonts w:ascii="Calibri" w:hAnsi="Calibri"/>
                <w:b w:val="0"/>
                <w:color w:val="000000"/>
                <w:sz w:val="11"/>
              </w:rPr>
              <w:t>No matching WhatsOn field found. Aliases checked: vodProgramId (SKU), vod program id, program sku</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r>
        <w:tc>
          <w:tcPr>
            <w:tcW w:type="dxa" w:w="1440"/>
            <w:vAlign w:val="top"/>
          </w:tcPr>
          <w:p>
            <w:pPr>
              <w:spacing w:after="0"/>
              <w:jc w:val="left"/>
            </w:pPr>
            <w:r>
              <w:rPr>
                <w:rFonts w:ascii="Calibri" w:hAnsi="Calibri"/>
                <w:b w:val="0"/>
                <w:color w:val="000000"/>
                <w:sz w:val="11"/>
              </w:rPr>
              <w:t>vodProgramId (SKU)</w:t>
            </w:r>
          </w:p>
        </w:tc>
        <w:tc>
          <w:tcPr>
            <w:tcW w:type="dxa" w:w="648"/>
            <w:vAlign w:val="top"/>
          </w:tcPr>
          <w:p>
            <w:pPr>
              <w:spacing w:after="0"/>
              <w:jc w:val="left"/>
            </w:pPr>
            <w:r>
              <w:rPr>
                <w:rFonts w:ascii="Calibri" w:hAnsi="Calibri"/>
                <w:b w:val="0"/>
                <w:color w:val="000000"/>
                <w:sz w:val="11"/>
              </w:rPr>
              <w:t>3</w:t>
            </w:r>
          </w:p>
        </w:tc>
        <w:tc>
          <w:tcPr>
            <w:tcW w:type="dxa" w:w="1655"/>
            <w:vAlign w:val="top"/>
          </w:tcPr>
          <w:p>
            <w:pPr>
              <w:spacing w:after="0"/>
              <w:jc w:val="left"/>
            </w:pPr>
            <w:r>
              <w:rPr>
                <w:rFonts w:ascii="Calibri" w:hAnsi="Calibri"/>
                <w:b w:val="0"/>
                <w:color w:val="000000"/>
                <w:sz w:val="11"/>
              </w:rPr>
              <w:t>CVP Metadata knowledge base</w:t>
            </w:r>
          </w:p>
        </w:tc>
        <w:tc>
          <w:tcPr>
            <w:tcW w:type="dxa" w:w="2951"/>
            <w:vAlign w:val="top"/>
          </w:tcPr>
          <w:p>
            <w:pPr>
              <w:spacing w:after="0"/>
              <w:jc w:val="left"/>
            </w:pPr>
            <w:r>
              <w:rPr>
                <w:rFonts w:ascii="Calibri" w:hAnsi="Calibri"/>
                <w:b w:val="0"/>
                <w:color w:val="000000"/>
                <w:sz w:val="11"/>
              </w:rPr>
              <w:t>Overrides mapped source values on match.</w:t>
            </w:r>
          </w:p>
        </w:tc>
        <w:tc>
          <w:tcPr>
            <w:tcW w:type="dxa" w:w="3816"/>
            <w:vAlign w:val="top"/>
          </w:tcPr>
          <w:p>
            <w:pPr>
              <w:spacing w:after="0"/>
              <w:jc w:val="left"/>
            </w:pPr>
            <w:r>
              <w:rPr>
                <w:rFonts w:ascii="Calibri" w:hAnsi="Calibri"/>
                <w:b w:val="0"/>
                <w:color w:val="000000"/>
                <w:sz w:val="11"/>
              </w:rPr>
              <w:t>Title, GUID, SKU, MPX/CVP Media ID, or MPX/CVP Program ID match</w:t>
            </w:r>
          </w:p>
        </w:tc>
        <w:tc>
          <w:tcPr>
            <w:tcW w:type="dxa" w:w="4104"/>
            <w:vAlign w:val="top"/>
          </w:tcPr>
          <w:p>
            <w:pPr>
              <w:spacing w:after="0"/>
              <w:jc w:val="left"/>
            </w:pPr>
            <w:r>
              <w:rPr>
                <w:rFonts w:ascii="Calibri" w:hAnsi="Calibri"/>
                <w:b w:val="0"/>
                <w:color w:val="000000"/>
                <w:sz w:val="11"/>
              </w:rPr>
              <w:t>No field-specific syntax transform beyond blank/null handling and source priority rules.</w:t>
            </w:r>
          </w:p>
        </w:tc>
      </w:tr>
    </w:tbl>
    <w:p>
      <w:r>
        <w:t>Generated 2026-08-03 from the app mapping catalog.</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