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B8F" w:rsidRDefault="001D5B8F" w:rsidP="001D5B8F">
      <w:pPr>
        <w:jc w:val="center"/>
      </w:pPr>
      <w:bookmarkStart w:id="0" w:name="AuthorName"/>
    </w:p>
    <w:p w:rsidR="001D5B8F" w:rsidRDefault="001D5B8F" w:rsidP="001D5B8F">
      <w:pPr>
        <w:jc w:val="center"/>
      </w:pPr>
    </w:p>
    <w:p w:rsidR="001D5B8F" w:rsidRDefault="001D5B8F" w:rsidP="001D5B8F">
      <w:pPr>
        <w:jc w:val="center"/>
      </w:pPr>
    </w:p>
    <w:p w:rsidR="001D5B8F" w:rsidRPr="00FB4817" w:rsidRDefault="001D5B8F"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7F02A9" w:rsidRDefault="00CC323D" w:rsidP="007F02A9">
      <w:pPr>
        <w:ind w:right="1170"/>
        <w:rPr>
          <w:b/>
          <w:iCs/>
          <w:sz w:val="32"/>
          <w:szCs w:val="32"/>
        </w:rPr>
      </w:pPr>
      <w:r>
        <w:rPr>
          <w:b/>
          <w:iCs/>
          <w:sz w:val="32"/>
          <w:szCs w:val="32"/>
        </w:rPr>
        <w:t>Business Requirements Document</w:t>
      </w:r>
    </w:p>
    <w:p w:rsidR="005620E6" w:rsidRPr="00CC323D" w:rsidRDefault="00CC323D" w:rsidP="007F02A9">
      <w:pPr>
        <w:ind w:right="1170"/>
        <w:rPr>
          <w:b/>
          <w:iCs/>
          <w:sz w:val="32"/>
          <w:szCs w:val="32"/>
        </w:rPr>
      </w:pPr>
      <w:r w:rsidRPr="00CC323D">
        <w:rPr>
          <w:b/>
          <w:iCs/>
          <w:sz w:val="32"/>
          <w:szCs w:val="32"/>
        </w:rPr>
        <w:t xml:space="preserve">Project: </w:t>
      </w:r>
      <w:proofErr w:type="spellStart"/>
      <w:r w:rsidR="00E77AC8" w:rsidRPr="00CC323D">
        <w:rPr>
          <w:b/>
          <w:iCs/>
          <w:sz w:val="32"/>
          <w:szCs w:val="32"/>
        </w:rPr>
        <w:t>eVal</w:t>
      </w:r>
      <w:proofErr w:type="spellEnd"/>
      <w:r w:rsidR="00E77AC8" w:rsidRPr="00CC323D">
        <w:rPr>
          <w:b/>
          <w:iCs/>
          <w:sz w:val="32"/>
          <w:szCs w:val="32"/>
        </w:rPr>
        <w:t xml:space="preserve"> </w:t>
      </w:r>
      <w:r w:rsidR="00A54928">
        <w:rPr>
          <w:b/>
          <w:iCs/>
          <w:sz w:val="32"/>
          <w:szCs w:val="32"/>
        </w:rPr>
        <w:t>Implementation</w:t>
      </w:r>
      <w:r w:rsidR="008E001E" w:rsidRPr="00CC323D">
        <w:rPr>
          <w:b/>
          <w:iCs/>
          <w:sz w:val="32"/>
          <w:szCs w:val="32"/>
        </w:rPr>
        <w:t xml:space="preserve"> </w:t>
      </w:r>
    </w:p>
    <w:p w:rsidR="005620E6" w:rsidRPr="00A54928" w:rsidRDefault="005620E6" w:rsidP="00A54928">
      <w:pPr>
        <w:pBdr>
          <w:bottom w:val="single" w:sz="4" w:space="1" w:color="auto"/>
        </w:pBdr>
        <w:ind w:right="1170"/>
        <w:rPr>
          <w:b/>
          <w:iCs/>
          <w:color w:val="000000" w:themeColor="text1"/>
          <w:sz w:val="32"/>
          <w:szCs w:val="32"/>
        </w:rPr>
      </w:pPr>
    </w:p>
    <w:p w:rsidR="00A54928" w:rsidRDefault="00A54928" w:rsidP="007F02A9">
      <w:pPr>
        <w:ind w:right="1170"/>
        <w:rPr>
          <w:b/>
          <w:iCs/>
          <w:color w:val="000000" w:themeColor="text1"/>
          <w:sz w:val="32"/>
          <w:szCs w:val="32"/>
        </w:rPr>
      </w:pPr>
    </w:p>
    <w:p w:rsidR="00077144" w:rsidRPr="00A54928" w:rsidRDefault="00CC323D" w:rsidP="007F02A9">
      <w:pPr>
        <w:ind w:right="1170"/>
        <w:rPr>
          <w:b/>
          <w:iCs/>
          <w:color w:val="000000" w:themeColor="text1"/>
          <w:sz w:val="32"/>
          <w:szCs w:val="32"/>
        </w:rPr>
      </w:pPr>
      <w:r w:rsidRPr="00A54928">
        <w:rPr>
          <w:b/>
          <w:iCs/>
          <w:color w:val="000000" w:themeColor="text1"/>
          <w:sz w:val="32"/>
          <w:szCs w:val="32"/>
        </w:rPr>
        <w:t>BRD Title:</w:t>
      </w:r>
      <w:r w:rsidR="003A7E6E" w:rsidRPr="00A54928">
        <w:rPr>
          <w:b/>
          <w:iCs/>
          <w:color w:val="000000" w:themeColor="text1"/>
          <w:sz w:val="32"/>
          <w:szCs w:val="32"/>
        </w:rPr>
        <w:t xml:space="preserve"> </w:t>
      </w:r>
      <w:proofErr w:type="spellStart"/>
      <w:r w:rsidR="00D462C1">
        <w:rPr>
          <w:b/>
          <w:iCs/>
          <w:color w:val="000000" w:themeColor="text1"/>
          <w:sz w:val="32"/>
          <w:szCs w:val="32"/>
        </w:rPr>
        <w:t>eVal</w:t>
      </w:r>
      <w:proofErr w:type="spellEnd"/>
      <w:r w:rsidR="00D462C1">
        <w:rPr>
          <w:b/>
          <w:iCs/>
          <w:color w:val="000000" w:themeColor="text1"/>
          <w:sz w:val="32"/>
          <w:szCs w:val="32"/>
        </w:rPr>
        <w:t xml:space="preserve"> Security Roles</w:t>
      </w:r>
    </w:p>
    <w:p w:rsidR="00CC323D" w:rsidRDefault="003A7E6E" w:rsidP="007F02A9">
      <w:pPr>
        <w:ind w:right="1170"/>
        <w:rPr>
          <w:b/>
          <w:iCs/>
          <w:color w:val="000000" w:themeColor="text1"/>
          <w:sz w:val="32"/>
          <w:szCs w:val="32"/>
        </w:rPr>
      </w:pPr>
      <w:r w:rsidRPr="00A54928">
        <w:rPr>
          <w:b/>
          <w:iCs/>
          <w:color w:val="000000" w:themeColor="text1"/>
          <w:sz w:val="32"/>
          <w:szCs w:val="32"/>
        </w:rPr>
        <w:t>BRD</w:t>
      </w:r>
      <w:r w:rsidR="00CC323D" w:rsidRPr="00A54928">
        <w:rPr>
          <w:b/>
          <w:iCs/>
          <w:color w:val="000000" w:themeColor="text1"/>
          <w:sz w:val="32"/>
          <w:szCs w:val="32"/>
        </w:rPr>
        <w:t>:</w:t>
      </w:r>
      <w:r w:rsidRPr="00A54928">
        <w:rPr>
          <w:b/>
          <w:iCs/>
          <w:color w:val="000000" w:themeColor="text1"/>
          <w:sz w:val="32"/>
          <w:szCs w:val="32"/>
        </w:rPr>
        <w:t xml:space="preserve"> #1</w:t>
      </w:r>
      <w:r w:rsidR="00D462C1">
        <w:rPr>
          <w:b/>
          <w:iCs/>
          <w:color w:val="000000" w:themeColor="text1"/>
          <w:sz w:val="32"/>
          <w:szCs w:val="32"/>
        </w:rPr>
        <w:t>7</w:t>
      </w:r>
    </w:p>
    <w:p w:rsidR="00A54928" w:rsidRPr="00A54928" w:rsidRDefault="00A54928" w:rsidP="007F02A9">
      <w:pPr>
        <w:ind w:right="1170"/>
        <w:rPr>
          <w:b/>
          <w:iCs/>
          <w:color w:val="000000" w:themeColor="text1"/>
          <w:sz w:val="32"/>
          <w:szCs w:val="32"/>
        </w:rPr>
      </w:pPr>
    </w:p>
    <w:p w:rsidR="00B15952" w:rsidRDefault="00B15952" w:rsidP="007F02A9">
      <w:pPr>
        <w:ind w:right="1170"/>
        <w:rPr>
          <w:b/>
          <w:iCs/>
          <w:color w:val="000000" w:themeColor="text1"/>
          <w:sz w:val="32"/>
          <w:szCs w:val="32"/>
        </w:rPr>
      </w:pPr>
    </w:p>
    <w:p w:rsidR="00B44375" w:rsidRPr="00967B70" w:rsidRDefault="00B44375" w:rsidP="00B44375">
      <w:pPr>
        <w:ind w:right="1170"/>
        <w:rPr>
          <w:b/>
          <w:iCs/>
          <w:sz w:val="32"/>
          <w:szCs w:val="32"/>
        </w:rPr>
      </w:pPr>
      <w:r w:rsidRPr="00967B70">
        <w:rPr>
          <w:b/>
          <w:iCs/>
          <w:sz w:val="32"/>
          <w:szCs w:val="32"/>
        </w:rPr>
        <w:t xml:space="preserve">Development required by: </w:t>
      </w:r>
    </w:p>
    <w:p w:rsidR="00B44375" w:rsidRPr="00967B70" w:rsidRDefault="00B44375" w:rsidP="00B44375">
      <w:pPr>
        <w:ind w:right="1170"/>
        <w:rPr>
          <w:b/>
          <w:i/>
          <w:iCs/>
          <w:sz w:val="32"/>
          <w:szCs w:val="32"/>
        </w:rPr>
      </w:pPr>
      <w:r>
        <w:rPr>
          <w:b/>
          <w:i/>
          <w:iCs/>
          <w:sz w:val="32"/>
          <w:szCs w:val="32"/>
        </w:rPr>
        <w:t xml:space="preserve">Washington </w:t>
      </w:r>
      <w:r w:rsidRPr="00967B70">
        <w:rPr>
          <w:b/>
          <w:i/>
          <w:iCs/>
          <w:sz w:val="32"/>
          <w:szCs w:val="32"/>
        </w:rPr>
        <w:t xml:space="preserve">State’s </w:t>
      </w:r>
      <w:proofErr w:type="spellStart"/>
      <w:r w:rsidRPr="00967B70">
        <w:rPr>
          <w:b/>
          <w:i/>
          <w:iCs/>
          <w:sz w:val="32"/>
          <w:szCs w:val="32"/>
        </w:rPr>
        <w:t>eVal</w:t>
      </w:r>
      <w:proofErr w:type="spellEnd"/>
      <w:r w:rsidRPr="00967B70">
        <w:rPr>
          <w:b/>
          <w:i/>
          <w:iCs/>
          <w:sz w:val="32"/>
          <w:szCs w:val="32"/>
        </w:rPr>
        <w:t xml:space="preserve"> </w:t>
      </w:r>
      <w:r>
        <w:rPr>
          <w:b/>
          <w:i/>
          <w:iCs/>
          <w:sz w:val="32"/>
          <w:szCs w:val="32"/>
        </w:rPr>
        <w:t>T</w:t>
      </w:r>
      <w:r w:rsidRPr="00967B70">
        <w:rPr>
          <w:b/>
          <w:i/>
          <w:iCs/>
          <w:sz w:val="32"/>
          <w:szCs w:val="32"/>
        </w:rPr>
        <w:t>eam</w:t>
      </w:r>
    </w:p>
    <w:p w:rsidR="00B44375" w:rsidRPr="00A54928" w:rsidRDefault="00B44375" w:rsidP="007F02A9">
      <w:pPr>
        <w:ind w:right="1170"/>
        <w:rPr>
          <w:b/>
          <w:iCs/>
          <w:color w:val="000000" w:themeColor="text1"/>
          <w:sz w:val="32"/>
          <w:szCs w:val="32"/>
        </w:rPr>
      </w:pPr>
    </w:p>
    <w:p w:rsidR="00077144" w:rsidRDefault="00077144" w:rsidP="001D5B8F">
      <w:pPr>
        <w:rPr>
          <w:lang w:val="en-GB"/>
        </w:rPr>
      </w:pPr>
    </w:p>
    <w:bookmarkEnd w:id="0"/>
    <w:p w:rsidR="00A54928" w:rsidRDefault="00A54928">
      <w:r>
        <w:br w:type="page"/>
      </w:r>
    </w:p>
    <w:p w:rsidR="00A54928" w:rsidRDefault="00A54928" w:rsidP="00A54928"/>
    <w:p w:rsidR="00A54928" w:rsidRDefault="00A54928" w:rsidP="00A54928"/>
    <w:p w:rsidR="00A54928" w:rsidRDefault="00A54928" w:rsidP="00A54928"/>
    <w:p w:rsidR="00A54928" w:rsidRDefault="00A54928" w:rsidP="00A54928">
      <w:r w:rsidRPr="00490998">
        <w:rPr>
          <w:rFonts w:cs="Arial"/>
          <w:b/>
          <w:bCs/>
          <w:kern w:val="32"/>
          <w:sz w:val="32"/>
          <w:szCs w:val="32"/>
          <w:lang w:val="en-GB"/>
        </w:rPr>
        <w:t>BACKGROUND</w:t>
      </w:r>
    </w:p>
    <w:p w:rsidR="00A54928" w:rsidRDefault="00A54928" w:rsidP="00A54928"/>
    <w:p w:rsidR="00A54928" w:rsidRDefault="00A54928" w:rsidP="00A54928">
      <w:r>
        <w:t xml:space="preserve">This Business Requirement Document (BRD) is part of a set of business requirement documents that are part of the Seattle School District’s 2015 implementation of Washington State’s online evaluation tool, </w:t>
      </w:r>
      <w:proofErr w:type="spellStart"/>
      <w:r>
        <w:t>eVal</w:t>
      </w:r>
      <w:proofErr w:type="spellEnd"/>
      <w:r>
        <w:t xml:space="preserve">.  </w:t>
      </w:r>
      <w:proofErr w:type="spellStart"/>
      <w:proofErr w:type="gramStart"/>
      <w:r>
        <w:t>eVal</w:t>
      </w:r>
      <w:proofErr w:type="spellEnd"/>
      <w:proofErr w:type="gramEnd"/>
      <w:r>
        <w:t xml:space="preserve"> is an online tool developed by the State to support teacher professional growth in alignment with Washington State’s mandates for TPEP (Teacher Principal Evaluation Process).  The project goal is to successfully integrate this </w:t>
      </w:r>
      <w:proofErr w:type="gramStart"/>
      <w:r>
        <w:t>tool  into</w:t>
      </w:r>
      <w:proofErr w:type="gramEnd"/>
      <w:r>
        <w:t xml:space="preserve"> the District’s TPEP activities, adhering to the District’s obligations of its CBA and to the spirit of the TPEP process which is aimed at fostering professional growth through collaborative, face-to-face discussions between teacher and evaluator.</w:t>
      </w:r>
    </w:p>
    <w:p w:rsidR="00A54928" w:rsidRDefault="00A54928" w:rsidP="00A54928"/>
    <w:p w:rsidR="00A54928" w:rsidRDefault="00A54928" w:rsidP="00A54928">
      <w:r>
        <w:t xml:space="preserve">BRDs related to </w:t>
      </w:r>
      <w:proofErr w:type="spellStart"/>
      <w:r>
        <w:t>eVal</w:t>
      </w:r>
      <w:proofErr w:type="spellEnd"/>
      <w:r>
        <w:t xml:space="preserve"> functionality have been submitted to the State’s </w:t>
      </w:r>
      <w:proofErr w:type="spellStart"/>
      <w:r>
        <w:t>eVal</w:t>
      </w:r>
      <w:proofErr w:type="spellEnd"/>
      <w:r>
        <w:t xml:space="preserve"> development team.  BRDs related to back-office activities which require District development have been submitted to DOTs (the District’s development team).</w:t>
      </w:r>
      <w:r w:rsidR="00E96A9C">
        <w:t xml:space="preserve">  Where noted, several of these documents require review and collaboration from both teams.</w:t>
      </w:r>
    </w:p>
    <w:p w:rsidR="00A54928" w:rsidRDefault="00A54928" w:rsidP="00A54928"/>
    <w:p w:rsidR="00A54928" w:rsidRPr="004E75FD" w:rsidRDefault="00A54928" w:rsidP="00A54928">
      <w:pPr>
        <w:rPr>
          <w:i/>
        </w:rPr>
      </w:pPr>
      <w:r w:rsidRPr="00031B0B">
        <w:rPr>
          <w:i/>
        </w:rPr>
        <w:t>For further information, please see</w:t>
      </w:r>
      <w:r w:rsidR="004E75FD">
        <w:rPr>
          <w:i/>
        </w:rPr>
        <w:t xml:space="preserve"> Excel file “</w:t>
      </w:r>
      <w:proofErr w:type="spellStart"/>
      <w:r w:rsidR="004E75FD" w:rsidRPr="004E75FD">
        <w:rPr>
          <w:i/>
        </w:rPr>
        <w:t>eVal</w:t>
      </w:r>
      <w:proofErr w:type="spellEnd"/>
      <w:r w:rsidR="004E75FD" w:rsidRPr="004E75FD">
        <w:rPr>
          <w:i/>
        </w:rPr>
        <w:t xml:space="preserve"> Seattle - Enhancements and BRD Index</w:t>
      </w:r>
      <w:r w:rsidR="004E75FD">
        <w:rPr>
          <w:i/>
        </w:rPr>
        <w:t>”</w:t>
      </w:r>
      <w:r w:rsidR="004E75FD" w:rsidRPr="004E75FD">
        <w:rPr>
          <w:i/>
        </w:rPr>
        <w:t xml:space="preserve"> </w:t>
      </w:r>
      <w:r w:rsidR="004E75FD">
        <w:rPr>
          <w:i/>
        </w:rPr>
        <w:t xml:space="preserve">which contains listing of each enhancement that </w:t>
      </w:r>
      <w:r w:rsidR="006C6738">
        <w:rPr>
          <w:i/>
        </w:rPr>
        <w:t>has been</w:t>
      </w:r>
      <w:r w:rsidR="004E75FD">
        <w:rPr>
          <w:i/>
        </w:rPr>
        <w:t xml:space="preserve"> approved for development and the </w:t>
      </w:r>
      <w:r w:rsidR="006C6738">
        <w:rPr>
          <w:i/>
        </w:rPr>
        <w:t>related</w:t>
      </w:r>
      <w:r w:rsidR="004E75FD">
        <w:rPr>
          <w:i/>
        </w:rPr>
        <w:t xml:space="preserve"> BRD and assigned development team.</w:t>
      </w:r>
    </w:p>
    <w:p w:rsidR="007F02A9" w:rsidRDefault="007F02A9" w:rsidP="004A0E07">
      <w:pPr>
        <w:rPr>
          <w:lang w:val="en-GB"/>
        </w:rPr>
      </w:pPr>
    </w:p>
    <w:p w:rsidR="007A3966" w:rsidRDefault="007A3966" w:rsidP="007A3966">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7A3966" w:rsidRPr="0058493F" w:rsidTr="00921519">
        <w:trPr>
          <w:trHeight w:val="398"/>
          <w:tblHeader/>
        </w:trPr>
        <w:tc>
          <w:tcPr>
            <w:tcW w:w="1470" w:type="dxa"/>
            <w:tcBorders>
              <w:top w:val="single" w:sz="6" w:space="0" w:color="auto"/>
              <w:left w:val="single" w:sz="6" w:space="0" w:color="auto"/>
              <w:bottom w:val="single" w:sz="6" w:space="0" w:color="auto"/>
            </w:tcBorders>
            <w:shd w:val="clear" w:color="auto" w:fill="000000"/>
          </w:tcPr>
          <w:p w:rsidR="007A3966" w:rsidRPr="00C264DA" w:rsidRDefault="007A3966" w:rsidP="00525CA3">
            <w:pPr>
              <w:pStyle w:val="TableHeading"/>
              <w:jc w:val="center"/>
              <w:rPr>
                <w:bCs/>
                <w:sz w:val="16"/>
                <w:szCs w:val="16"/>
              </w:rPr>
            </w:pPr>
            <w:r w:rsidRPr="00C264DA">
              <w:rPr>
                <w:bCs/>
                <w:sz w:val="16"/>
                <w:szCs w:val="16"/>
              </w:rPr>
              <w:t>Version No.</w:t>
            </w:r>
          </w:p>
        </w:tc>
        <w:tc>
          <w:tcPr>
            <w:tcW w:w="1573" w:type="dxa"/>
            <w:tcBorders>
              <w:top w:val="single" w:sz="6" w:space="0" w:color="auto"/>
              <w:bottom w:val="single" w:sz="6" w:space="0" w:color="auto"/>
            </w:tcBorders>
            <w:shd w:val="clear" w:color="auto" w:fill="000000"/>
          </w:tcPr>
          <w:p w:rsidR="007A3966" w:rsidRPr="00C264DA" w:rsidRDefault="007A3966" w:rsidP="00525CA3">
            <w:pPr>
              <w:pStyle w:val="TableHeading"/>
              <w:jc w:val="center"/>
              <w:rPr>
                <w:bCs/>
                <w:sz w:val="16"/>
                <w:szCs w:val="16"/>
              </w:rPr>
            </w:pPr>
            <w:r w:rsidRPr="00C264DA">
              <w:rPr>
                <w:bCs/>
                <w:sz w:val="16"/>
                <w:szCs w:val="16"/>
              </w:rPr>
              <w:t>Date</w:t>
            </w:r>
          </w:p>
        </w:tc>
        <w:tc>
          <w:tcPr>
            <w:tcW w:w="1470" w:type="dxa"/>
            <w:tcBorders>
              <w:top w:val="single" w:sz="6" w:space="0" w:color="auto"/>
              <w:bottom w:val="single" w:sz="6" w:space="0" w:color="auto"/>
            </w:tcBorders>
            <w:shd w:val="clear" w:color="auto" w:fill="000000"/>
          </w:tcPr>
          <w:p w:rsidR="007A3966" w:rsidRPr="00C264DA" w:rsidRDefault="007A3966" w:rsidP="00921519">
            <w:pPr>
              <w:pStyle w:val="TableHeading"/>
              <w:jc w:val="center"/>
              <w:rPr>
                <w:bCs/>
                <w:sz w:val="16"/>
                <w:szCs w:val="16"/>
              </w:rPr>
            </w:pPr>
            <w:r w:rsidRPr="00C264DA">
              <w:rPr>
                <w:bCs/>
                <w:sz w:val="16"/>
                <w:szCs w:val="16"/>
              </w:rPr>
              <w:t xml:space="preserve">Name </w:t>
            </w:r>
          </w:p>
        </w:tc>
        <w:tc>
          <w:tcPr>
            <w:tcW w:w="5601" w:type="dxa"/>
            <w:tcBorders>
              <w:top w:val="single" w:sz="6" w:space="0" w:color="auto"/>
              <w:bottom w:val="single" w:sz="6" w:space="0" w:color="auto"/>
              <w:right w:val="single" w:sz="6" w:space="0" w:color="auto"/>
            </w:tcBorders>
            <w:shd w:val="clear" w:color="auto" w:fill="000000"/>
          </w:tcPr>
          <w:p w:rsidR="007A3966" w:rsidRPr="00C264DA" w:rsidRDefault="007A3966" w:rsidP="00921519">
            <w:pPr>
              <w:pStyle w:val="TableHeading"/>
              <w:jc w:val="center"/>
              <w:rPr>
                <w:bCs/>
                <w:sz w:val="16"/>
                <w:szCs w:val="16"/>
              </w:rPr>
            </w:pPr>
            <w:r w:rsidRPr="00C264DA">
              <w:rPr>
                <w:bCs/>
                <w:sz w:val="16"/>
                <w:szCs w:val="16"/>
              </w:rPr>
              <w:t>Description of Change</w:t>
            </w:r>
          </w:p>
        </w:tc>
      </w:tr>
      <w:tr w:rsidR="007A3966" w:rsidRPr="0058493F" w:rsidTr="00921519">
        <w:trPr>
          <w:trHeight w:val="297"/>
        </w:trPr>
        <w:tc>
          <w:tcPr>
            <w:tcW w:w="1470" w:type="dxa"/>
            <w:tcBorders>
              <w:top w:val="single" w:sz="6" w:space="0" w:color="auto"/>
            </w:tcBorders>
          </w:tcPr>
          <w:p w:rsidR="007A3966" w:rsidRPr="0058493F" w:rsidRDefault="00814163" w:rsidP="00525CA3">
            <w:pPr>
              <w:pStyle w:val="TableCell"/>
              <w:jc w:val="center"/>
              <w:rPr>
                <w:sz w:val="16"/>
                <w:szCs w:val="16"/>
              </w:rPr>
            </w:pPr>
            <w:r>
              <w:rPr>
                <w:sz w:val="16"/>
                <w:szCs w:val="16"/>
              </w:rPr>
              <w:t>1</w:t>
            </w:r>
          </w:p>
        </w:tc>
        <w:tc>
          <w:tcPr>
            <w:tcW w:w="1573" w:type="dxa"/>
            <w:tcBorders>
              <w:top w:val="single" w:sz="6" w:space="0" w:color="auto"/>
            </w:tcBorders>
          </w:tcPr>
          <w:p w:rsidR="007A3966" w:rsidRPr="0058493F" w:rsidRDefault="009679DA" w:rsidP="00525CA3">
            <w:pPr>
              <w:pStyle w:val="TableCell"/>
              <w:jc w:val="center"/>
              <w:rPr>
                <w:sz w:val="16"/>
                <w:szCs w:val="16"/>
              </w:rPr>
            </w:pPr>
            <w:r>
              <w:rPr>
                <w:sz w:val="16"/>
                <w:szCs w:val="16"/>
              </w:rPr>
              <w:t>10/</w:t>
            </w:r>
            <w:r w:rsidR="00814163">
              <w:rPr>
                <w:sz w:val="16"/>
                <w:szCs w:val="16"/>
              </w:rPr>
              <w:t>31</w:t>
            </w:r>
            <w:r w:rsidR="00501101">
              <w:rPr>
                <w:sz w:val="16"/>
                <w:szCs w:val="16"/>
              </w:rPr>
              <w:t>/14</w:t>
            </w:r>
          </w:p>
        </w:tc>
        <w:tc>
          <w:tcPr>
            <w:tcW w:w="1470" w:type="dxa"/>
            <w:tcBorders>
              <w:top w:val="single" w:sz="6" w:space="0" w:color="auto"/>
            </w:tcBorders>
          </w:tcPr>
          <w:p w:rsidR="007A3966" w:rsidRPr="0058493F" w:rsidRDefault="00814163" w:rsidP="001218E2">
            <w:pPr>
              <w:pStyle w:val="TableCell"/>
              <w:rPr>
                <w:sz w:val="16"/>
                <w:szCs w:val="16"/>
              </w:rPr>
            </w:pPr>
            <w:r>
              <w:rPr>
                <w:sz w:val="16"/>
                <w:szCs w:val="16"/>
              </w:rPr>
              <w:t>Donna Schmidt</w:t>
            </w:r>
          </w:p>
        </w:tc>
        <w:tc>
          <w:tcPr>
            <w:tcW w:w="5601" w:type="dxa"/>
            <w:tcBorders>
              <w:top w:val="single" w:sz="6" w:space="0" w:color="auto"/>
            </w:tcBorders>
          </w:tcPr>
          <w:p w:rsidR="007A3966" w:rsidRPr="0058493F" w:rsidRDefault="00814163" w:rsidP="00814163">
            <w:pPr>
              <w:pStyle w:val="TableCell"/>
              <w:rPr>
                <w:sz w:val="16"/>
                <w:szCs w:val="16"/>
              </w:rPr>
            </w:pPr>
            <w:r>
              <w:rPr>
                <w:sz w:val="16"/>
                <w:szCs w:val="16"/>
              </w:rPr>
              <w:t>Baseline; submitted to for review  to eVal, DOTs and HR teams</w:t>
            </w:r>
          </w:p>
        </w:tc>
      </w:tr>
      <w:tr w:rsidR="007A3966" w:rsidRPr="00037425" w:rsidTr="00921519">
        <w:trPr>
          <w:trHeight w:val="349"/>
        </w:trPr>
        <w:tc>
          <w:tcPr>
            <w:tcW w:w="1470" w:type="dxa"/>
          </w:tcPr>
          <w:p w:rsidR="007A3966" w:rsidRPr="0058493F" w:rsidRDefault="007A3966" w:rsidP="00525CA3">
            <w:pPr>
              <w:pStyle w:val="TableCell"/>
              <w:jc w:val="center"/>
              <w:rPr>
                <w:sz w:val="16"/>
                <w:szCs w:val="16"/>
              </w:rPr>
            </w:pPr>
          </w:p>
        </w:tc>
        <w:tc>
          <w:tcPr>
            <w:tcW w:w="1573" w:type="dxa"/>
          </w:tcPr>
          <w:p w:rsidR="007A3966" w:rsidRPr="0058493F" w:rsidRDefault="007A3966" w:rsidP="00525CA3">
            <w:pPr>
              <w:pStyle w:val="TableCell"/>
              <w:jc w:val="center"/>
              <w:rPr>
                <w:sz w:val="16"/>
                <w:szCs w:val="16"/>
              </w:rPr>
            </w:pPr>
          </w:p>
        </w:tc>
        <w:tc>
          <w:tcPr>
            <w:tcW w:w="1470" w:type="dxa"/>
          </w:tcPr>
          <w:p w:rsidR="007A3966" w:rsidRPr="0058493F" w:rsidRDefault="007A3966" w:rsidP="00921519">
            <w:pPr>
              <w:pStyle w:val="TableCell"/>
              <w:rPr>
                <w:sz w:val="16"/>
                <w:szCs w:val="16"/>
              </w:rPr>
            </w:pPr>
          </w:p>
        </w:tc>
        <w:tc>
          <w:tcPr>
            <w:tcW w:w="5601" w:type="dxa"/>
          </w:tcPr>
          <w:p w:rsidR="007A3966" w:rsidRPr="00037425" w:rsidRDefault="007A3966" w:rsidP="00921519">
            <w:pPr>
              <w:pStyle w:val="TableCell"/>
              <w:rPr>
                <w:sz w:val="16"/>
                <w:szCs w:val="16"/>
              </w:rPr>
            </w:pPr>
          </w:p>
        </w:tc>
      </w:tr>
      <w:tr w:rsidR="001218E2" w:rsidRPr="00037425" w:rsidTr="00921519">
        <w:trPr>
          <w:trHeight w:val="349"/>
        </w:trPr>
        <w:tc>
          <w:tcPr>
            <w:tcW w:w="1470" w:type="dxa"/>
          </w:tcPr>
          <w:p w:rsidR="001218E2" w:rsidRDefault="001218E2" w:rsidP="00525CA3">
            <w:pPr>
              <w:pStyle w:val="TableCell"/>
              <w:jc w:val="center"/>
              <w:rPr>
                <w:sz w:val="16"/>
                <w:szCs w:val="16"/>
              </w:rPr>
            </w:pPr>
          </w:p>
        </w:tc>
        <w:tc>
          <w:tcPr>
            <w:tcW w:w="1573" w:type="dxa"/>
          </w:tcPr>
          <w:p w:rsidR="001218E2" w:rsidRDefault="001218E2" w:rsidP="00525CA3">
            <w:pPr>
              <w:pStyle w:val="TableCell"/>
              <w:jc w:val="center"/>
              <w:rPr>
                <w:sz w:val="16"/>
                <w:szCs w:val="16"/>
              </w:rPr>
            </w:pPr>
          </w:p>
        </w:tc>
        <w:tc>
          <w:tcPr>
            <w:tcW w:w="1470" w:type="dxa"/>
          </w:tcPr>
          <w:p w:rsidR="001218E2" w:rsidRDefault="001218E2" w:rsidP="00921519">
            <w:pPr>
              <w:pStyle w:val="TableCell"/>
              <w:rPr>
                <w:sz w:val="16"/>
                <w:szCs w:val="16"/>
              </w:rPr>
            </w:pPr>
          </w:p>
        </w:tc>
        <w:tc>
          <w:tcPr>
            <w:tcW w:w="5601" w:type="dxa"/>
          </w:tcPr>
          <w:p w:rsidR="001218E2" w:rsidRDefault="001218E2" w:rsidP="00921519">
            <w:pPr>
              <w:pStyle w:val="TableCell"/>
              <w:rPr>
                <w:sz w:val="16"/>
                <w:szCs w:val="16"/>
              </w:rPr>
            </w:pPr>
          </w:p>
        </w:tc>
      </w:tr>
    </w:tbl>
    <w:p w:rsidR="007A3966" w:rsidRPr="00953067" w:rsidRDefault="007A3966" w:rsidP="007A3966">
      <w:pPr>
        <w:pStyle w:val="Body"/>
      </w:pPr>
    </w:p>
    <w:p w:rsidR="007A3966" w:rsidRDefault="007A3966" w:rsidP="007A3966">
      <w:pPr>
        <w:rPr>
          <w:lang w:val="en-GB"/>
        </w:rPr>
      </w:pPr>
    </w:p>
    <w:p w:rsidR="007A3966" w:rsidRDefault="007A3966" w:rsidP="007A3966">
      <w:pPr>
        <w:rPr>
          <w:lang w:val="en-GB"/>
        </w:rPr>
      </w:pPr>
    </w:p>
    <w:p w:rsidR="00537EDF" w:rsidRDefault="00537EDF">
      <w:pPr>
        <w:rPr>
          <w:lang w:val="en-GB"/>
        </w:rPr>
      </w:pPr>
      <w:r>
        <w:rPr>
          <w:lang w:val="en-GB"/>
        </w:rPr>
        <w:br w:type="page"/>
      </w:r>
    </w:p>
    <w:p w:rsidR="007A3966" w:rsidRPr="007A3966" w:rsidRDefault="007A3966" w:rsidP="007A3966">
      <w:pPr>
        <w:rPr>
          <w:lang w:val="en-GB"/>
        </w:rPr>
        <w:sectPr w:rsidR="007A3966" w:rsidRPr="007A3966" w:rsidSect="00E968E8">
          <w:headerReference w:type="default" r:id="rId12"/>
          <w:footerReference w:type="default" r:id="rId13"/>
          <w:pgSz w:w="12240" w:h="15840"/>
          <w:pgMar w:top="1440" w:right="1080" w:bottom="1440" w:left="1080" w:header="720" w:footer="720" w:gutter="245"/>
          <w:cols w:space="720"/>
          <w:docGrid w:linePitch="360"/>
        </w:sectPr>
      </w:pPr>
    </w:p>
    <w:p w:rsidR="00125811" w:rsidRDefault="003D3B85" w:rsidP="00125811">
      <w:pPr>
        <w:pStyle w:val="Heading1"/>
        <w:numPr>
          <w:ilvl w:val="0"/>
          <w:numId w:val="3"/>
        </w:numPr>
      </w:pPr>
      <w:bookmarkStart w:id="1" w:name="_Toc400972744"/>
      <w:r>
        <w:rPr>
          <w:lang w:val="en-GB"/>
        </w:rPr>
        <w:lastRenderedPageBreak/>
        <w:t>High Level Requirement Description</w:t>
      </w:r>
      <w:bookmarkEnd w:id="1"/>
      <w:r>
        <w:rPr>
          <w:lang w:val="en-GB"/>
        </w:rPr>
        <w:t xml:space="preserve"> </w:t>
      </w:r>
    </w:p>
    <w:p w:rsidR="00EF3A5E" w:rsidRPr="00FB4817" w:rsidRDefault="006C4D4D" w:rsidP="001F1BA5">
      <w:pPr>
        <w:ind w:left="360"/>
        <w:rPr>
          <w:rFonts w:cs="Arial"/>
        </w:rPr>
      </w:pPr>
      <w:r>
        <w:rPr>
          <w:rFonts w:cs="Arial"/>
        </w:rPr>
        <w:t xml:space="preserve">The set of requirements in this document </w:t>
      </w:r>
      <w:r w:rsidR="00D462C1">
        <w:rPr>
          <w:rFonts w:cs="Arial"/>
        </w:rPr>
        <w:t xml:space="preserve">are related to security roles within </w:t>
      </w:r>
      <w:proofErr w:type="spellStart"/>
      <w:r w:rsidR="00D462C1">
        <w:rPr>
          <w:rFonts w:cs="Arial"/>
        </w:rPr>
        <w:t>eVal</w:t>
      </w:r>
      <w:proofErr w:type="spellEnd"/>
      <w:r w:rsidR="00D462C1">
        <w:rPr>
          <w:rFonts w:cs="Arial"/>
        </w:rPr>
        <w:t xml:space="preserve"> or additional layers of security requested for the </w:t>
      </w:r>
      <w:proofErr w:type="spellStart"/>
      <w:r w:rsidR="00D462C1">
        <w:rPr>
          <w:rFonts w:cs="Arial"/>
        </w:rPr>
        <w:t>eVal</w:t>
      </w:r>
      <w:proofErr w:type="spellEnd"/>
      <w:r w:rsidR="00D462C1">
        <w:rPr>
          <w:rFonts w:cs="Arial"/>
        </w:rPr>
        <w:t xml:space="preserve"> tool to ensure users cannot inadvertently change District-wide settings (see BRD 1) and to ensure that adequate security measures are taken for any functionality that impacts the integrity of the data</w:t>
      </w:r>
      <w:proofErr w:type="gramStart"/>
      <w:r w:rsidR="00D462C1">
        <w:rPr>
          <w:rFonts w:cs="Arial"/>
        </w:rPr>
        <w:t>,  such</w:t>
      </w:r>
      <w:proofErr w:type="gramEnd"/>
      <w:r w:rsidR="00D462C1">
        <w:rPr>
          <w:rFonts w:cs="Arial"/>
        </w:rPr>
        <w:t xml:space="preserve"> as the year-end functionality to purge data from the system (see BRD 9)</w:t>
      </w:r>
      <w:r>
        <w:rPr>
          <w:rFonts w:cs="Arial"/>
        </w:rPr>
        <w:t>.</w:t>
      </w:r>
    </w:p>
    <w:p w:rsidR="00252872" w:rsidRDefault="00252872" w:rsidP="00E50C90">
      <w:pPr>
        <w:pStyle w:val="Heading1"/>
        <w:numPr>
          <w:ilvl w:val="0"/>
          <w:numId w:val="3"/>
        </w:numPr>
        <w:rPr>
          <w:lang w:val="en-GB"/>
        </w:rPr>
      </w:pPr>
      <w:bookmarkStart w:id="2" w:name="_Toc400972745"/>
      <w:r>
        <w:rPr>
          <w:lang w:val="en-GB"/>
        </w:rPr>
        <w:t>Business Objective</w:t>
      </w:r>
      <w:bookmarkEnd w:id="2"/>
    </w:p>
    <w:p w:rsidR="00B64F6C" w:rsidRPr="00E50C90" w:rsidRDefault="00D462C1" w:rsidP="001F1BA5">
      <w:pPr>
        <w:ind w:left="360"/>
        <w:rPr>
          <w:lang w:val="en-GB"/>
        </w:rPr>
      </w:pPr>
      <w:r>
        <w:rPr>
          <w:lang w:val="en-GB"/>
        </w:rPr>
        <w:t xml:space="preserve">Ensure that only those with appropriate training and </w:t>
      </w:r>
      <w:proofErr w:type="spellStart"/>
      <w:r>
        <w:rPr>
          <w:lang w:val="en-GB"/>
        </w:rPr>
        <w:t>authorirization</w:t>
      </w:r>
      <w:proofErr w:type="spellEnd"/>
      <w:r>
        <w:rPr>
          <w:lang w:val="en-GB"/>
        </w:rPr>
        <w:t xml:space="preserve"> can change District settings within the tool or can request that data be purged.</w:t>
      </w:r>
    </w:p>
    <w:p w:rsidR="00B62769" w:rsidRDefault="00B62769" w:rsidP="00DA081A">
      <w:bookmarkStart w:id="3" w:name="_Toc100563404"/>
      <w:bookmarkStart w:id="4" w:name="_Toc76183401"/>
      <w:bookmarkStart w:id="5" w:name="_Toc106442809"/>
      <w:bookmarkEnd w:id="3"/>
    </w:p>
    <w:p w:rsidR="00252872" w:rsidRDefault="00DA081A" w:rsidP="00B64F6C">
      <w:pPr>
        <w:pStyle w:val="Heading1"/>
        <w:numPr>
          <w:ilvl w:val="0"/>
          <w:numId w:val="3"/>
        </w:numPr>
        <w:rPr>
          <w:lang w:val="en-GB"/>
        </w:rPr>
      </w:pPr>
      <w:bookmarkStart w:id="6" w:name="_Toc100563406"/>
      <w:bookmarkStart w:id="7" w:name="_Toc400972746"/>
      <w:bookmarkEnd w:id="4"/>
      <w:bookmarkEnd w:id="5"/>
      <w:bookmarkEnd w:id="6"/>
      <w:r>
        <w:rPr>
          <w:lang w:val="en-GB"/>
        </w:rPr>
        <w:t xml:space="preserve">Business </w:t>
      </w:r>
      <w:r w:rsidR="00252872">
        <w:rPr>
          <w:lang w:val="en-GB"/>
        </w:rPr>
        <w:t>p</w:t>
      </w:r>
      <w:r>
        <w:rPr>
          <w:lang w:val="en-GB"/>
        </w:rPr>
        <w:t>rocesses</w:t>
      </w:r>
      <w:r w:rsidR="00252872">
        <w:rPr>
          <w:lang w:val="en-GB"/>
        </w:rPr>
        <w:t xml:space="preserve"> impacted by the change</w:t>
      </w:r>
      <w:bookmarkEnd w:id="7"/>
    </w:p>
    <w:p w:rsidR="00B64F6C" w:rsidRDefault="00D462C1" w:rsidP="00FE7AAC">
      <w:pPr>
        <w:ind w:left="360"/>
        <w:rPr>
          <w:lang w:val="en-GB"/>
        </w:rPr>
      </w:pPr>
      <w:r>
        <w:rPr>
          <w:lang w:val="en-GB"/>
        </w:rPr>
        <w:t xml:space="preserve">The HR team administering </w:t>
      </w:r>
      <w:proofErr w:type="spellStart"/>
      <w:r>
        <w:rPr>
          <w:lang w:val="en-GB"/>
        </w:rPr>
        <w:t>eVal</w:t>
      </w:r>
      <w:proofErr w:type="spellEnd"/>
      <w:r>
        <w:rPr>
          <w:lang w:val="en-GB"/>
        </w:rPr>
        <w:t xml:space="preserve"> will need clearly defined roles, responsibility and training for configuring District settings or requesting that yearly data be purged.</w:t>
      </w:r>
    </w:p>
    <w:p w:rsidR="001003ED" w:rsidRDefault="001003ED" w:rsidP="009647CE">
      <w:pPr>
        <w:pStyle w:val="GuidanceText"/>
        <w:ind w:left="720"/>
        <w:rPr>
          <w:rFonts w:cs="Arial"/>
          <w:i w:val="0"/>
          <w:color w:val="000000"/>
        </w:rPr>
      </w:pPr>
    </w:p>
    <w:p w:rsidR="00B64F6C" w:rsidRPr="00E50C90" w:rsidRDefault="00DA081A" w:rsidP="00B64F6C">
      <w:pPr>
        <w:pStyle w:val="Heading1"/>
        <w:numPr>
          <w:ilvl w:val="0"/>
          <w:numId w:val="3"/>
        </w:numPr>
        <w:rPr>
          <w:lang w:val="en-GB"/>
        </w:rPr>
      </w:pPr>
      <w:bookmarkStart w:id="8" w:name="_Toc100563408"/>
      <w:bookmarkStart w:id="9" w:name="_Toc400972747"/>
      <w:bookmarkEnd w:id="8"/>
      <w:r>
        <w:rPr>
          <w:lang w:val="en-GB"/>
        </w:rPr>
        <w:t>Requirement Details</w:t>
      </w:r>
      <w:bookmarkEnd w:id="9"/>
    </w:p>
    <w:tbl>
      <w:tblPr>
        <w:tblpPr w:leftFromText="180" w:rightFromText="180" w:vertAnchor="text" w:horzAnchor="margin" w:tblpY="723"/>
        <w:tblW w:w="105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88"/>
        <w:gridCol w:w="3103"/>
        <w:gridCol w:w="6257"/>
      </w:tblGrid>
      <w:tr w:rsidR="003C5A7D" w:rsidTr="00D006B7">
        <w:trPr>
          <w:cantSplit/>
        </w:trPr>
        <w:tc>
          <w:tcPr>
            <w:tcW w:w="1188" w:type="dxa"/>
            <w:shd w:val="clear" w:color="auto" w:fill="000000"/>
            <w:tcMar>
              <w:top w:w="0" w:type="dxa"/>
              <w:left w:w="108" w:type="dxa"/>
              <w:bottom w:w="0" w:type="dxa"/>
              <w:right w:w="108" w:type="dxa"/>
            </w:tcMar>
            <w:hideMark/>
          </w:tcPr>
          <w:p w:rsidR="003C5A7D" w:rsidRDefault="00077154" w:rsidP="003C5A7D">
            <w:pPr>
              <w:spacing w:line="276" w:lineRule="auto"/>
              <w:rPr>
                <w:rFonts w:cs="Arial"/>
                <w:color w:val="FFFFFF"/>
              </w:rPr>
            </w:pPr>
            <w:bookmarkStart w:id="10" w:name="_Toc75136613"/>
            <w:bookmarkStart w:id="11" w:name="_Toc75677719"/>
            <w:bookmarkStart w:id="12" w:name="_Toc76183422"/>
            <w:bookmarkStart w:id="13" w:name="_Toc106442830"/>
            <w:r>
              <w:rPr>
                <w:rFonts w:cs="Arial"/>
                <w:color w:val="FFFFFF"/>
              </w:rPr>
              <w:t xml:space="preserve">REQ </w:t>
            </w:r>
            <w:r w:rsidR="003C5A7D">
              <w:rPr>
                <w:rFonts w:cs="Arial"/>
                <w:color w:val="FFFFFF"/>
              </w:rPr>
              <w:t>ID</w:t>
            </w:r>
          </w:p>
        </w:tc>
        <w:tc>
          <w:tcPr>
            <w:tcW w:w="3103" w:type="dxa"/>
            <w:shd w:val="clear" w:color="auto" w:fill="000000"/>
            <w:tcMar>
              <w:top w:w="0" w:type="dxa"/>
              <w:left w:w="108" w:type="dxa"/>
              <w:bottom w:w="0" w:type="dxa"/>
              <w:right w:w="108" w:type="dxa"/>
            </w:tcMar>
            <w:hideMark/>
          </w:tcPr>
          <w:p w:rsidR="003C5A7D" w:rsidRDefault="003C5A7D" w:rsidP="00D128E4">
            <w:pPr>
              <w:spacing w:line="276" w:lineRule="auto"/>
              <w:rPr>
                <w:rFonts w:cs="Arial"/>
                <w:color w:val="FFFFFF"/>
              </w:rPr>
            </w:pPr>
            <w:r>
              <w:rPr>
                <w:rFonts w:cs="Arial"/>
                <w:color w:val="FFFFFF"/>
              </w:rPr>
              <w:t>Requirement</w:t>
            </w:r>
          </w:p>
        </w:tc>
        <w:tc>
          <w:tcPr>
            <w:tcW w:w="6257"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r>
              <w:rPr>
                <w:rFonts w:cs="Arial"/>
                <w:color w:val="FFFFFF"/>
              </w:rPr>
              <w:t>Purpose or expected  outcome</w:t>
            </w:r>
          </w:p>
        </w:tc>
      </w:tr>
      <w:tr w:rsidR="003C5A7D" w:rsidRPr="001D088E" w:rsidTr="00D006B7">
        <w:trPr>
          <w:cantSplit/>
        </w:trPr>
        <w:tc>
          <w:tcPr>
            <w:tcW w:w="1188" w:type="dxa"/>
            <w:tcMar>
              <w:top w:w="0" w:type="dxa"/>
              <w:left w:w="108" w:type="dxa"/>
              <w:bottom w:w="0" w:type="dxa"/>
              <w:right w:w="108" w:type="dxa"/>
            </w:tcMar>
            <w:vAlign w:val="center"/>
          </w:tcPr>
          <w:p w:rsidR="003C5A7D" w:rsidRPr="001D088E" w:rsidRDefault="00AE5AF1" w:rsidP="003C5A7D">
            <w:pPr>
              <w:spacing w:line="276" w:lineRule="auto"/>
              <w:jc w:val="center"/>
            </w:pPr>
            <w:r>
              <w:t>17.1</w:t>
            </w:r>
          </w:p>
        </w:tc>
        <w:tc>
          <w:tcPr>
            <w:tcW w:w="3103" w:type="dxa"/>
            <w:tcMar>
              <w:top w:w="0" w:type="dxa"/>
              <w:left w:w="108" w:type="dxa"/>
              <w:bottom w:w="0" w:type="dxa"/>
              <w:right w:w="108" w:type="dxa"/>
            </w:tcMar>
            <w:vAlign w:val="center"/>
          </w:tcPr>
          <w:p w:rsidR="003C5A7D" w:rsidRPr="001D088E" w:rsidRDefault="00AE5AF1" w:rsidP="00AE5AF1">
            <w:pPr>
              <w:spacing w:line="276" w:lineRule="auto"/>
            </w:pPr>
            <w:r>
              <w:t xml:space="preserve">The District requires an </w:t>
            </w:r>
            <w:proofErr w:type="spellStart"/>
            <w:r>
              <w:t>eVal</w:t>
            </w:r>
            <w:proofErr w:type="spellEnd"/>
            <w:r>
              <w:t xml:space="preserve"> role which would map to the organizational role of “Executive Director.” These administrators require read only access to the evaluators</w:t>
            </w:r>
            <w:r w:rsidR="002B6D0D">
              <w:t>, to all reports</w:t>
            </w:r>
            <w:r>
              <w:t xml:space="preserve"> and to any teacher data that has been made visible to the evaluators; however, these staff members should not be able to configure any settings in any way that affect any users (such as District settings or school settings; no ability to create prompts,  questions, goals,  etc.)</w:t>
            </w:r>
          </w:p>
        </w:tc>
        <w:tc>
          <w:tcPr>
            <w:tcW w:w="6257" w:type="dxa"/>
            <w:tcMar>
              <w:top w:w="0" w:type="dxa"/>
              <w:left w:w="108" w:type="dxa"/>
              <w:bottom w:w="0" w:type="dxa"/>
              <w:right w:w="108" w:type="dxa"/>
            </w:tcMar>
          </w:tcPr>
          <w:p w:rsidR="00933B45" w:rsidRDefault="00AE5AF1" w:rsidP="00933B45">
            <w:pPr>
              <w:spacing w:line="276" w:lineRule="auto"/>
            </w:pPr>
            <w:bookmarkStart w:id="14" w:name="_BR16"/>
            <w:bookmarkEnd w:id="14"/>
            <w:r>
              <w:t xml:space="preserve">These are administrators </w:t>
            </w:r>
            <w:r w:rsidR="00933B45">
              <w:t>at the Stanford Center who</w:t>
            </w:r>
            <w:r>
              <w:t xml:space="preserve"> evaluate principals (their organizational role, not necessarily </w:t>
            </w:r>
            <w:proofErr w:type="gramStart"/>
            <w:r>
              <w:t>using  the</w:t>
            </w:r>
            <w:proofErr w:type="gramEnd"/>
            <w:r>
              <w:t xml:space="preserve"> </w:t>
            </w:r>
            <w:proofErr w:type="spellStart"/>
            <w:r>
              <w:t>eVal</w:t>
            </w:r>
            <w:proofErr w:type="spellEnd"/>
            <w:r>
              <w:t xml:space="preserve"> tool as the District has not started to use the Principal Evaluation  functionality in </w:t>
            </w:r>
            <w:proofErr w:type="spellStart"/>
            <w:r>
              <w:t>eVal</w:t>
            </w:r>
            <w:proofErr w:type="spellEnd"/>
            <w:r>
              <w:t xml:space="preserve">).  These staff members </w:t>
            </w:r>
            <w:proofErr w:type="gramStart"/>
            <w:r>
              <w:t>will  monitor</w:t>
            </w:r>
            <w:proofErr w:type="gramEnd"/>
            <w:r>
              <w:t xml:space="preserve"> how the evaluators are performing by reviewing how they are evaluating teachers.  They provide TPEP assistance to an evaluator to help ensure high quality in the evaluation process.  These staff members are not, however, autho</w:t>
            </w:r>
            <w:r w:rsidR="00933B45">
              <w:t>r</w:t>
            </w:r>
            <w:r>
              <w:t xml:space="preserve">ized to make changes in the </w:t>
            </w:r>
            <w:proofErr w:type="spellStart"/>
            <w:r>
              <w:t>eVal</w:t>
            </w:r>
            <w:proofErr w:type="spellEnd"/>
            <w:r>
              <w:t xml:space="preserve"> tool which would affect the end user experience.  </w:t>
            </w:r>
          </w:p>
          <w:p w:rsidR="00933B45" w:rsidRDefault="00933B45" w:rsidP="00933B45">
            <w:pPr>
              <w:spacing w:line="276" w:lineRule="auto"/>
            </w:pPr>
          </w:p>
          <w:p w:rsidR="00933B45" w:rsidRDefault="00933B45" w:rsidP="00933B45">
            <w:pPr>
              <w:spacing w:line="276" w:lineRule="auto"/>
            </w:pPr>
            <w:r>
              <w:t>To summarize:</w:t>
            </w:r>
          </w:p>
          <w:p w:rsidR="00933B45" w:rsidRDefault="00933B45" w:rsidP="00933B45">
            <w:pPr>
              <w:spacing w:line="276" w:lineRule="auto"/>
            </w:pPr>
          </w:p>
          <w:p w:rsidR="00933B45" w:rsidRDefault="00933B45" w:rsidP="00933B45">
            <w:pPr>
              <w:spacing w:line="276" w:lineRule="auto"/>
            </w:pPr>
            <w:r>
              <w:t xml:space="preserve">Building level settings: School principals are the only authorized users for changing settings at a building level.  They will do that by using the </w:t>
            </w:r>
            <w:proofErr w:type="spellStart"/>
            <w:r>
              <w:t>eVal</w:t>
            </w:r>
            <w:proofErr w:type="spellEnd"/>
            <w:r>
              <w:t xml:space="preserve"> role </w:t>
            </w:r>
            <w:r w:rsidR="00AE5AF1">
              <w:t>“School Administrator</w:t>
            </w:r>
            <w:r>
              <w:t>.</w:t>
            </w:r>
            <w:r w:rsidR="00AE5AF1">
              <w:t xml:space="preserve">” </w:t>
            </w:r>
            <w:r>
              <w:t xml:space="preserve">  </w:t>
            </w:r>
          </w:p>
          <w:p w:rsidR="00933B45" w:rsidRDefault="00933B45" w:rsidP="00933B45">
            <w:pPr>
              <w:spacing w:line="276" w:lineRule="auto"/>
            </w:pPr>
          </w:p>
          <w:p w:rsidR="003C5A7D" w:rsidRPr="0037499E" w:rsidRDefault="00933B45" w:rsidP="002B6D0D">
            <w:pPr>
              <w:spacing w:line="276" w:lineRule="auto"/>
              <w:rPr>
                <w:rFonts w:cs="Arial"/>
                <w:color w:val="000000"/>
              </w:rPr>
            </w:pPr>
            <w:r>
              <w:t xml:space="preserve">District level settings: </w:t>
            </w:r>
            <w:r w:rsidR="002B6D0D">
              <w:t>T</w:t>
            </w:r>
            <w:r>
              <w:t>o ensure appropriate training and oversight</w:t>
            </w:r>
            <w:proofErr w:type="gramStart"/>
            <w:r w:rsidR="002B6D0D">
              <w:t>,  very</w:t>
            </w:r>
            <w:proofErr w:type="gramEnd"/>
            <w:r w:rsidR="002B6D0D">
              <w:t xml:space="preserve"> few staff will have this ability</w:t>
            </w:r>
            <w:r>
              <w:t xml:space="preserve">.  These designated employees will use the </w:t>
            </w:r>
            <w:proofErr w:type="spellStart"/>
            <w:r>
              <w:t>eVal</w:t>
            </w:r>
            <w:proofErr w:type="spellEnd"/>
            <w:r>
              <w:t xml:space="preserve"> role “District Administrator</w:t>
            </w:r>
            <w:r w:rsidR="002B6D0D">
              <w:t>.</w:t>
            </w:r>
            <w:r>
              <w:t xml:space="preserve">”  </w:t>
            </w:r>
          </w:p>
        </w:tc>
      </w:tr>
      <w:tr w:rsidR="003C5A7D" w:rsidRPr="001D088E" w:rsidTr="00D006B7">
        <w:trPr>
          <w:cantSplit/>
        </w:trPr>
        <w:tc>
          <w:tcPr>
            <w:tcW w:w="1188" w:type="dxa"/>
            <w:tcMar>
              <w:top w:w="0" w:type="dxa"/>
              <w:left w:w="108" w:type="dxa"/>
              <w:bottom w:w="0" w:type="dxa"/>
              <w:right w:w="108" w:type="dxa"/>
            </w:tcMar>
            <w:vAlign w:val="center"/>
          </w:tcPr>
          <w:p w:rsidR="003C5A7D" w:rsidRPr="001D088E" w:rsidRDefault="00F640DE" w:rsidP="003C5A7D">
            <w:pPr>
              <w:spacing w:line="276" w:lineRule="auto"/>
              <w:jc w:val="center"/>
              <w:rPr>
                <w:rFonts w:cs="Arial"/>
              </w:rPr>
            </w:pPr>
            <w:r>
              <w:rPr>
                <w:rFonts w:cs="Arial"/>
              </w:rPr>
              <w:lastRenderedPageBreak/>
              <w:t>17.2</w:t>
            </w:r>
          </w:p>
        </w:tc>
        <w:tc>
          <w:tcPr>
            <w:tcW w:w="3103" w:type="dxa"/>
            <w:tcMar>
              <w:top w:w="0" w:type="dxa"/>
              <w:left w:w="108" w:type="dxa"/>
              <w:bottom w:w="0" w:type="dxa"/>
              <w:right w:w="108" w:type="dxa"/>
            </w:tcMar>
            <w:vAlign w:val="center"/>
          </w:tcPr>
          <w:p w:rsidR="003C5A7D" w:rsidRPr="001D088E" w:rsidRDefault="00F640DE" w:rsidP="00F640DE">
            <w:pPr>
              <w:spacing w:line="276" w:lineRule="auto"/>
              <w:rPr>
                <w:rFonts w:cs="Arial"/>
              </w:rPr>
            </w:pPr>
            <w:r>
              <w:rPr>
                <w:rFonts w:cs="Arial"/>
              </w:rPr>
              <w:t>The District requests an extra approval step for granting the District Administrator role.</w:t>
            </w:r>
          </w:p>
        </w:tc>
        <w:tc>
          <w:tcPr>
            <w:tcW w:w="6257" w:type="dxa"/>
            <w:tcMar>
              <w:top w:w="0" w:type="dxa"/>
              <w:left w:w="108" w:type="dxa"/>
              <w:bottom w:w="0" w:type="dxa"/>
              <w:right w:w="108" w:type="dxa"/>
            </w:tcMar>
          </w:tcPr>
          <w:p w:rsidR="00C41042" w:rsidRDefault="00F04DCA" w:rsidP="00C41042">
            <w:pPr>
              <w:spacing w:line="276" w:lineRule="auto"/>
              <w:rPr>
                <w:rFonts w:cs="Arial"/>
                <w:color w:val="000000"/>
              </w:rPr>
            </w:pPr>
            <w:r>
              <w:rPr>
                <w:rFonts w:cs="Arial"/>
                <w:color w:val="000000"/>
              </w:rPr>
              <w:t xml:space="preserve">As the District Administrator role holds the “keys to the castle”, and as that role has authority to make changes which would affect all </w:t>
            </w:r>
            <w:proofErr w:type="spellStart"/>
            <w:r>
              <w:rPr>
                <w:rFonts w:cs="Arial"/>
                <w:color w:val="000000"/>
              </w:rPr>
              <w:t>eVal</w:t>
            </w:r>
            <w:proofErr w:type="spellEnd"/>
            <w:r>
              <w:rPr>
                <w:rFonts w:cs="Arial"/>
                <w:color w:val="000000"/>
              </w:rPr>
              <w:t xml:space="preserve"> users district-wide, an additional approval step is needed before this level of authority is granted.  </w:t>
            </w:r>
            <w:r w:rsidR="00C41042">
              <w:rPr>
                <w:rFonts w:cs="Arial"/>
                <w:color w:val="000000"/>
              </w:rPr>
              <w:t xml:space="preserve">In the existing design, any staff could request the District Administrator role through EDS, and if the EDS Security Manager approves it, then it is done.  Realizing that there are several EDS Security Managers and that routing the right request to the right manager will depend on business processes, and given the large volume of staff who will be </w:t>
            </w:r>
            <w:proofErr w:type="spellStart"/>
            <w:r w:rsidR="00C41042">
              <w:rPr>
                <w:rFonts w:cs="Arial"/>
                <w:color w:val="000000"/>
              </w:rPr>
              <w:t>onboarded</w:t>
            </w:r>
            <w:proofErr w:type="spellEnd"/>
            <w:r w:rsidR="00C41042">
              <w:rPr>
                <w:rFonts w:cs="Arial"/>
                <w:color w:val="000000"/>
              </w:rPr>
              <w:t xml:space="preserve"> to EDS, there is significant room for error where an </w:t>
            </w:r>
            <w:proofErr w:type="gramStart"/>
            <w:r w:rsidR="00C41042">
              <w:rPr>
                <w:rFonts w:cs="Arial"/>
                <w:color w:val="000000"/>
              </w:rPr>
              <w:t>EDS</w:t>
            </w:r>
            <w:proofErr w:type="gramEnd"/>
            <w:r w:rsidR="00C41042">
              <w:rPr>
                <w:rFonts w:cs="Arial"/>
                <w:color w:val="000000"/>
              </w:rPr>
              <w:t xml:space="preserve"> manager would inadvertently approve someone as District Administrator.  </w:t>
            </w:r>
          </w:p>
          <w:p w:rsidR="00C41042" w:rsidRDefault="00C41042" w:rsidP="00C41042">
            <w:pPr>
              <w:spacing w:line="276" w:lineRule="auto"/>
              <w:rPr>
                <w:rFonts w:cs="Arial"/>
                <w:color w:val="000000"/>
              </w:rPr>
            </w:pPr>
          </w:p>
          <w:p w:rsidR="003C5A7D" w:rsidRPr="001D088E" w:rsidRDefault="00F04DCA" w:rsidP="00C41042">
            <w:pPr>
              <w:spacing w:line="276" w:lineRule="auto"/>
              <w:rPr>
                <w:rFonts w:cs="Arial"/>
                <w:color w:val="000000"/>
              </w:rPr>
            </w:pPr>
            <w:r>
              <w:rPr>
                <w:rFonts w:cs="Arial"/>
                <w:color w:val="000000"/>
              </w:rPr>
              <w:t xml:space="preserve">A potential design would be the ability </w:t>
            </w:r>
            <w:r w:rsidR="00C41042">
              <w:rPr>
                <w:rFonts w:cs="Arial"/>
                <w:color w:val="000000"/>
              </w:rPr>
              <w:t xml:space="preserve">to designate two users as DA Approvers, and any new DA requests would have to be approved by them before they are activated.  These approvers could receive an email letting them know that there are DA requests waiting for their approval.    </w:t>
            </w:r>
            <w:r>
              <w:rPr>
                <w:rFonts w:cs="Arial"/>
                <w:color w:val="000000"/>
              </w:rPr>
              <w:t xml:space="preserve"> </w:t>
            </w:r>
          </w:p>
        </w:tc>
      </w:tr>
      <w:tr w:rsidR="003C5A7D" w:rsidRPr="001D088E" w:rsidTr="00D006B7">
        <w:trPr>
          <w:cantSplit/>
        </w:trPr>
        <w:tc>
          <w:tcPr>
            <w:tcW w:w="1188" w:type="dxa"/>
            <w:tcMar>
              <w:top w:w="0" w:type="dxa"/>
              <w:left w:w="108" w:type="dxa"/>
              <w:bottom w:w="0" w:type="dxa"/>
              <w:right w:w="108" w:type="dxa"/>
            </w:tcMar>
            <w:vAlign w:val="center"/>
          </w:tcPr>
          <w:p w:rsidR="003C5A7D" w:rsidRPr="001D088E" w:rsidRDefault="00C41042" w:rsidP="003C5A7D">
            <w:pPr>
              <w:spacing w:line="276" w:lineRule="auto"/>
              <w:jc w:val="center"/>
            </w:pPr>
            <w:r>
              <w:t>17.3</w:t>
            </w:r>
          </w:p>
        </w:tc>
        <w:tc>
          <w:tcPr>
            <w:tcW w:w="3103" w:type="dxa"/>
            <w:tcMar>
              <w:top w:w="0" w:type="dxa"/>
              <w:left w:w="108" w:type="dxa"/>
              <w:bottom w:w="0" w:type="dxa"/>
              <w:right w:w="108" w:type="dxa"/>
            </w:tcMar>
            <w:vAlign w:val="center"/>
          </w:tcPr>
          <w:p w:rsidR="003C5A7D" w:rsidRPr="001D088E" w:rsidRDefault="00C41042" w:rsidP="00B51450">
            <w:pPr>
              <w:spacing w:line="276" w:lineRule="auto"/>
            </w:pPr>
            <w:r>
              <w:t>The District requests a non-automated, verbal confirmation before a staff member can elect to purge data (see BRD 9)</w:t>
            </w:r>
          </w:p>
        </w:tc>
        <w:tc>
          <w:tcPr>
            <w:tcW w:w="6257" w:type="dxa"/>
            <w:tcMar>
              <w:top w:w="0" w:type="dxa"/>
              <w:left w:w="108" w:type="dxa"/>
              <w:bottom w:w="0" w:type="dxa"/>
              <w:right w:w="108" w:type="dxa"/>
            </w:tcMar>
          </w:tcPr>
          <w:p w:rsidR="003C5A7D" w:rsidRPr="00B51450" w:rsidRDefault="005C79B9" w:rsidP="007169B4">
            <w:pPr>
              <w:spacing w:line="276" w:lineRule="auto"/>
            </w:pPr>
            <w:r>
              <w:t xml:space="preserve">BRD 9 requests the ability to purge data yearly from the </w:t>
            </w:r>
            <w:proofErr w:type="spellStart"/>
            <w:r>
              <w:t>eVal</w:t>
            </w:r>
            <w:proofErr w:type="spellEnd"/>
            <w:r>
              <w:t xml:space="preserve"> system.  Given the impact to the user community and to the District if the data is purged prematurely, the District requests a verbal validation process by which the </w:t>
            </w:r>
            <w:proofErr w:type="spellStart"/>
            <w:r>
              <w:t>eVal</w:t>
            </w:r>
            <w:proofErr w:type="spellEnd"/>
            <w:r>
              <w:t xml:space="preserve"> team must receive verbal confirmation from the District before enabling this functionality at a given time for a given year.  (</w:t>
            </w:r>
            <w:r w:rsidR="007169B4">
              <w:t xml:space="preserve">Example: a District Administrator configures the data to be purged at a certain date/time.  This request will be queued, but it will not be acted upon until further validation.  Once validated, the DA can now “pull the switch” within </w:t>
            </w:r>
            <w:proofErr w:type="spellStart"/>
            <w:r w:rsidR="007169B4">
              <w:t>eVal</w:t>
            </w:r>
            <w:proofErr w:type="spellEnd"/>
            <w:r w:rsidR="007169B4">
              <w:t xml:space="preserve"> to purge the data).</w:t>
            </w:r>
          </w:p>
        </w:tc>
      </w:tr>
      <w:tr w:rsidR="003C5A7D" w:rsidRPr="001D088E" w:rsidTr="00D006B7">
        <w:trPr>
          <w:cantSplit/>
        </w:trPr>
        <w:tc>
          <w:tcPr>
            <w:tcW w:w="1188" w:type="dxa"/>
            <w:tcMar>
              <w:top w:w="0" w:type="dxa"/>
              <w:left w:w="108" w:type="dxa"/>
              <w:bottom w:w="0" w:type="dxa"/>
              <w:right w:w="108" w:type="dxa"/>
            </w:tcMar>
            <w:vAlign w:val="center"/>
          </w:tcPr>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3C5A7D" w:rsidP="00D128E4">
            <w:pPr>
              <w:spacing w:line="276" w:lineRule="auto"/>
            </w:pPr>
          </w:p>
        </w:tc>
        <w:tc>
          <w:tcPr>
            <w:tcW w:w="6257" w:type="dxa"/>
            <w:tcMar>
              <w:top w:w="0" w:type="dxa"/>
              <w:left w:w="108" w:type="dxa"/>
              <w:bottom w:w="0" w:type="dxa"/>
              <w:right w:w="108" w:type="dxa"/>
            </w:tcMar>
          </w:tcPr>
          <w:p w:rsidR="003C5A7D" w:rsidRPr="002418C5" w:rsidRDefault="003C5A7D" w:rsidP="003C5A7D">
            <w:pPr>
              <w:spacing w:line="276" w:lineRule="auto"/>
            </w:pPr>
          </w:p>
        </w:tc>
      </w:tr>
      <w:tr w:rsidR="00963E5D" w:rsidRPr="001D088E" w:rsidTr="00D006B7">
        <w:trPr>
          <w:cantSplit/>
        </w:trPr>
        <w:tc>
          <w:tcPr>
            <w:tcW w:w="1188" w:type="dxa"/>
            <w:tcMar>
              <w:top w:w="0" w:type="dxa"/>
              <w:left w:w="108" w:type="dxa"/>
              <w:bottom w:w="0" w:type="dxa"/>
              <w:right w:w="108" w:type="dxa"/>
            </w:tcMar>
            <w:vAlign w:val="center"/>
          </w:tcPr>
          <w:p w:rsidR="00963E5D" w:rsidRDefault="00963E5D" w:rsidP="003C5A7D">
            <w:pPr>
              <w:jc w:val="center"/>
              <w:rPr>
                <w:rFonts w:ascii="Calibri" w:hAnsi="Calibri" w:cs="Arial"/>
                <w:szCs w:val="20"/>
              </w:rPr>
            </w:pPr>
          </w:p>
        </w:tc>
        <w:tc>
          <w:tcPr>
            <w:tcW w:w="3103" w:type="dxa"/>
            <w:tcMar>
              <w:top w:w="0" w:type="dxa"/>
              <w:left w:w="108" w:type="dxa"/>
              <w:bottom w:w="0" w:type="dxa"/>
              <w:right w:w="108" w:type="dxa"/>
            </w:tcMar>
            <w:vAlign w:val="center"/>
          </w:tcPr>
          <w:p w:rsidR="00963E5D" w:rsidRDefault="00963E5D" w:rsidP="00D128E4">
            <w:pPr>
              <w:spacing w:line="276" w:lineRule="auto"/>
            </w:pPr>
          </w:p>
        </w:tc>
        <w:tc>
          <w:tcPr>
            <w:tcW w:w="6257" w:type="dxa"/>
            <w:tcMar>
              <w:top w:w="0" w:type="dxa"/>
              <w:left w:w="108" w:type="dxa"/>
              <w:bottom w:w="0" w:type="dxa"/>
              <w:right w:w="108" w:type="dxa"/>
            </w:tcMar>
          </w:tcPr>
          <w:p w:rsidR="00963E5D" w:rsidRDefault="00963E5D" w:rsidP="003C5A7D">
            <w:pPr>
              <w:spacing w:line="276" w:lineRule="auto"/>
            </w:pPr>
          </w:p>
        </w:tc>
      </w:tr>
    </w:tbl>
    <w:p w:rsidR="00763BEA" w:rsidRDefault="00763BEA" w:rsidP="006A1887">
      <w:pPr>
        <w:rPr>
          <w:b/>
          <w:u w:val="single"/>
        </w:rPr>
      </w:pPr>
      <w:bookmarkStart w:id="15" w:name="_Toc100563439"/>
      <w:bookmarkEnd w:id="10"/>
      <w:bookmarkEnd w:id="11"/>
      <w:bookmarkEnd w:id="12"/>
      <w:bookmarkEnd w:id="13"/>
      <w:bookmarkEnd w:id="15"/>
    </w:p>
    <w:p w:rsidR="00763BEA" w:rsidRDefault="00763BEA" w:rsidP="006A1887">
      <w:pPr>
        <w:rPr>
          <w:b/>
          <w:u w:val="single"/>
        </w:rPr>
      </w:pPr>
    </w:p>
    <w:p w:rsidR="00763BEA" w:rsidRDefault="00763BEA" w:rsidP="006A1887">
      <w:pPr>
        <w:rPr>
          <w:b/>
          <w:u w:val="single"/>
        </w:rPr>
      </w:pPr>
    </w:p>
    <w:p w:rsidR="009B2182" w:rsidRDefault="009B2182" w:rsidP="009B2182">
      <w:pPr>
        <w:pStyle w:val="NormalWeb"/>
        <w:rPr>
          <w:rFonts w:ascii="Arial" w:hAnsi="Arial" w:cs="Arial"/>
          <w:sz w:val="26"/>
          <w:szCs w:val="26"/>
        </w:rPr>
      </w:pPr>
    </w:p>
    <w:p w:rsidR="000D35C5" w:rsidRDefault="000D35C5" w:rsidP="009B2182">
      <w:pPr>
        <w:pStyle w:val="NormalWeb"/>
        <w:rPr>
          <w:rFonts w:ascii="Arial" w:hAnsi="Arial" w:cs="Arial"/>
          <w:sz w:val="26"/>
          <w:szCs w:val="26"/>
        </w:rPr>
      </w:pPr>
    </w:p>
    <w:p w:rsidR="00252872" w:rsidRPr="00E50C90" w:rsidRDefault="00BA58D9" w:rsidP="00252872">
      <w:pPr>
        <w:pStyle w:val="Heading1"/>
        <w:numPr>
          <w:ilvl w:val="0"/>
          <w:numId w:val="3"/>
        </w:numPr>
        <w:rPr>
          <w:lang w:val="en-GB"/>
        </w:rPr>
      </w:pPr>
      <w:bookmarkStart w:id="16" w:name="_Toc400972753"/>
      <w:r>
        <w:rPr>
          <w:lang w:val="en-GB"/>
        </w:rPr>
        <w:t xml:space="preserve">Review and </w:t>
      </w:r>
      <w:bookmarkEnd w:id="16"/>
      <w:r w:rsidR="007676CD">
        <w:rPr>
          <w:lang w:val="en-GB"/>
        </w:rPr>
        <w:t>Approval</w:t>
      </w:r>
    </w:p>
    <w:p w:rsidR="00BA58D9" w:rsidRPr="00FB4817" w:rsidRDefault="00BA58D9" w:rsidP="00BA58D9">
      <w:pPr>
        <w:pStyle w:val="Body"/>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gridCol w:w="1418"/>
        <w:gridCol w:w="3356"/>
        <w:gridCol w:w="2430"/>
        <w:gridCol w:w="1662"/>
      </w:tblGrid>
      <w:tr w:rsidR="00BA58D9" w:rsidRPr="00FB4817" w:rsidTr="008E44F3">
        <w:tc>
          <w:tcPr>
            <w:tcW w:w="589" w:type="pct"/>
            <w:shd w:val="clear" w:color="auto" w:fill="000000"/>
          </w:tcPr>
          <w:p w:rsidR="00BA58D9" w:rsidRPr="00FB4817" w:rsidRDefault="00BA58D9" w:rsidP="00921519">
            <w:pPr>
              <w:pStyle w:val="TableHeading"/>
              <w:rPr>
                <w:sz w:val="16"/>
                <w:szCs w:val="16"/>
              </w:rPr>
            </w:pPr>
            <w:r>
              <w:rPr>
                <w:sz w:val="16"/>
                <w:szCs w:val="16"/>
              </w:rPr>
              <w:t xml:space="preserve">Team </w:t>
            </w:r>
          </w:p>
        </w:tc>
        <w:tc>
          <w:tcPr>
            <w:tcW w:w="705" w:type="pct"/>
            <w:shd w:val="clear" w:color="auto" w:fill="000000"/>
          </w:tcPr>
          <w:p w:rsidR="00BA58D9" w:rsidRPr="00FB4817" w:rsidRDefault="00BA58D9" w:rsidP="00921519">
            <w:pPr>
              <w:pStyle w:val="TableHeading"/>
              <w:rPr>
                <w:sz w:val="16"/>
                <w:szCs w:val="16"/>
              </w:rPr>
            </w:pPr>
            <w:r w:rsidRPr="00FB4817">
              <w:rPr>
                <w:sz w:val="16"/>
                <w:szCs w:val="16"/>
              </w:rPr>
              <w:t>Person</w:t>
            </w:r>
          </w:p>
        </w:tc>
        <w:tc>
          <w:tcPr>
            <w:tcW w:w="1669" w:type="pct"/>
            <w:shd w:val="clear" w:color="auto" w:fill="000000"/>
          </w:tcPr>
          <w:p w:rsidR="00BA58D9" w:rsidRPr="00FB4817" w:rsidRDefault="00ED13C8" w:rsidP="00921519">
            <w:pPr>
              <w:pStyle w:val="TableHeading"/>
              <w:rPr>
                <w:sz w:val="16"/>
                <w:szCs w:val="16"/>
              </w:rPr>
            </w:pPr>
            <w:r>
              <w:rPr>
                <w:sz w:val="16"/>
                <w:szCs w:val="16"/>
              </w:rPr>
              <w:t xml:space="preserve">Organizational and Project </w:t>
            </w:r>
            <w:r w:rsidR="00BA58D9">
              <w:rPr>
                <w:sz w:val="16"/>
                <w:szCs w:val="16"/>
              </w:rPr>
              <w:t>Role</w:t>
            </w:r>
            <w:r>
              <w:rPr>
                <w:sz w:val="16"/>
                <w:szCs w:val="16"/>
              </w:rPr>
              <w:t>s</w:t>
            </w:r>
          </w:p>
        </w:tc>
        <w:tc>
          <w:tcPr>
            <w:tcW w:w="1209" w:type="pct"/>
            <w:shd w:val="clear" w:color="auto" w:fill="000000"/>
          </w:tcPr>
          <w:p w:rsidR="00BA58D9" w:rsidRPr="00FB4817" w:rsidRDefault="00ED13C8" w:rsidP="00921519">
            <w:pPr>
              <w:pStyle w:val="TableHeading"/>
              <w:rPr>
                <w:sz w:val="16"/>
                <w:szCs w:val="16"/>
              </w:rPr>
            </w:pPr>
            <w:r>
              <w:rPr>
                <w:sz w:val="16"/>
                <w:szCs w:val="16"/>
              </w:rPr>
              <w:t>Role</w:t>
            </w:r>
          </w:p>
        </w:tc>
        <w:tc>
          <w:tcPr>
            <w:tcW w:w="827" w:type="pct"/>
            <w:shd w:val="clear" w:color="auto" w:fill="000000"/>
          </w:tcPr>
          <w:p w:rsidR="00BA58D9" w:rsidRPr="00FB4817" w:rsidRDefault="00BA58D9" w:rsidP="00921519">
            <w:pPr>
              <w:pStyle w:val="TableHeading"/>
              <w:rPr>
                <w:sz w:val="16"/>
                <w:szCs w:val="16"/>
              </w:rPr>
            </w:pPr>
            <w:r w:rsidRPr="00FB4817">
              <w:rPr>
                <w:sz w:val="16"/>
                <w:szCs w:val="16"/>
              </w:rPr>
              <w:t>Date</w:t>
            </w:r>
            <w:r>
              <w:rPr>
                <w:sz w:val="16"/>
                <w:szCs w:val="16"/>
              </w:rPr>
              <w:t xml:space="preserve"> review/approval received</w:t>
            </w:r>
          </w:p>
        </w:tc>
      </w:tr>
      <w:tr w:rsidR="00652428" w:rsidRPr="00FB4817" w:rsidTr="008E44F3">
        <w:tc>
          <w:tcPr>
            <w:tcW w:w="589" w:type="pct"/>
          </w:tcPr>
          <w:p w:rsidR="00652428" w:rsidRDefault="00652428" w:rsidP="00921519">
            <w:pPr>
              <w:pStyle w:val="TableCell"/>
              <w:rPr>
                <w:sz w:val="16"/>
                <w:szCs w:val="16"/>
              </w:rPr>
            </w:pPr>
            <w:r>
              <w:rPr>
                <w:sz w:val="16"/>
                <w:szCs w:val="16"/>
              </w:rPr>
              <w:t>Project</w:t>
            </w:r>
          </w:p>
        </w:tc>
        <w:tc>
          <w:tcPr>
            <w:tcW w:w="705" w:type="pct"/>
          </w:tcPr>
          <w:p w:rsidR="00652428" w:rsidRDefault="00652428" w:rsidP="00921519">
            <w:pPr>
              <w:pStyle w:val="TableCell"/>
              <w:rPr>
                <w:sz w:val="16"/>
                <w:szCs w:val="16"/>
              </w:rPr>
            </w:pPr>
            <w:r>
              <w:rPr>
                <w:sz w:val="16"/>
                <w:szCs w:val="16"/>
              </w:rPr>
              <w:t>Clover Codd</w:t>
            </w:r>
          </w:p>
        </w:tc>
        <w:tc>
          <w:tcPr>
            <w:tcW w:w="1669" w:type="pct"/>
          </w:tcPr>
          <w:p w:rsidR="00652428" w:rsidRDefault="00ED13C8" w:rsidP="00921519">
            <w:pPr>
              <w:pStyle w:val="TableCell"/>
              <w:rPr>
                <w:sz w:val="16"/>
                <w:szCs w:val="16"/>
              </w:rPr>
            </w:pPr>
            <w:r w:rsidRPr="00ED13C8">
              <w:rPr>
                <w:sz w:val="16"/>
                <w:szCs w:val="16"/>
              </w:rPr>
              <w:t>Exec Dir</w:t>
            </w:r>
            <w:r w:rsidR="00326531">
              <w:rPr>
                <w:sz w:val="16"/>
                <w:szCs w:val="16"/>
              </w:rPr>
              <w:t>ector</w:t>
            </w:r>
            <w:r w:rsidRPr="00ED13C8">
              <w:rPr>
                <w:sz w:val="16"/>
                <w:szCs w:val="16"/>
              </w:rPr>
              <w:t xml:space="preserve"> Strategic Plan &amp; Partnerships</w:t>
            </w:r>
            <w:r>
              <w:rPr>
                <w:sz w:val="16"/>
                <w:szCs w:val="16"/>
              </w:rPr>
              <w:t xml:space="preserve">; </w:t>
            </w:r>
            <w:r w:rsidR="00652428" w:rsidRPr="00326531">
              <w:rPr>
                <w:b/>
                <w:sz w:val="16"/>
                <w:szCs w:val="16"/>
              </w:rPr>
              <w:t>Project  Sponsor</w:t>
            </w:r>
          </w:p>
        </w:tc>
        <w:tc>
          <w:tcPr>
            <w:tcW w:w="1209" w:type="pct"/>
          </w:tcPr>
          <w:p w:rsidR="00652428" w:rsidRDefault="00652428" w:rsidP="00921519">
            <w:pPr>
              <w:pStyle w:val="TableCell"/>
              <w:rPr>
                <w:sz w:val="16"/>
                <w:szCs w:val="16"/>
              </w:rPr>
            </w:pPr>
            <w:r>
              <w:rPr>
                <w:sz w:val="16"/>
                <w:szCs w:val="16"/>
              </w:rPr>
              <w:t>Approve</w:t>
            </w:r>
            <w:r w:rsidR="008E44F3">
              <w:rPr>
                <w:sz w:val="16"/>
                <w:szCs w:val="16"/>
              </w:rPr>
              <w:t xml:space="preserve"> project deliverable</w:t>
            </w:r>
          </w:p>
        </w:tc>
        <w:tc>
          <w:tcPr>
            <w:tcW w:w="827" w:type="pct"/>
          </w:tcPr>
          <w:p w:rsidR="00652428" w:rsidRPr="00FB4817" w:rsidRDefault="00652428" w:rsidP="008C7FE7">
            <w:pPr>
              <w:pStyle w:val="TableCell"/>
              <w:rPr>
                <w:sz w:val="16"/>
                <w:szCs w:val="16"/>
              </w:rPr>
            </w:pPr>
          </w:p>
        </w:tc>
      </w:tr>
      <w:tr w:rsidR="00872679" w:rsidRPr="00FB4817" w:rsidTr="008E44F3">
        <w:tc>
          <w:tcPr>
            <w:tcW w:w="589" w:type="pct"/>
          </w:tcPr>
          <w:p w:rsidR="00872679" w:rsidRDefault="00872679" w:rsidP="00921519">
            <w:pPr>
              <w:pStyle w:val="TableCell"/>
              <w:rPr>
                <w:sz w:val="16"/>
                <w:szCs w:val="16"/>
              </w:rPr>
            </w:pPr>
            <w:r>
              <w:rPr>
                <w:sz w:val="16"/>
                <w:szCs w:val="16"/>
              </w:rPr>
              <w:lastRenderedPageBreak/>
              <w:t>HR</w:t>
            </w:r>
          </w:p>
        </w:tc>
        <w:tc>
          <w:tcPr>
            <w:tcW w:w="705" w:type="pct"/>
          </w:tcPr>
          <w:p w:rsidR="00872679" w:rsidRDefault="00872679" w:rsidP="00921519">
            <w:pPr>
              <w:pStyle w:val="TableCell"/>
              <w:rPr>
                <w:sz w:val="16"/>
                <w:szCs w:val="16"/>
              </w:rPr>
            </w:pPr>
            <w:r>
              <w:rPr>
                <w:sz w:val="16"/>
                <w:szCs w:val="16"/>
              </w:rPr>
              <w:t>Brent Jones</w:t>
            </w:r>
          </w:p>
        </w:tc>
        <w:tc>
          <w:tcPr>
            <w:tcW w:w="1669" w:type="pct"/>
          </w:tcPr>
          <w:p w:rsidR="00872679" w:rsidRDefault="00ED13C8" w:rsidP="00ED13C8">
            <w:pPr>
              <w:pStyle w:val="TableCell"/>
              <w:rPr>
                <w:sz w:val="16"/>
                <w:szCs w:val="16"/>
              </w:rPr>
            </w:pPr>
            <w:r w:rsidRPr="00ED13C8">
              <w:rPr>
                <w:sz w:val="16"/>
                <w:szCs w:val="16"/>
              </w:rPr>
              <w:t xml:space="preserve">Asst Superintendent for Human Resources; Project </w:t>
            </w:r>
            <w:r w:rsidR="00872679">
              <w:rPr>
                <w:sz w:val="16"/>
                <w:szCs w:val="16"/>
              </w:rPr>
              <w:t xml:space="preserve">Steering Committee representative for HR; </w:t>
            </w:r>
            <w:r>
              <w:rPr>
                <w:sz w:val="16"/>
                <w:szCs w:val="16"/>
              </w:rPr>
              <w:t>I</w:t>
            </w:r>
            <w:r w:rsidR="00872679">
              <w:rPr>
                <w:sz w:val="16"/>
                <w:szCs w:val="16"/>
              </w:rPr>
              <w:t>nternal customer</w:t>
            </w:r>
            <w:r>
              <w:rPr>
                <w:sz w:val="16"/>
                <w:szCs w:val="16"/>
              </w:rPr>
              <w:t xml:space="preserve"> for many of the technology updates requested in these documents</w:t>
            </w:r>
          </w:p>
        </w:tc>
        <w:tc>
          <w:tcPr>
            <w:tcW w:w="1209" w:type="pct"/>
          </w:tcPr>
          <w:p w:rsidR="00872679" w:rsidRDefault="00ED13C8" w:rsidP="00921519">
            <w:pPr>
              <w:pStyle w:val="TableCell"/>
              <w:rPr>
                <w:sz w:val="16"/>
                <w:szCs w:val="16"/>
              </w:rPr>
            </w:pPr>
            <w:r>
              <w:rPr>
                <w:sz w:val="16"/>
                <w:szCs w:val="16"/>
              </w:rPr>
              <w:t>Approve</w:t>
            </w:r>
            <w:r w:rsidR="008E44F3">
              <w:rPr>
                <w:sz w:val="16"/>
                <w:szCs w:val="16"/>
              </w:rPr>
              <w:t xml:space="preserve"> project deliverable</w:t>
            </w:r>
          </w:p>
        </w:tc>
        <w:tc>
          <w:tcPr>
            <w:tcW w:w="827" w:type="pct"/>
          </w:tcPr>
          <w:p w:rsidR="00872679" w:rsidRPr="00FB4817" w:rsidRDefault="00872679" w:rsidP="0027239A">
            <w:pPr>
              <w:pStyle w:val="TableCell"/>
              <w:rPr>
                <w:sz w:val="16"/>
                <w:szCs w:val="16"/>
              </w:rPr>
            </w:pPr>
          </w:p>
        </w:tc>
      </w:tr>
      <w:tr w:rsidR="00BA58D9" w:rsidRPr="00FB4817" w:rsidTr="008E44F3">
        <w:tc>
          <w:tcPr>
            <w:tcW w:w="589" w:type="pct"/>
          </w:tcPr>
          <w:p w:rsidR="00BA58D9" w:rsidRPr="00FB4817" w:rsidRDefault="00BA58D9" w:rsidP="00921519">
            <w:pPr>
              <w:pStyle w:val="TableCell"/>
              <w:rPr>
                <w:sz w:val="16"/>
                <w:szCs w:val="16"/>
              </w:rPr>
            </w:pPr>
            <w:r>
              <w:rPr>
                <w:sz w:val="16"/>
                <w:szCs w:val="16"/>
              </w:rPr>
              <w:t>HR</w:t>
            </w:r>
          </w:p>
        </w:tc>
        <w:tc>
          <w:tcPr>
            <w:tcW w:w="705" w:type="pct"/>
          </w:tcPr>
          <w:p w:rsidR="00BA58D9" w:rsidRPr="00FB4817" w:rsidRDefault="00BA58D9" w:rsidP="00921519">
            <w:pPr>
              <w:pStyle w:val="TableCell"/>
              <w:rPr>
                <w:sz w:val="16"/>
                <w:szCs w:val="16"/>
              </w:rPr>
            </w:pPr>
            <w:r>
              <w:rPr>
                <w:sz w:val="16"/>
                <w:szCs w:val="16"/>
              </w:rPr>
              <w:t>Elaine Williams</w:t>
            </w:r>
          </w:p>
        </w:tc>
        <w:tc>
          <w:tcPr>
            <w:tcW w:w="1669" w:type="pct"/>
          </w:tcPr>
          <w:p w:rsidR="00BA58D9" w:rsidRPr="00FB4817" w:rsidRDefault="00ED13C8" w:rsidP="00921519">
            <w:pPr>
              <w:pStyle w:val="TableCell"/>
              <w:rPr>
                <w:sz w:val="16"/>
                <w:szCs w:val="16"/>
              </w:rPr>
            </w:pPr>
            <w:r>
              <w:rPr>
                <w:sz w:val="16"/>
                <w:szCs w:val="16"/>
              </w:rPr>
              <w:t>Subject matter expert representing Labor Employee Relations Team</w:t>
            </w:r>
          </w:p>
        </w:tc>
        <w:tc>
          <w:tcPr>
            <w:tcW w:w="1209" w:type="pct"/>
          </w:tcPr>
          <w:p w:rsidR="00BA58D9" w:rsidRPr="00FB4817" w:rsidRDefault="00872679" w:rsidP="00921519">
            <w:pPr>
              <w:pStyle w:val="TableCell"/>
              <w:rPr>
                <w:sz w:val="16"/>
                <w:szCs w:val="16"/>
              </w:rPr>
            </w:pPr>
            <w:r>
              <w:rPr>
                <w:sz w:val="16"/>
                <w:szCs w:val="16"/>
              </w:rPr>
              <w:t>Review</w:t>
            </w:r>
          </w:p>
        </w:tc>
        <w:tc>
          <w:tcPr>
            <w:tcW w:w="827" w:type="pct"/>
          </w:tcPr>
          <w:p w:rsidR="00BA58D9" w:rsidRPr="00FB4817" w:rsidRDefault="00BA58D9" w:rsidP="00921519">
            <w:pPr>
              <w:pStyle w:val="TableCell"/>
              <w:rPr>
                <w:sz w:val="16"/>
                <w:szCs w:val="16"/>
              </w:rPr>
            </w:pPr>
          </w:p>
        </w:tc>
      </w:tr>
      <w:tr w:rsidR="00ED13C8" w:rsidRPr="00FB4817" w:rsidTr="008E44F3">
        <w:tc>
          <w:tcPr>
            <w:tcW w:w="589" w:type="pct"/>
          </w:tcPr>
          <w:p w:rsidR="00ED13C8" w:rsidRPr="00FB4817" w:rsidRDefault="00ED13C8" w:rsidP="00921519">
            <w:pPr>
              <w:pStyle w:val="TableCell"/>
              <w:rPr>
                <w:sz w:val="16"/>
                <w:szCs w:val="16"/>
              </w:rPr>
            </w:pPr>
            <w:r>
              <w:rPr>
                <w:sz w:val="16"/>
                <w:szCs w:val="16"/>
              </w:rPr>
              <w:t>HR</w:t>
            </w:r>
          </w:p>
        </w:tc>
        <w:tc>
          <w:tcPr>
            <w:tcW w:w="705" w:type="pct"/>
          </w:tcPr>
          <w:p w:rsidR="00ED13C8" w:rsidRPr="00FB4817" w:rsidRDefault="00ED13C8" w:rsidP="00921519">
            <w:pPr>
              <w:pStyle w:val="TableCell"/>
              <w:rPr>
                <w:sz w:val="16"/>
                <w:szCs w:val="16"/>
              </w:rPr>
            </w:pPr>
            <w:r>
              <w:rPr>
                <w:sz w:val="16"/>
                <w:szCs w:val="16"/>
              </w:rPr>
              <w:t>Denise Williams-Saunders</w:t>
            </w:r>
          </w:p>
        </w:tc>
        <w:tc>
          <w:tcPr>
            <w:tcW w:w="1669" w:type="pct"/>
          </w:tcPr>
          <w:p w:rsidR="00ED13C8" w:rsidRDefault="00ED13C8">
            <w:r w:rsidRPr="00ED0032">
              <w:rPr>
                <w:sz w:val="16"/>
                <w:szCs w:val="16"/>
              </w:rPr>
              <w:t>Subject matter expert representing Labor Employee Relations Team</w:t>
            </w:r>
          </w:p>
        </w:tc>
        <w:tc>
          <w:tcPr>
            <w:tcW w:w="1209" w:type="pct"/>
          </w:tcPr>
          <w:p w:rsidR="00ED13C8" w:rsidRPr="00FB4817" w:rsidRDefault="00ED13C8" w:rsidP="00921519">
            <w:pPr>
              <w:pStyle w:val="TableCell"/>
              <w:rPr>
                <w:sz w:val="16"/>
                <w:szCs w:val="16"/>
              </w:rPr>
            </w:pPr>
            <w:r>
              <w:rPr>
                <w:sz w:val="16"/>
                <w:szCs w:val="16"/>
              </w:rPr>
              <w:t>Review</w:t>
            </w:r>
          </w:p>
        </w:tc>
        <w:tc>
          <w:tcPr>
            <w:tcW w:w="827" w:type="pct"/>
          </w:tcPr>
          <w:p w:rsidR="00ED13C8" w:rsidRPr="00FB4817" w:rsidRDefault="00ED13C8" w:rsidP="00921519">
            <w:pPr>
              <w:pStyle w:val="TableCell"/>
              <w:rPr>
                <w:sz w:val="16"/>
                <w:szCs w:val="16"/>
              </w:rPr>
            </w:pPr>
          </w:p>
        </w:tc>
      </w:tr>
      <w:tr w:rsidR="00ED13C8" w:rsidRPr="00FB4817" w:rsidTr="008E44F3">
        <w:tc>
          <w:tcPr>
            <w:tcW w:w="589" w:type="pct"/>
          </w:tcPr>
          <w:p w:rsidR="00ED13C8" w:rsidRPr="00FB4817" w:rsidRDefault="00ED13C8" w:rsidP="00921519">
            <w:pPr>
              <w:pStyle w:val="TableCell"/>
              <w:rPr>
                <w:sz w:val="16"/>
                <w:szCs w:val="16"/>
              </w:rPr>
            </w:pPr>
            <w:r>
              <w:rPr>
                <w:sz w:val="16"/>
                <w:szCs w:val="16"/>
              </w:rPr>
              <w:t>HR</w:t>
            </w:r>
          </w:p>
        </w:tc>
        <w:tc>
          <w:tcPr>
            <w:tcW w:w="705" w:type="pct"/>
          </w:tcPr>
          <w:p w:rsidR="00ED13C8" w:rsidRPr="00FB4817" w:rsidRDefault="00ED13C8" w:rsidP="00921519">
            <w:pPr>
              <w:pStyle w:val="TableCell"/>
              <w:rPr>
                <w:sz w:val="16"/>
                <w:szCs w:val="16"/>
              </w:rPr>
            </w:pPr>
            <w:r>
              <w:rPr>
                <w:sz w:val="16"/>
                <w:szCs w:val="16"/>
              </w:rPr>
              <w:t>Sue Means</w:t>
            </w:r>
          </w:p>
        </w:tc>
        <w:tc>
          <w:tcPr>
            <w:tcW w:w="1669" w:type="pct"/>
          </w:tcPr>
          <w:p w:rsidR="00ED13C8" w:rsidRDefault="00ED13C8">
            <w:r w:rsidRPr="00ED0032">
              <w:rPr>
                <w:sz w:val="16"/>
                <w:szCs w:val="16"/>
              </w:rPr>
              <w:t>Subject matter expert representing Labor Employee Relations Team</w:t>
            </w:r>
          </w:p>
        </w:tc>
        <w:tc>
          <w:tcPr>
            <w:tcW w:w="1209" w:type="pct"/>
          </w:tcPr>
          <w:p w:rsidR="00ED13C8" w:rsidRPr="00FB4817" w:rsidRDefault="00ED13C8" w:rsidP="00921519">
            <w:pPr>
              <w:pStyle w:val="TableCell"/>
              <w:rPr>
                <w:sz w:val="16"/>
                <w:szCs w:val="16"/>
              </w:rPr>
            </w:pPr>
            <w:r>
              <w:rPr>
                <w:sz w:val="16"/>
                <w:szCs w:val="16"/>
              </w:rPr>
              <w:t>Review</w:t>
            </w:r>
          </w:p>
        </w:tc>
        <w:tc>
          <w:tcPr>
            <w:tcW w:w="827" w:type="pct"/>
          </w:tcPr>
          <w:p w:rsidR="00ED13C8" w:rsidRPr="00FB4817" w:rsidRDefault="00ED13C8" w:rsidP="00921519">
            <w:pPr>
              <w:pStyle w:val="TableCell"/>
              <w:rPr>
                <w:sz w:val="16"/>
                <w:szCs w:val="16"/>
              </w:rPr>
            </w:pPr>
          </w:p>
        </w:tc>
      </w:tr>
      <w:tr w:rsidR="00BA58D9" w:rsidRPr="00FB4817" w:rsidTr="008E44F3">
        <w:tc>
          <w:tcPr>
            <w:tcW w:w="589" w:type="pct"/>
          </w:tcPr>
          <w:p w:rsidR="00BA58D9" w:rsidRDefault="00BA58D9" w:rsidP="00921519">
            <w:pPr>
              <w:pStyle w:val="TableCell"/>
              <w:rPr>
                <w:sz w:val="16"/>
                <w:szCs w:val="16"/>
              </w:rPr>
            </w:pPr>
            <w:r>
              <w:rPr>
                <w:sz w:val="16"/>
                <w:szCs w:val="16"/>
              </w:rPr>
              <w:t>DOTs</w:t>
            </w:r>
          </w:p>
        </w:tc>
        <w:tc>
          <w:tcPr>
            <w:tcW w:w="705" w:type="pct"/>
          </w:tcPr>
          <w:p w:rsidR="00BA58D9" w:rsidRPr="00FB4817" w:rsidRDefault="00BA58D9" w:rsidP="00921519">
            <w:pPr>
              <w:pStyle w:val="TableCell"/>
              <w:rPr>
                <w:sz w:val="16"/>
                <w:szCs w:val="16"/>
              </w:rPr>
            </w:pPr>
            <w:r>
              <w:rPr>
                <w:sz w:val="16"/>
                <w:szCs w:val="16"/>
              </w:rPr>
              <w:t>Nancy Petersen</w:t>
            </w:r>
          </w:p>
        </w:tc>
        <w:tc>
          <w:tcPr>
            <w:tcW w:w="1669" w:type="pct"/>
          </w:tcPr>
          <w:p w:rsidR="00BA58D9" w:rsidRPr="00FB4817" w:rsidRDefault="00BA58D9" w:rsidP="00921519">
            <w:pPr>
              <w:pStyle w:val="TableCell"/>
              <w:rPr>
                <w:sz w:val="16"/>
                <w:szCs w:val="16"/>
              </w:rPr>
            </w:pPr>
            <w:r>
              <w:rPr>
                <w:sz w:val="16"/>
                <w:szCs w:val="16"/>
              </w:rPr>
              <w:t>Dir</w:t>
            </w:r>
            <w:r w:rsidR="00326531">
              <w:rPr>
                <w:sz w:val="16"/>
                <w:szCs w:val="16"/>
              </w:rPr>
              <w:t>ector</w:t>
            </w:r>
            <w:r>
              <w:rPr>
                <w:sz w:val="16"/>
                <w:szCs w:val="16"/>
              </w:rPr>
              <w:t>, Enterprise Applications</w:t>
            </w:r>
          </w:p>
        </w:tc>
        <w:tc>
          <w:tcPr>
            <w:tcW w:w="1209" w:type="pct"/>
          </w:tcPr>
          <w:p w:rsidR="00BA58D9" w:rsidRPr="00FB4817" w:rsidRDefault="00ED13C8" w:rsidP="00921519">
            <w:pPr>
              <w:pStyle w:val="TableCell"/>
              <w:rPr>
                <w:sz w:val="16"/>
                <w:szCs w:val="16"/>
              </w:rPr>
            </w:pPr>
            <w:r>
              <w:rPr>
                <w:sz w:val="16"/>
                <w:szCs w:val="16"/>
              </w:rPr>
              <w:t>Informational</w:t>
            </w:r>
          </w:p>
        </w:tc>
        <w:tc>
          <w:tcPr>
            <w:tcW w:w="827" w:type="pct"/>
          </w:tcPr>
          <w:p w:rsidR="00BA58D9" w:rsidRPr="00FB4817" w:rsidRDefault="00BA58D9" w:rsidP="00921519">
            <w:pPr>
              <w:pStyle w:val="TableCell"/>
              <w:rPr>
                <w:sz w:val="16"/>
                <w:szCs w:val="16"/>
              </w:rPr>
            </w:pPr>
          </w:p>
        </w:tc>
      </w:tr>
      <w:tr w:rsidR="00326531" w:rsidRPr="00FB4817" w:rsidTr="008E44F3">
        <w:tc>
          <w:tcPr>
            <w:tcW w:w="589" w:type="pct"/>
          </w:tcPr>
          <w:p w:rsidR="00326531" w:rsidRDefault="00326531" w:rsidP="008E41DC">
            <w:pPr>
              <w:pStyle w:val="TableCell"/>
              <w:rPr>
                <w:sz w:val="16"/>
                <w:szCs w:val="16"/>
              </w:rPr>
            </w:pPr>
            <w:r>
              <w:rPr>
                <w:sz w:val="16"/>
                <w:szCs w:val="16"/>
              </w:rPr>
              <w:t>DOTs</w:t>
            </w:r>
          </w:p>
        </w:tc>
        <w:tc>
          <w:tcPr>
            <w:tcW w:w="705" w:type="pct"/>
          </w:tcPr>
          <w:p w:rsidR="00326531" w:rsidRPr="00FB4817" w:rsidRDefault="00326531" w:rsidP="008E41DC">
            <w:pPr>
              <w:pStyle w:val="TableCell"/>
              <w:rPr>
                <w:sz w:val="16"/>
                <w:szCs w:val="16"/>
              </w:rPr>
            </w:pPr>
            <w:r>
              <w:rPr>
                <w:sz w:val="16"/>
                <w:szCs w:val="16"/>
              </w:rPr>
              <w:t>James Bradley</w:t>
            </w:r>
          </w:p>
        </w:tc>
        <w:tc>
          <w:tcPr>
            <w:tcW w:w="1669" w:type="pct"/>
          </w:tcPr>
          <w:p w:rsidR="00326531" w:rsidRPr="00FB4817" w:rsidRDefault="00326531" w:rsidP="008E41DC">
            <w:pPr>
              <w:pStyle w:val="TableCell"/>
              <w:rPr>
                <w:sz w:val="16"/>
                <w:szCs w:val="16"/>
              </w:rPr>
            </w:pPr>
            <w:r>
              <w:rPr>
                <w:sz w:val="16"/>
                <w:szCs w:val="16"/>
              </w:rPr>
              <w:t>Manager, Business Applications</w:t>
            </w:r>
          </w:p>
        </w:tc>
        <w:tc>
          <w:tcPr>
            <w:tcW w:w="1209" w:type="pct"/>
          </w:tcPr>
          <w:p w:rsidR="00326531" w:rsidRPr="00FB4817" w:rsidRDefault="00326531" w:rsidP="008E41DC">
            <w:pPr>
              <w:pStyle w:val="TableCell"/>
              <w:rPr>
                <w:sz w:val="16"/>
                <w:szCs w:val="16"/>
              </w:rPr>
            </w:pPr>
            <w:r>
              <w:rPr>
                <w:sz w:val="16"/>
                <w:szCs w:val="16"/>
              </w:rPr>
              <w:t>Informational</w:t>
            </w:r>
          </w:p>
        </w:tc>
        <w:tc>
          <w:tcPr>
            <w:tcW w:w="827" w:type="pct"/>
          </w:tcPr>
          <w:p w:rsidR="00326531" w:rsidRPr="00FB4817" w:rsidRDefault="00326531" w:rsidP="008E41DC">
            <w:pPr>
              <w:pStyle w:val="TableCell"/>
              <w:rPr>
                <w:sz w:val="16"/>
                <w:szCs w:val="16"/>
              </w:rPr>
            </w:pPr>
          </w:p>
        </w:tc>
      </w:tr>
      <w:tr w:rsidR="00BA58D9" w:rsidRPr="00FB4817" w:rsidTr="008E44F3">
        <w:tc>
          <w:tcPr>
            <w:tcW w:w="589" w:type="pct"/>
          </w:tcPr>
          <w:p w:rsidR="00BA58D9" w:rsidRDefault="00BA58D9" w:rsidP="00921519">
            <w:pPr>
              <w:pStyle w:val="TableCell"/>
              <w:rPr>
                <w:sz w:val="16"/>
                <w:szCs w:val="16"/>
              </w:rPr>
            </w:pPr>
            <w:r>
              <w:rPr>
                <w:sz w:val="16"/>
                <w:szCs w:val="16"/>
              </w:rPr>
              <w:t>DOTs</w:t>
            </w:r>
          </w:p>
        </w:tc>
        <w:tc>
          <w:tcPr>
            <w:tcW w:w="705" w:type="pct"/>
          </w:tcPr>
          <w:p w:rsidR="00BA58D9" w:rsidRDefault="00BA58D9" w:rsidP="00921519">
            <w:pPr>
              <w:pStyle w:val="TableCell"/>
              <w:rPr>
                <w:sz w:val="16"/>
                <w:szCs w:val="16"/>
              </w:rPr>
            </w:pPr>
            <w:r>
              <w:rPr>
                <w:sz w:val="16"/>
                <w:szCs w:val="16"/>
              </w:rPr>
              <w:t>Mabel  Mah</w:t>
            </w:r>
          </w:p>
        </w:tc>
        <w:tc>
          <w:tcPr>
            <w:tcW w:w="1669" w:type="pct"/>
          </w:tcPr>
          <w:p w:rsidR="00BA58D9" w:rsidRDefault="00BA58D9" w:rsidP="00921519">
            <w:pPr>
              <w:pStyle w:val="TableCell"/>
              <w:rPr>
                <w:sz w:val="16"/>
                <w:szCs w:val="16"/>
              </w:rPr>
            </w:pPr>
            <w:r>
              <w:rPr>
                <w:sz w:val="16"/>
                <w:szCs w:val="16"/>
              </w:rPr>
              <w:t>Sr Business Analyst (SAP/HR)</w:t>
            </w:r>
            <w:r w:rsidR="00326531">
              <w:rPr>
                <w:sz w:val="16"/>
                <w:szCs w:val="16"/>
              </w:rPr>
              <w:t>; project systems analyst representing DOTs for design and development</w:t>
            </w:r>
          </w:p>
        </w:tc>
        <w:tc>
          <w:tcPr>
            <w:tcW w:w="1209" w:type="pct"/>
          </w:tcPr>
          <w:p w:rsidR="00BA58D9" w:rsidRDefault="00ED13C8" w:rsidP="00921519">
            <w:pPr>
              <w:pStyle w:val="TableCell"/>
              <w:rPr>
                <w:sz w:val="16"/>
                <w:szCs w:val="16"/>
              </w:rPr>
            </w:pPr>
            <w:r>
              <w:rPr>
                <w:sz w:val="16"/>
                <w:szCs w:val="16"/>
              </w:rPr>
              <w:t>Review and accept</w:t>
            </w:r>
            <w:r w:rsidR="008E44F3">
              <w:rPr>
                <w:sz w:val="16"/>
                <w:szCs w:val="16"/>
              </w:rPr>
              <w:t xml:space="preserve"> as milestone deliverable</w:t>
            </w:r>
          </w:p>
        </w:tc>
        <w:tc>
          <w:tcPr>
            <w:tcW w:w="827" w:type="pct"/>
          </w:tcPr>
          <w:p w:rsidR="00BA58D9" w:rsidRPr="00FB4817" w:rsidRDefault="00BA58D9" w:rsidP="00921519">
            <w:pPr>
              <w:pStyle w:val="TableCell"/>
              <w:rPr>
                <w:sz w:val="16"/>
                <w:szCs w:val="16"/>
              </w:rPr>
            </w:pPr>
          </w:p>
        </w:tc>
      </w:tr>
      <w:tr w:rsidR="00BA58D9" w:rsidRPr="00FB4817" w:rsidTr="008E44F3">
        <w:tc>
          <w:tcPr>
            <w:tcW w:w="589" w:type="pct"/>
          </w:tcPr>
          <w:p w:rsidR="00BA58D9" w:rsidRDefault="00BA58D9" w:rsidP="00921519">
            <w:pPr>
              <w:pStyle w:val="TableCell"/>
              <w:rPr>
                <w:sz w:val="16"/>
                <w:szCs w:val="16"/>
              </w:rPr>
            </w:pPr>
            <w:r>
              <w:rPr>
                <w:sz w:val="16"/>
                <w:szCs w:val="16"/>
              </w:rPr>
              <w:t>eVal Dev Team</w:t>
            </w:r>
          </w:p>
        </w:tc>
        <w:tc>
          <w:tcPr>
            <w:tcW w:w="705" w:type="pct"/>
          </w:tcPr>
          <w:p w:rsidR="00BA58D9" w:rsidRDefault="00BA58D9" w:rsidP="00921519">
            <w:pPr>
              <w:pStyle w:val="TableCell"/>
              <w:rPr>
                <w:sz w:val="16"/>
                <w:szCs w:val="16"/>
              </w:rPr>
            </w:pPr>
            <w:r>
              <w:rPr>
                <w:sz w:val="16"/>
                <w:szCs w:val="16"/>
              </w:rPr>
              <w:t>Anne Chinn</w:t>
            </w:r>
          </w:p>
        </w:tc>
        <w:tc>
          <w:tcPr>
            <w:tcW w:w="1669" w:type="pct"/>
          </w:tcPr>
          <w:p w:rsidR="00BA58D9" w:rsidRDefault="00BA58D9" w:rsidP="00921519">
            <w:pPr>
              <w:pStyle w:val="TableCell"/>
              <w:rPr>
                <w:sz w:val="16"/>
                <w:szCs w:val="16"/>
              </w:rPr>
            </w:pPr>
            <w:r>
              <w:rPr>
                <w:sz w:val="16"/>
                <w:szCs w:val="16"/>
              </w:rPr>
              <w:t>Lead eVal Developer</w:t>
            </w:r>
          </w:p>
        </w:tc>
        <w:tc>
          <w:tcPr>
            <w:tcW w:w="1209" w:type="pct"/>
          </w:tcPr>
          <w:p w:rsidR="00BA58D9" w:rsidRDefault="00BA58D9" w:rsidP="00921519">
            <w:pPr>
              <w:pStyle w:val="TableCell"/>
              <w:rPr>
                <w:sz w:val="16"/>
                <w:szCs w:val="16"/>
              </w:rPr>
            </w:pPr>
            <w:r>
              <w:rPr>
                <w:sz w:val="16"/>
                <w:szCs w:val="16"/>
              </w:rPr>
              <w:t>Review</w:t>
            </w:r>
            <w:r w:rsidR="008E44F3">
              <w:rPr>
                <w:sz w:val="16"/>
                <w:szCs w:val="16"/>
              </w:rPr>
              <w:t xml:space="preserve"> and accept as milestone deliverable</w:t>
            </w:r>
          </w:p>
        </w:tc>
        <w:tc>
          <w:tcPr>
            <w:tcW w:w="827" w:type="pct"/>
          </w:tcPr>
          <w:p w:rsidR="00BA58D9" w:rsidRPr="00FB4817" w:rsidRDefault="00BA58D9" w:rsidP="00921519">
            <w:pPr>
              <w:pStyle w:val="TableCell"/>
              <w:rPr>
                <w:sz w:val="16"/>
                <w:szCs w:val="16"/>
              </w:rPr>
            </w:pPr>
          </w:p>
        </w:tc>
      </w:tr>
      <w:tr w:rsidR="00BA58D9" w:rsidRPr="00FB4817" w:rsidTr="008E44F3">
        <w:tc>
          <w:tcPr>
            <w:tcW w:w="589" w:type="pct"/>
          </w:tcPr>
          <w:p w:rsidR="00BA58D9" w:rsidRDefault="00BA58D9" w:rsidP="00921519">
            <w:pPr>
              <w:pStyle w:val="TableCell"/>
              <w:rPr>
                <w:sz w:val="16"/>
                <w:szCs w:val="16"/>
              </w:rPr>
            </w:pPr>
            <w:r>
              <w:rPr>
                <w:sz w:val="16"/>
                <w:szCs w:val="16"/>
              </w:rPr>
              <w:t>eVal Dev Team</w:t>
            </w:r>
          </w:p>
        </w:tc>
        <w:tc>
          <w:tcPr>
            <w:tcW w:w="705" w:type="pct"/>
          </w:tcPr>
          <w:p w:rsidR="00BA58D9" w:rsidRDefault="00BA58D9" w:rsidP="00921519">
            <w:pPr>
              <w:pStyle w:val="TableCell"/>
              <w:rPr>
                <w:sz w:val="16"/>
                <w:szCs w:val="16"/>
              </w:rPr>
            </w:pPr>
            <w:r>
              <w:rPr>
                <w:sz w:val="16"/>
                <w:szCs w:val="16"/>
              </w:rPr>
              <w:t>Dana Anderson</w:t>
            </w:r>
          </w:p>
        </w:tc>
        <w:tc>
          <w:tcPr>
            <w:tcW w:w="1669" w:type="pct"/>
          </w:tcPr>
          <w:p w:rsidR="00BA58D9" w:rsidRDefault="00BA58D9" w:rsidP="00921519">
            <w:pPr>
              <w:pStyle w:val="TableCell"/>
              <w:rPr>
                <w:sz w:val="16"/>
                <w:szCs w:val="16"/>
              </w:rPr>
            </w:pPr>
            <w:r>
              <w:rPr>
                <w:sz w:val="16"/>
                <w:szCs w:val="16"/>
              </w:rPr>
              <w:t>eVal Supervisor/ Project Manager</w:t>
            </w:r>
          </w:p>
        </w:tc>
        <w:tc>
          <w:tcPr>
            <w:tcW w:w="1209" w:type="pct"/>
          </w:tcPr>
          <w:p w:rsidR="00BA58D9" w:rsidRDefault="00326531" w:rsidP="00326531">
            <w:pPr>
              <w:pStyle w:val="TableCell"/>
              <w:rPr>
                <w:sz w:val="16"/>
                <w:szCs w:val="16"/>
              </w:rPr>
            </w:pPr>
            <w:r>
              <w:rPr>
                <w:sz w:val="16"/>
                <w:szCs w:val="16"/>
              </w:rPr>
              <w:t>Review and accept</w:t>
            </w:r>
            <w:r w:rsidR="008E44F3">
              <w:rPr>
                <w:sz w:val="16"/>
                <w:szCs w:val="16"/>
              </w:rPr>
              <w:t xml:space="preserve"> as milestone deliverable</w:t>
            </w:r>
          </w:p>
        </w:tc>
        <w:tc>
          <w:tcPr>
            <w:tcW w:w="827" w:type="pct"/>
          </w:tcPr>
          <w:p w:rsidR="00BA58D9" w:rsidRPr="00FB4817" w:rsidRDefault="00BA58D9" w:rsidP="00921519">
            <w:pPr>
              <w:pStyle w:val="TableCell"/>
              <w:rPr>
                <w:sz w:val="16"/>
                <w:szCs w:val="16"/>
              </w:rPr>
            </w:pPr>
          </w:p>
        </w:tc>
      </w:tr>
    </w:tbl>
    <w:p w:rsidR="00193100" w:rsidRDefault="00193100" w:rsidP="004347B8">
      <w:pPr>
        <w:rPr>
          <w:lang w:val="en-GB"/>
        </w:rPr>
      </w:pPr>
      <w:bookmarkStart w:id="17" w:name="_GoBack"/>
      <w:bookmarkEnd w:id="17"/>
    </w:p>
    <w:sectPr w:rsidR="00193100" w:rsidSect="00663451">
      <w:pgSz w:w="12240" w:h="15840"/>
      <w:pgMar w:top="1440" w:right="1080" w:bottom="1440" w:left="1080" w:header="720" w:footer="720" w:gutter="24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8C0" w:rsidRDefault="00B528C0">
      <w:r>
        <w:separator/>
      </w:r>
    </w:p>
  </w:endnote>
  <w:endnote w:type="continuationSeparator" w:id="0">
    <w:p w:rsidR="00B528C0" w:rsidRDefault="00B5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451" w:rsidRDefault="007169B4" w:rsidP="00886434">
    <w:pPr>
      <w:pStyle w:val="Footer"/>
      <w:tabs>
        <w:tab w:val="clear" w:pos="8640"/>
        <w:tab w:val="right" w:pos="9720"/>
      </w:tabs>
    </w:pPr>
    <w:fldSimple w:instr=" FILENAME   \* MERGEFORMAT ">
      <w:r w:rsidR="00E87BD3">
        <w:rPr>
          <w:noProof/>
        </w:rPr>
        <w:t>eVal BRD-No_1_General v1.docx</w:t>
      </w:r>
    </w:fldSimple>
    <w:r w:rsidR="00886434">
      <w:tab/>
    </w:r>
    <w:r w:rsidR="00886434">
      <w:tab/>
    </w:r>
    <w:r w:rsidR="00663451">
      <w:t xml:space="preserve"> Page </w:t>
    </w:r>
    <w:sdt>
      <w:sdtPr>
        <w:id w:val="1563987487"/>
        <w:docPartObj>
          <w:docPartGallery w:val="Page Numbers (Bottom of Page)"/>
          <w:docPartUnique/>
        </w:docPartObj>
      </w:sdtPr>
      <w:sdtEndPr>
        <w:rPr>
          <w:noProof/>
        </w:rPr>
      </w:sdtEndPr>
      <w:sdtContent>
        <w:r w:rsidR="00B8636B">
          <w:fldChar w:fldCharType="begin"/>
        </w:r>
        <w:r w:rsidR="00663451">
          <w:instrText xml:space="preserve"> PAGE   \* MERGEFORMAT </w:instrText>
        </w:r>
        <w:r w:rsidR="00B8636B">
          <w:fldChar w:fldCharType="separate"/>
        </w:r>
        <w:r w:rsidR="00D006B7">
          <w:rPr>
            <w:noProof/>
          </w:rPr>
          <w:t>5</w:t>
        </w:r>
        <w:r w:rsidR="00B8636B">
          <w:rPr>
            <w:noProof/>
          </w:rPr>
          <w:fldChar w:fldCharType="end"/>
        </w:r>
        <w:r w:rsidR="00663451">
          <w:rPr>
            <w:noProof/>
          </w:rPr>
          <w:t xml:space="preserve"> of </w:t>
        </w:r>
        <w:fldSimple w:instr=" NUMPAGES   \* MERGEFORMAT ">
          <w:r w:rsidR="00D006B7">
            <w:rPr>
              <w:noProof/>
            </w:rPr>
            <w:t>5</w:t>
          </w:r>
        </w:fldSimple>
      </w:sdtContent>
    </w:sdt>
  </w:p>
  <w:p w:rsidR="00663451" w:rsidRDefault="00663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8C0" w:rsidRDefault="00B528C0">
      <w:r>
        <w:separator/>
      </w:r>
    </w:p>
  </w:footnote>
  <w:footnote w:type="continuationSeparator" w:id="0">
    <w:p w:rsidR="00B528C0" w:rsidRDefault="00B52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EDF" w:rsidRDefault="00537EDF">
    <w:pPr>
      <w:pStyle w:val="Header"/>
    </w:pPr>
    <w:r w:rsidRPr="00537EDF">
      <w:rPr>
        <w:noProof/>
      </w:rPr>
      <w:drawing>
        <wp:inline distT="0" distB="0" distL="0" distR="0">
          <wp:extent cx="714376" cy="1057275"/>
          <wp:effectExtent l="19050" t="0" r="9524" b="0"/>
          <wp:docPr id="8"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537EDF" w:rsidRDefault="00537EDF">
    <w:pPr>
      <w:pStyle w:val="Header"/>
    </w:pPr>
  </w:p>
  <w:p w:rsidR="00537EDF" w:rsidRDefault="00537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6">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2">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3">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0"/>
  </w:num>
  <w:num w:numId="3">
    <w:abstractNumId w:val="15"/>
  </w:num>
  <w:num w:numId="4">
    <w:abstractNumId w:val="19"/>
  </w:num>
  <w:num w:numId="5">
    <w:abstractNumId w:val="4"/>
  </w:num>
  <w:num w:numId="6">
    <w:abstractNumId w:val="5"/>
  </w:num>
  <w:num w:numId="7">
    <w:abstractNumId w:val="23"/>
  </w:num>
  <w:num w:numId="8">
    <w:abstractNumId w:val="33"/>
  </w:num>
  <w:num w:numId="9">
    <w:abstractNumId w:val="25"/>
  </w:num>
  <w:num w:numId="10">
    <w:abstractNumId w:val="27"/>
  </w:num>
  <w:num w:numId="11">
    <w:abstractNumId w:val="16"/>
  </w:num>
  <w:num w:numId="12">
    <w:abstractNumId w:val="2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28"/>
  </w:num>
  <w:num w:numId="20">
    <w:abstractNumId w:val="3"/>
  </w:num>
  <w:num w:numId="21">
    <w:abstractNumId w:val="10"/>
  </w:num>
  <w:num w:numId="22">
    <w:abstractNumId w:val="34"/>
  </w:num>
  <w:num w:numId="23">
    <w:abstractNumId w:val="1"/>
  </w:num>
  <w:num w:numId="24">
    <w:abstractNumId w:val="7"/>
  </w:num>
  <w:num w:numId="25">
    <w:abstractNumId w:val="31"/>
  </w:num>
  <w:num w:numId="26">
    <w:abstractNumId w:val="8"/>
  </w:num>
  <w:num w:numId="27">
    <w:abstractNumId w:val="29"/>
  </w:num>
  <w:num w:numId="28">
    <w:abstractNumId w:val="32"/>
  </w:num>
  <w:num w:numId="29">
    <w:abstractNumId w:val="13"/>
  </w:num>
  <w:num w:numId="30">
    <w:abstractNumId w:val="12"/>
  </w:num>
  <w:num w:numId="31">
    <w:abstractNumId w:val="6"/>
  </w:num>
  <w:num w:numId="32">
    <w:abstractNumId w:val="26"/>
  </w:num>
  <w:num w:numId="33">
    <w:abstractNumId w:val="21"/>
  </w:num>
  <w:num w:numId="34">
    <w:abstractNumId w:val="17"/>
  </w:num>
  <w:num w:numId="35">
    <w:abstractNumId w:val="9"/>
  </w:num>
  <w:num w:numId="36">
    <w:abstractNumId w:val="18"/>
  </w:num>
  <w:num w:numId="37">
    <w:abstractNumId w:val="14"/>
  </w:num>
  <w:num w:numId="38">
    <w:abstractNumId w:val="11"/>
  </w:num>
  <w:num w:numId="39">
    <w:abstractNumId w:val="30"/>
  </w:num>
  <w:num w:numId="40">
    <w:abstractNumId w:val="24"/>
  </w:num>
  <w:num w:numId="4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6C"/>
    <w:rsid w:val="0000608F"/>
    <w:rsid w:val="000137E0"/>
    <w:rsid w:val="000142B6"/>
    <w:rsid w:val="00014C26"/>
    <w:rsid w:val="000162BF"/>
    <w:rsid w:val="0001737E"/>
    <w:rsid w:val="00021133"/>
    <w:rsid w:val="00032E52"/>
    <w:rsid w:val="000345E8"/>
    <w:rsid w:val="00040DD8"/>
    <w:rsid w:val="000539FE"/>
    <w:rsid w:val="0005790D"/>
    <w:rsid w:val="00060766"/>
    <w:rsid w:val="000623B9"/>
    <w:rsid w:val="000646A1"/>
    <w:rsid w:val="00077144"/>
    <w:rsid w:val="00077154"/>
    <w:rsid w:val="0009418E"/>
    <w:rsid w:val="00095FF0"/>
    <w:rsid w:val="00096936"/>
    <w:rsid w:val="000A1E9E"/>
    <w:rsid w:val="000A4AB9"/>
    <w:rsid w:val="000B524B"/>
    <w:rsid w:val="000D35C5"/>
    <w:rsid w:val="000E245D"/>
    <w:rsid w:val="000E57A9"/>
    <w:rsid w:val="000E5904"/>
    <w:rsid w:val="001003ED"/>
    <w:rsid w:val="00106517"/>
    <w:rsid w:val="001072C9"/>
    <w:rsid w:val="001077F5"/>
    <w:rsid w:val="0011022F"/>
    <w:rsid w:val="00117FBD"/>
    <w:rsid w:val="001218E2"/>
    <w:rsid w:val="00125811"/>
    <w:rsid w:val="00141919"/>
    <w:rsid w:val="00144DD7"/>
    <w:rsid w:val="00146C06"/>
    <w:rsid w:val="00154321"/>
    <w:rsid w:val="00161707"/>
    <w:rsid w:val="0016570D"/>
    <w:rsid w:val="00171ED4"/>
    <w:rsid w:val="00184714"/>
    <w:rsid w:val="00186C86"/>
    <w:rsid w:val="00190A5C"/>
    <w:rsid w:val="00193100"/>
    <w:rsid w:val="001A2D48"/>
    <w:rsid w:val="001B63C1"/>
    <w:rsid w:val="001B6D2E"/>
    <w:rsid w:val="001B795F"/>
    <w:rsid w:val="001C3815"/>
    <w:rsid w:val="001D202B"/>
    <w:rsid w:val="001D5B8F"/>
    <w:rsid w:val="001D76D1"/>
    <w:rsid w:val="001E3D42"/>
    <w:rsid w:val="001E698E"/>
    <w:rsid w:val="001F1BA5"/>
    <w:rsid w:val="001F1DC2"/>
    <w:rsid w:val="00206A62"/>
    <w:rsid w:val="00216038"/>
    <w:rsid w:val="00217600"/>
    <w:rsid w:val="00220A3F"/>
    <w:rsid w:val="00221093"/>
    <w:rsid w:val="00224CBA"/>
    <w:rsid w:val="002317F8"/>
    <w:rsid w:val="002418C5"/>
    <w:rsid w:val="002419AA"/>
    <w:rsid w:val="00252872"/>
    <w:rsid w:val="002539AB"/>
    <w:rsid w:val="0026110A"/>
    <w:rsid w:val="002613C1"/>
    <w:rsid w:val="00263C74"/>
    <w:rsid w:val="00265CA6"/>
    <w:rsid w:val="0027111E"/>
    <w:rsid w:val="0027239A"/>
    <w:rsid w:val="0027311F"/>
    <w:rsid w:val="00276606"/>
    <w:rsid w:val="00276AF8"/>
    <w:rsid w:val="00277E3A"/>
    <w:rsid w:val="00281DB8"/>
    <w:rsid w:val="00297848"/>
    <w:rsid w:val="002A098D"/>
    <w:rsid w:val="002B187C"/>
    <w:rsid w:val="002B6D0D"/>
    <w:rsid w:val="002D239C"/>
    <w:rsid w:val="002D6814"/>
    <w:rsid w:val="002D68EA"/>
    <w:rsid w:val="002F1DF0"/>
    <w:rsid w:val="002F39EE"/>
    <w:rsid w:val="00321235"/>
    <w:rsid w:val="00326531"/>
    <w:rsid w:val="00335D2B"/>
    <w:rsid w:val="003630E6"/>
    <w:rsid w:val="00364444"/>
    <w:rsid w:val="00364DF0"/>
    <w:rsid w:val="0037499E"/>
    <w:rsid w:val="00376D55"/>
    <w:rsid w:val="00377046"/>
    <w:rsid w:val="00377E0E"/>
    <w:rsid w:val="003947A5"/>
    <w:rsid w:val="003A2C69"/>
    <w:rsid w:val="003A3FCA"/>
    <w:rsid w:val="003A511E"/>
    <w:rsid w:val="003A7ACA"/>
    <w:rsid w:val="003A7E6E"/>
    <w:rsid w:val="003B338E"/>
    <w:rsid w:val="003B3731"/>
    <w:rsid w:val="003C0928"/>
    <w:rsid w:val="003C1B7E"/>
    <w:rsid w:val="003C5A7D"/>
    <w:rsid w:val="003C712F"/>
    <w:rsid w:val="003D3B85"/>
    <w:rsid w:val="003D6588"/>
    <w:rsid w:val="003F6D9F"/>
    <w:rsid w:val="004067E2"/>
    <w:rsid w:val="0041152F"/>
    <w:rsid w:val="00421E28"/>
    <w:rsid w:val="004265AC"/>
    <w:rsid w:val="004319CA"/>
    <w:rsid w:val="004347B8"/>
    <w:rsid w:val="004634EC"/>
    <w:rsid w:val="004741F9"/>
    <w:rsid w:val="004776CA"/>
    <w:rsid w:val="00480144"/>
    <w:rsid w:val="00490998"/>
    <w:rsid w:val="004A0E07"/>
    <w:rsid w:val="004B0110"/>
    <w:rsid w:val="004D74A6"/>
    <w:rsid w:val="004E12CC"/>
    <w:rsid w:val="004E4BBA"/>
    <w:rsid w:val="004E75FD"/>
    <w:rsid w:val="004F7E1C"/>
    <w:rsid w:val="00501101"/>
    <w:rsid w:val="00502E43"/>
    <w:rsid w:val="00504479"/>
    <w:rsid w:val="00517773"/>
    <w:rsid w:val="005241EC"/>
    <w:rsid w:val="00525CA3"/>
    <w:rsid w:val="00527C0D"/>
    <w:rsid w:val="00534F7F"/>
    <w:rsid w:val="00537EDF"/>
    <w:rsid w:val="00554686"/>
    <w:rsid w:val="005620E6"/>
    <w:rsid w:val="00564EF1"/>
    <w:rsid w:val="00572F2D"/>
    <w:rsid w:val="00590CC4"/>
    <w:rsid w:val="005A7619"/>
    <w:rsid w:val="005B14C4"/>
    <w:rsid w:val="005B2EDD"/>
    <w:rsid w:val="005B311A"/>
    <w:rsid w:val="005C1757"/>
    <w:rsid w:val="005C32BD"/>
    <w:rsid w:val="005C6559"/>
    <w:rsid w:val="005C79B9"/>
    <w:rsid w:val="005D262F"/>
    <w:rsid w:val="005D75C9"/>
    <w:rsid w:val="005E2AF7"/>
    <w:rsid w:val="005E5669"/>
    <w:rsid w:val="005F20B9"/>
    <w:rsid w:val="005F22E3"/>
    <w:rsid w:val="005F6C27"/>
    <w:rsid w:val="005F7B95"/>
    <w:rsid w:val="006131A3"/>
    <w:rsid w:val="00626E96"/>
    <w:rsid w:val="00635713"/>
    <w:rsid w:val="00652428"/>
    <w:rsid w:val="00661AD9"/>
    <w:rsid w:val="00663451"/>
    <w:rsid w:val="00670C74"/>
    <w:rsid w:val="00675C57"/>
    <w:rsid w:val="00677FDD"/>
    <w:rsid w:val="006814E5"/>
    <w:rsid w:val="00685614"/>
    <w:rsid w:val="00692A27"/>
    <w:rsid w:val="0069330C"/>
    <w:rsid w:val="00693832"/>
    <w:rsid w:val="006A1887"/>
    <w:rsid w:val="006A4035"/>
    <w:rsid w:val="006A4C93"/>
    <w:rsid w:val="006B48F8"/>
    <w:rsid w:val="006C4D4D"/>
    <w:rsid w:val="006C6738"/>
    <w:rsid w:val="006C68B3"/>
    <w:rsid w:val="006C6D5C"/>
    <w:rsid w:val="006E589B"/>
    <w:rsid w:val="006F0720"/>
    <w:rsid w:val="006F3CE4"/>
    <w:rsid w:val="00700BC2"/>
    <w:rsid w:val="007011A3"/>
    <w:rsid w:val="00702418"/>
    <w:rsid w:val="0070777E"/>
    <w:rsid w:val="007169B4"/>
    <w:rsid w:val="0072693A"/>
    <w:rsid w:val="00734521"/>
    <w:rsid w:val="0073666F"/>
    <w:rsid w:val="00740A30"/>
    <w:rsid w:val="00740D96"/>
    <w:rsid w:val="00743479"/>
    <w:rsid w:val="00746054"/>
    <w:rsid w:val="00746B5E"/>
    <w:rsid w:val="00754597"/>
    <w:rsid w:val="007561DB"/>
    <w:rsid w:val="007571B2"/>
    <w:rsid w:val="0076083C"/>
    <w:rsid w:val="00763BEA"/>
    <w:rsid w:val="007676CD"/>
    <w:rsid w:val="007968D0"/>
    <w:rsid w:val="007A3966"/>
    <w:rsid w:val="007B24C2"/>
    <w:rsid w:val="007B3576"/>
    <w:rsid w:val="007B5773"/>
    <w:rsid w:val="007C17E9"/>
    <w:rsid w:val="007C1AD0"/>
    <w:rsid w:val="007C706C"/>
    <w:rsid w:val="007D261C"/>
    <w:rsid w:val="007E28B3"/>
    <w:rsid w:val="007E2CF3"/>
    <w:rsid w:val="007E4961"/>
    <w:rsid w:val="007E702D"/>
    <w:rsid w:val="007F02A9"/>
    <w:rsid w:val="00802412"/>
    <w:rsid w:val="008120B4"/>
    <w:rsid w:val="00812E1B"/>
    <w:rsid w:val="00814163"/>
    <w:rsid w:val="0081699C"/>
    <w:rsid w:val="008174D1"/>
    <w:rsid w:val="008411C8"/>
    <w:rsid w:val="0084634C"/>
    <w:rsid w:val="0085009B"/>
    <w:rsid w:val="008512B0"/>
    <w:rsid w:val="00864CAB"/>
    <w:rsid w:val="00867462"/>
    <w:rsid w:val="00872679"/>
    <w:rsid w:val="0087273C"/>
    <w:rsid w:val="00884058"/>
    <w:rsid w:val="00886434"/>
    <w:rsid w:val="008915EE"/>
    <w:rsid w:val="008B48DF"/>
    <w:rsid w:val="008C426D"/>
    <w:rsid w:val="008C7FE7"/>
    <w:rsid w:val="008D4AB7"/>
    <w:rsid w:val="008D75E0"/>
    <w:rsid w:val="008D7694"/>
    <w:rsid w:val="008E001E"/>
    <w:rsid w:val="008E31F6"/>
    <w:rsid w:val="008E44F3"/>
    <w:rsid w:val="008F7988"/>
    <w:rsid w:val="00902CE3"/>
    <w:rsid w:val="0091439A"/>
    <w:rsid w:val="00921519"/>
    <w:rsid w:val="00930575"/>
    <w:rsid w:val="00932CB0"/>
    <w:rsid w:val="00933B45"/>
    <w:rsid w:val="00956DBE"/>
    <w:rsid w:val="00963E5D"/>
    <w:rsid w:val="009647CE"/>
    <w:rsid w:val="009679DA"/>
    <w:rsid w:val="0097074D"/>
    <w:rsid w:val="0097265F"/>
    <w:rsid w:val="0097270A"/>
    <w:rsid w:val="00991209"/>
    <w:rsid w:val="009A3743"/>
    <w:rsid w:val="009A3DE8"/>
    <w:rsid w:val="009A48C9"/>
    <w:rsid w:val="009A48CC"/>
    <w:rsid w:val="009B0260"/>
    <w:rsid w:val="009B1919"/>
    <w:rsid w:val="009B2182"/>
    <w:rsid w:val="009B2667"/>
    <w:rsid w:val="009C3DBF"/>
    <w:rsid w:val="009E30F0"/>
    <w:rsid w:val="009E7E79"/>
    <w:rsid w:val="009F0EC6"/>
    <w:rsid w:val="009F208E"/>
    <w:rsid w:val="00A03968"/>
    <w:rsid w:val="00A05D14"/>
    <w:rsid w:val="00A07711"/>
    <w:rsid w:val="00A22EA0"/>
    <w:rsid w:val="00A249AB"/>
    <w:rsid w:val="00A274C0"/>
    <w:rsid w:val="00A422AE"/>
    <w:rsid w:val="00A44835"/>
    <w:rsid w:val="00A479F8"/>
    <w:rsid w:val="00A51A31"/>
    <w:rsid w:val="00A54928"/>
    <w:rsid w:val="00A95A20"/>
    <w:rsid w:val="00AA3E49"/>
    <w:rsid w:val="00AA6C60"/>
    <w:rsid w:val="00AB2D0A"/>
    <w:rsid w:val="00AC19D9"/>
    <w:rsid w:val="00AC6EDE"/>
    <w:rsid w:val="00AD4826"/>
    <w:rsid w:val="00AE284D"/>
    <w:rsid w:val="00AE5AF1"/>
    <w:rsid w:val="00AF089F"/>
    <w:rsid w:val="00B15952"/>
    <w:rsid w:val="00B44375"/>
    <w:rsid w:val="00B44652"/>
    <w:rsid w:val="00B51450"/>
    <w:rsid w:val="00B528C0"/>
    <w:rsid w:val="00B5358F"/>
    <w:rsid w:val="00B57334"/>
    <w:rsid w:val="00B62769"/>
    <w:rsid w:val="00B64F6C"/>
    <w:rsid w:val="00B66038"/>
    <w:rsid w:val="00B73957"/>
    <w:rsid w:val="00B75EDB"/>
    <w:rsid w:val="00B76975"/>
    <w:rsid w:val="00B836F6"/>
    <w:rsid w:val="00B8636B"/>
    <w:rsid w:val="00B9050D"/>
    <w:rsid w:val="00BA58D9"/>
    <w:rsid w:val="00BB3A4E"/>
    <w:rsid w:val="00BC06B9"/>
    <w:rsid w:val="00BC1623"/>
    <w:rsid w:val="00BE1B30"/>
    <w:rsid w:val="00BE3718"/>
    <w:rsid w:val="00BF5637"/>
    <w:rsid w:val="00C04247"/>
    <w:rsid w:val="00C157F3"/>
    <w:rsid w:val="00C23314"/>
    <w:rsid w:val="00C3102B"/>
    <w:rsid w:val="00C318F5"/>
    <w:rsid w:val="00C35E67"/>
    <w:rsid w:val="00C41042"/>
    <w:rsid w:val="00C431EE"/>
    <w:rsid w:val="00C477AE"/>
    <w:rsid w:val="00C50995"/>
    <w:rsid w:val="00C55462"/>
    <w:rsid w:val="00C56DF0"/>
    <w:rsid w:val="00C62DFB"/>
    <w:rsid w:val="00C6722D"/>
    <w:rsid w:val="00C70224"/>
    <w:rsid w:val="00C706C9"/>
    <w:rsid w:val="00C7180D"/>
    <w:rsid w:val="00C72F7A"/>
    <w:rsid w:val="00C73BB6"/>
    <w:rsid w:val="00C760C6"/>
    <w:rsid w:val="00C877AA"/>
    <w:rsid w:val="00C90220"/>
    <w:rsid w:val="00C95A7E"/>
    <w:rsid w:val="00CB6E64"/>
    <w:rsid w:val="00CC1F9F"/>
    <w:rsid w:val="00CC323D"/>
    <w:rsid w:val="00CE4B80"/>
    <w:rsid w:val="00D006B7"/>
    <w:rsid w:val="00D128E4"/>
    <w:rsid w:val="00D245BC"/>
    <w:rsid w:val="00D27C96"/>
    <w:rsid w:val="00D33950"/>
    <w:rsid w:val="00D44879"/>
    <w:rsid w:val="00D462C1"/>
    <w:rsid w:val="00D47D48"/>
    <w:rsid w:val="00D54753"/>
    <w:rsid w:val="00D65EA4"/>
    <w:rsid w:val="00D712A5"/>
    <w:rsid w:val="00D761E8"/>
    <w:rsid w:val="00D841F3"/>
    <w:rsid w:val="00D864D6"/>
    <w:rsid w:val="00D93A74"/>
    <w:rsid w:val="00D9685B"/>
    <w:rsid w:val="00DA081A"/>
    <w:rsid w:val="00DA083D"/>
    <w:rsid w:val="00DA5BE0"/>
    <w:rsid w:val="00DB1D16"/>
    <w:rsid w:val="00DD54E8"/>
    <w:rsid w:val="00DF6855"/>
    <w:rsid w:val="00E06372"/>
    <w:rsid w:val="00E25B82"/>
    <w:rsid w:val="00E26A55"/>
    <w:rsid w:val="00E301A6"/>
    <w:rsid w:val="00E32FCE"/>
    <w:rsid w:val="00E3500C"/>
    <w:rsid w:val="00E416D5"/>
    <w:rsid w:val="00E41729"/>
    <w:rsid w:val="00E41D88"/>
    <w:rsid w:val="00E50C90"/>
    <w:rsid w:val="00E55636"/>
    <w:rsid w:val="00E64CA1"/>
    <w:rsid w:val="00E6536B"/>
    <w:rsid w:val="00E66BAC"/>
    <w:rsid w:val="00E6760C"/>
    <w:rsid w:val="00E77AC8"/>
    <w:rsid w:val="00E81146"/>
    <w:rsid w:val="00E843E2"/>
    <w:rsid w:val="00E875C0"/>
    <w:rsid w:val="00E87BD3"/>
    <w:rsid w:val="00E87FE2"/>
    <w:rsid w:val="00E968E8"/>
    <w:rsid w:val="00E96A9C"/>
    <w:rsid w:val="00EA298C"/>
    <w:rsid w:val="00EA6619"/>
    <w:rsid w:val="00EB3C13"/>
    <w:rsid w:val="00EB4242"/>
    <w:rsid w:val="00EC3599"/>
    <w:rsid w:val="00EC48B2"/>
    <w:rsid w:val="00EC7E3B"/>
    <w:rsid w:val="00ED13C8"/>
    <w:rsid w:val="00ED4040"/>
    <w:rsid w:val="00ED6B6A"/>
    <w:rsid w:val="00EE16D0"/>
    <w:rsid w:val="00EF0696"/>
    <w:rsid w:val="00EF17E5"/>
    <w:rsid w:val="00EF3A5E"/>
    <w:rsid w:val="00F00E74"/>
    <w:rsid w:val="00F036C9"/>
    <w:rsid w:val="00F04DCA"/>
    <w:rsid w:val="00F11394"/>
    <w:rsid w:val="00F11602"/>
    <w:rsid w:val="00F244EC"/>
    <w:rsid w:val="00F276F9"/>
    <w:rsid w:val="00F30159"/>
    <w:rsid w:val="00F33373"/>
    <w:rsid w:val="00F4336A"/>
    <w:rsid w:val="00F46B06"/>
    <w:rsid w:val="00F562B8"/>
    <w:rsid w:val="00F640DE"/>
    <w:rsid w:val="00F706BB"/>
    <w:rsid w:val="00F7149B"/>
    <w:rsid w:val="00F73D5C"/>
    <w:rsid w:val="00F747A4"/>
    <w:rsid w:val="00F81038"/>
    <w:rsid w:val="00F8490A"/>
    <w:rsid w:val="00FA1ABB"/>
    <w:rsid w:val="00FB4817"/>
    <w:rsid w:val="00FD56E7"/>
    <w:rsid w:val="00FD7432"/>
    <w:rsid w:val="00FE1234"/>
    <w:rsid w:val="00FE712B"/>
    <w:rsid w:val="00FE7AAC"/>
    <w:rsid w:val="00FF28B7"/>
    <w:rsid w:val="00FF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663451"/>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663451"/>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B2805-3281-4851-B3FD-A0B990B48D48}">
  <ds:schemaRef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F341322-34FF-41AB-8967-67C460E6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53</TotalTime>
  <Pages>5</Pages>
  <Words>1047</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6995</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Schmidt, Donna J</cp:lastModifiedBy>
  <cp:revision>12</cp:revision>
  <cp:lastPrinted>2004-07-04T17:47:00Z</cp:lastPrinted>
  <dcterms:created xsi:type="dcterms:W3CDTF">2014-12-17T20:10:00Z</dcterms:created>
  <dcterms:modified xsi:type="dcterms:W3CDTF">2014-12-23T18:34:00Z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