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B8F" w:rsidRDefault="001D5B8F" w:rsidP="001D5B8F">
      <w:pPr>
        <w:jc w:val="center"/>
      </w:pPr>
      <w:bookmarkStart w:id="0" w:name="AuthorName"/>
    </w:p>
    <w:p w:rsidR="001D5B8F" w:rsidRDefault="001D5B8F" w:rsidP="001D5B8F">
      <w:pPr>
        <w:jc w:val="center"/>
      </w:pPr>
    </w:p>
    <w:p w:rsidR="001D5B8F" w:rsidRDefault="001D5B8F" w:rsidP="001D5B8F">
      <w:pPr>
        <w:jc w:val="center"/>
      </w:pPr>
    </w:p>
    <w:p w:rsidR="001D5B8F" w:rsidRPr="00FB4817" w:rsidRDefault="001D5B8F"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FB4817" w:rsidRDefault="00077144" w:rsidP="001D5B8F">
      <w:pPr>
        <w:jc w:val="center"/>
      </w:pPr>
    </w:p>
    <w:p w:rsidR="00077144" w:rsidRPr="007F02A9" w:rsidRDefault="00343882" w:rsidP="007F02A9">
      <w:pPr>
        <w:ind w:right="1170"/>
        <w:rPr>
          <w:b/>
          <w:iCs/>
          <w:sz w:val="32"/>
          <w:szCs w:val="32"/>
        </w:rPr>
      </w:pPr>
      <w:r>
        <w:rPr>
          <w:b/>
          <w:iCs/>
          <w:sz w:val="32"/>
          <w:szCs w:val="32"/>
        </w:rPr>
        <w:t xml:space="preserve">Change Request </w:t>
      </w:r>
    </w:p>
    <w:p w:rsidR="005620E6" w:rsidRPr="00CC323D" w:rsidRDefault="00CC323D" w:rsidP="007F02A9">
      <w:pPr>
        <w:ind w:right="1170"/>
        <w:rPr>
          <w:b/>
          <w:iCs/>
          <w:sz w:val="32"/>
          <w:szCs w:val="32"/>
        </w:rPr>
      </w:pPr>
      <w:r w:rsidRPr="00CC323D">
        <w:rPr>
          <w:b/>
          <w:iCs/>
          <w:sz w:val="32"/>
          <w:szCs w:val="32"/>
        </w:rPr>
        <w:t xml:space="preserve">Project: </w:t>
      </w:r>
      <w:r w:rsidR="00E77AC8" w:rsidRPr="00CC323D">
        <w:rPr>
          <w:b/>
          <w:iCs/>
          <w:sz w:val="32"/>
          <w:szCs w:val="32"/>
        </w:rPr>
        <w:t xml:space="preserve">eVal </w:t>
      </w:r>
      <w:r w:rsidR="00A54928">
        <w:rPr>
          <w:b/>
          <w:iCs/>
          <w:sz w:val="32"/>
          <w:szCs w:val="32"/>
        </w:rPr>
        <w:t>Implementation</w:t>
      </w:r>
      <w:r w:rsidR="008E001E" w:rsidRPr="00CC323D">
        <w:rPr>
          <w:b/>
          <w:iCs/>
          <w:sz w:val="32"/>
          <w:szCs w:val="32"/>
        </w:rPr>
        <w:t xml:space="preserve"> </w:t>
      </w:r>
    </w:p>
    <w:p w:rsidR="005620E6" w:rsidRPr="00A54928" w:rsidRDefault="005620E6" w:rsidP="00A54928">
      <w:pPr>
        <w:pBdr>
          <w:bottom w:val="single" w:sz="4" w:space="1" w:color="auto"/>
        </w:pBdr>
        <w:ind w:right="1170"/>
        <w:rPr>
          <w:b/>
          <w:iCs/>
          <w:color w:val="000000" w:themeColor="text1"/>
          <w:sz w:val="32"/>
          <w:szCs w:val="32"/>
        </w:rPr>
      </w:pPr>
    </w:p>
    <w:p w:rsidR="00A54928" w:rsidRDefault="00A54928" w:rsidP="007F02A9">
      <w:pPr>
        <w:ind w:right="1170"/>
        <w:rPr>
          <w:b/>
          <w:iCs/>
          <w:color w:val="000000" w:themeColor="text1"/>
          <w:sz w:val="32"/>
          <w:szCs w:val="32"/>
        </w:rPr>
      </w:pPr>
    </w:p>
    <w:p w:rsidR="00077144" w:rsidRDefault="00614023" w:rsidP="007F02A9">
      <w:pPr>
        <w:ind w:right="1170"/>
        <w:rPr>
          <w:b/>
          <w:iCs/>
          <w:color w:val="000000" w:themeColor="text1"/>
          <w:sz w:val="32"/>
          <w:szCs w:val="32"/>
        </w:rPr>
      </w:pPr>
      <w:r>
        <w:rPr>
          <w:b/>
          <w:iCs/>
          <w:color w:val="000000" w:themeColor="text1"/>
          <w:sz w:val="32"/>
          <w:szCs w:val="32"/>
        </w:rPr>
        <w:t xml:space="preserve">BRD </w:t>
      </w:r>
      <w:r w:rsidR="00CC323D" w:rsidRPr="00A54928">
        <w:rPr>
          <w:b/>
          <w:iCs/>
          <w:color w:val="000000" w:themeColor="text1"/>
          <w:sz w:val="32"/>
          <w:szCs w:val="32"/>
        </w:rPr>
        <w:t>Title:</w:t>
      </w:r>
      <w:r w:rsidR="003A7E6E" w:rsidRPr="00A54928">
        <w:rPr>
          <w:b/>
          <w:iCs/>
          <w:color w:val="000000" w:themeColor="text1"/>
          <w:sz w:val="32"/>
          <w:szCs w:val="32"/>
        </w:rPr>
        <w:t xml:space="preserve"> </w:t>
      </w:r>
      <w:r>
        <w:rPr>
          <w:b/>
          <w:iCs/>
          <w:color w:val="000000" w:themeColor="text1"/>
          <w:sz w:val="32"/>
          <w:szCs w:val="32"/>
        </w:rPr>
        <w:t>Observation lifecycle and  reporting</w:t>
      </w:r>
    </w:p>
    <w:p w:rsidR="00614023" w:rsidRPr="00A54928" w:rsidRDefault="00614023" w:rsidP="007F02A9">
      <w:pPr>
        <w:ind w:right="1170"/>
        <w:rPr>
          <w:b/>
          <w:iCs/>
          <w:color w:val="000000" w:themeColor="text1"/>
          <w:sz w:val="32"/>
          <w:szCs w:val="32"/>
        </w:rPr>
      </w:pPr>
    </w:p>
    <w:p w:rsidR="00CC323D" w:rsidRDefault="00614023" w:rsidP="007F02A9">
      <w:pPr>
        <w:ind w:right="1170"/>
        <w:rPr>
          <w:b/>
          <w:iCs/>
          <w:color w:val="000000" w:themeColor="text1"/>
          <w:sz w:val="32"/>
          <w:szCs w:val="32"/>
        </w:rPr>
      </w:pPr>
      <w:r>
        <w:rPr>
          <w:b/>
          <w:iCs/>
          <w:color w:val="000000" w:themeColor="text1"/>
          <w:sz w:val="32"/>
          <w:szCs w:val="32"/>
        </w:rPr>
        <w:t>BRD</w:t>
      </w:r>
      <w:r w:rsidR="00CC323D" w:rsidRPr="00A54928">
        <w:rPr>
          <w:b/>
          <w:iCs/>
          <w:color w:val="000000" w:themeColor="text1"/>
          <w:sz w:val="32"/>
          <w:szCs w:val="32"/>
        </w:rPr>
        <w:t>:</w:t>
      </w:r>
      <w:r w:rsidR="003A7E6E" w:rsidRPr="00A54928">
        <w:rPr>
          <w:b/>
          <w:iCs/>
          <w:color w:val="000000" w:themeColor="text1"/>
          <w:sz w:val="32"/>
          <w:szCs w:val="32"/>
        </w:rPr>
        <w:t xml:space="preserve"> #1</w:t>
      </w:r>
      <w:r>
        <w:rPr>
          <w:b/>
          <w:iCs/>
          <w:color w:val="000000" w:themeColor="text1"/>
          <w:sz w:val="32"/>
          <w:szCs w:val="32"/>
        </w:rPr>
        <w:t>9</w:t>
      </w:r>
    </w:p>
    <w:p w:rsidR="00A54928" w:rsidRPr="00A54928" w:rsidRDefault="00A54928" w:rsidP="007F02A9">
      <w:pPr>
        <w:ind w:right="1170"/>
        <w:rPr>
          <w:b/>
          <w:iCs/>
          <w:color w:val="000000" w:themeColor="text1"/>
          <w:sz w:val="32"/>
          <w:szCs w:val="32"/>
        </w:rPr>
      </w:pPr>
    </w:p>
    <w:p w:rsidR="00B15952" w:rsidRDefault="00B15952" w:rsidP="007F02A9">
      <w:pPr>
        <w:ind w:right="1170"/>
        <w:rPr>
          <w:b/>
          <w:iCs/>
          <w:color w:val="000000" w:themeColor="text1"/>
          <w:sz w:val="32"/>
          <w:szCs w:val="32"/>
        </w:rPr>
      </w:pPr>
    </w:p>
    <w:p w:rsidR="00B44375" w:rsidRPr="00967B70" w:rsidRDefault="00B44375" w:rsidP="00B44375">
      <w:pPr>
        <w:ind w:right="1170"/>
        <w:rPr>
          <w:b/>
          <w:iCs/>
          <w:sz w:val="32"/>
          <w:szCs w:val="32"/>
        </w:rPr>
      </w:pPr>
      <w:r w:rsidRPr="00967B70">
        <w:rPr>
          <w:b/>
          <w:iCs/>
          <w:sz w:val="32"/>
          <w:szCs w:val="32"/>
        </w:rPr>
        <w:t xml:space="preserve">Development required by: </w:t>
      </w:r>
    </w:p>
    <w:p w:rsidR="00B44375" w:rsidRPr="00967B70" w:rsidRDefault="00B44375" w:rsidP="00B44375">
      <w:pPr>
        <w:ind w:right="1170"/>
        <w:rPr>
          <w:b/>
          <w:i/>
          <w:iCs/>
          <w:sz w:val="32"/>
          <w:szCs w:val="32"/>
        </w:rPr>
      </w:pPr>
      <w:r>
        <w:rPr>
          <w:b/>
          <w:i/>
          <w:iCs/>
          <w:sz w:val="32"/>
          <w:szCs w:val="32"/>
        </w:rPr>
        <w:t xml:space="preserve">Washington </w:t>
      </w:r>
      <w:r w:rsidRPr="00967B70">
        <w:rPr>
          <w:b/>
          <w:i/>
          <w:iCs/>
          <w:sz w:val="32"/>
          <w:szCs w:val="32"/>
        </w:rPr>
        <w:t xml:space="preserve">State’s eVal </w:t>
      </w:r>
      <w:r>
        <w:rPr>
          <w:b/>
          <w:i/>
          <w:iCs/>
          <w:sz w:val="32"/>
          <w:szCs w:val="32"/>
        </w:rPr>
        <w:t>T</w:t>
      </w:r>
      <w:r w:rsidRPr="00967B70">
        <w:rPr>
          <w:b/>
          <w:i/>
          <w:iCs/>
          <w:sz w:val="32"/>
          <w:szCs w:val="32"/>
        </w:rPr>
        <w:t>eam</w:t>
      </w:r>
    </w:p>
    <w:p w:rsidR="00B44375" w:rsidRPr="00A54928" w:rsidRDefault="00B44375" w:rsidP="007F02A9">
      <w:pPr>
        <w:ind w:right="1170"/>
        <w:rPr>
          <w:b/>
          <w:iCs/>
          <w:color w:val="000000" w:themeColor="text1"/>
          <w:sz w:val="32"/>
          <w:szCs w:val="32"/>
        </w:rPr>
      </w:pPr>
    </w:p>
    <w:p w:rsidR="00077144" w:rsidRDefault="00077144" w:rsidP="001D5B8F">
      <w:pPr>
        <w:rPr>
          <w:lang w:val="en-GB"/>
        </w:rPr>
      </w:pPr>
    </w:p>
    <w:bookmarkEnd w:id="0"/>
    <w:p w:rsidR="00A54928" w:rsidRDefault="00A54928">
      <w:r>
        <w:br w:type="page"/>
      </w:r>
    </w:p>
    <w:p w:rsidR="00A54928" w:rsidRDefault="00A54928" w:rsidP="00A54928"/>
    <w:p w:rsidR="00A54928" w:rsidRDefault="00A54928" w:rsidP="00A54928"/>
    <w:p w:rsidR="00A54928" w:rsidRDefault="00A54928" w:rsidP="00A54928"/>
    <w:p w:rsidR="00A54928" w:rsidRDefault="00A54928" w:rsidP="00A54928">
      <w:r w:rsidRPr="00490998">
        <w:rPr>
          <w:rFonts w:cs="Arial"/>
          <w:b/>
          <w:bCs/>
          <w:kern w:val="32"/>
          <w:sz w:val="32"/>
          <w:szCs w:val="32"/>
          <w:lang w:val="en-GB"/>
        </w:rPr>
        <w:t>BACKGROUND</w:t>
      </w:r>
    </w:p>
    <w:p w:rsidR="00A54928" w:rsidRDefault="00A54928" w:rsidP="00A54928"/>
    <w:p w:rsidR="00A54928" w:rsidRDefault="00A54928" w:rsidP="00A54928">
      <w:r>
        <w:t xml:space="preserve">This </w:t>
      </w:r>
      <w:r w:rsidR="00614023">
        <w:t xml:space="preserve">BRD </w:t>
      </w:r>
      <w:r w:rsidR="004F63D1">
        <w:t xml:space="preserve">refers to the set of </w:t>
      </w:r>
      <w:r>
        <w:t>Business Requirement Document</w:t>
      </w:r>
      <w:r w:rsidR="004F63D1">
        <w:t>s</w:t>
      </w:r>
      <w:r>
        <w:t xml:space="preserve"> (BRD) that are part of the Seattle School District’s 2015 implementation of Washington State’s online evaluation tool, eVal.  eVal is an online tool developed by the State to support teacher professional growth in alignment with Washington State’s mandates for TPEP (Teacher Principal Evaluation Process).  The project goal is to successfully integrate this tool  into the District’s TPEP activities, adhering to the District’s obligations of its CBA and to the spirit of the TPEP process which is aimed at fostering professional growth through collaborative, face-to-face discussions between teacher and evaluator.</w:t>
      </w:r>
    </w:p>
    <w:p w:rsidR="00A54928" w:rsidRDefault="00A54928" w:rsidP="00A54928"/>
    <w:p w:rsidR="00A54928" w:rsidRDefault="00A54928" w:rsidP="00A54928">
      <w:r>
        <w:t>BRDs related to eVal functionality have been submitted to the State’s eVal development team.  BRDs related to back-office activities which require District development have been submitted to DOTs (the District’s development team).</w:t>
      </w:r>
      <w:r w:rsidR="00E96A9C">
        <w:t xml:space="preserve">  Where noted, several of these documents require review and collaboration from both teams.</w:t>
      </w:r>
    </w:p>
    <w:p w:rsidR="004F63D1" w:rsidRDefault="004F63D1" w:rsidP="00A54928"/>
    <w:p w:rsidR="004F63D1" w:rsidRPr="004F63D1" w:rsidRDefault="004F63D1" w:rsidP="00A54928">
      <w:r>
        <w:t xml:space="preserve">Change Requests for this project refer to </w:t>
      </w:r>
      <w:r>
        <w:rPr>
          <w:i/>
        </w:rPr>
        <w:t>new</w:t>
      </w:r>
      <w:r>
        <w:t xml:space="preserve"> or </w:t>
      </w:r>
      <w:r>
        <w:rPr>
          <w:i/>
        </w:rPr>
        <w:t>modified</w:t>
      </w:r>
      <w:r>
        <w:t xml:space="preserve"> requirements that have arisen after the original BRDs were approved and which have received approval to be included in the project scope.</w:t>
      </w:r>
    </w:p>
    <w:p w:rsidR="00A54928" w:rsidRDefault="00A54928" w:rsidP="00A54928"/>
    <w:p w:rsidR="00A54928" w:rsidRPr="004E75FD" w:rsidRDefault="00A54928" w:rsidP="00A54928">
      <w:pPr>
        <w:rPr>
          <w:i/>
        </w:rPr>
      </w:pPr>
      <w:r w:rsidRPr="00031B0B">
        <w:rPr>
          <w:i/>
        </w:rPr>
        <w:t>For further information, please see</w:t>
      </w:r>
      <w:r w:rsidR="004E75FD">
        <w:rPr>
          <w:i/>
        </w:rPr>
        <w:t xml:space="preserve"> Excel file “</w:t>
      </w:r>
      <w:r w:rsidR="004E75FD" w:rsidRPr="004E75FD">
        <w:rPr>
          <w:i/>
        </w:rPr>
        <w:t>eVal Seattle - Enhancements and BRD Index</w:t>
      </w:r>
      <w:r w:rsidR="004E75FD">
        <w:rPr>
          <w:i/>
        </w:rPr>
        <w:t>”</w:t>
      </w:r>
      <w:r w:rsidR="004E75FD" w:rsidRPr="004E75FD">
        <w:rPr>
          <w:i/>
        </w:rPr>
        <w:t xml:space="preserve"> </w:t>
      </w:r>
      <w:r w:rsidR="004E75FD">
        <w:rPr>
          <w:i/>
        </w:rPr>
        <w:t xml:space="preserve">which contains listing of each enhancement that </w:t>
      </w:r>
      <w:r w:rsidR="006C6738">
        <w:rPr>
          <w:i/>
        </w:rPr>
        <w:t>has been</w:t>
      </w:r>
      <w:r w:rsidR="004E75FD">
        <w:rPr>
          <w:i/>
        </w:rPr>
        <w:t xml:space="preserve"> approved for development and the </w:t>
      </w:r>
      <w:r w:rsidR="006C6738">
        <w:rPr>
          <w:i/>
        </w:rPr>
        <w:t>related</w:t>
      </w:r>
      <w:r w:rsidR="004E75FD">
        <w:rPr>
          <w:i/>
        </w:rPr>
        <w:t xml:space="preserve"> BRD and assigned development team.</w:t>
      </w:r>
    </w:p>
    <w:p w:rsidR="007F02A9" w:rsidRDefault="007F02A9" w:rsidP="004A0E07">
      <w:pPr>
        <w:rPr>
          <w:lang w:val="en-GB"/>
        </w:rPr>
      </w:pPr>
    </w:p>
    <w:p w:rsidR="007A3966" w:rsidRDefault="007A3966" w:rsidP="007A3966">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7A3966" w:rsidRPr="0058493F" w:rsidTr="00921519">
        <w:trPr>
          <w:trHeight w:val="398"/>
          <w:tblHeader/>
        </w:trPr>
        <w:tc>
          <w:tcPr>
            <w:tcW w:w="1470" w:type="dxa"/>
            <w:tcBorders>
              <w:top w:val="single" w:sz="6" w:space="0" w:color="auto"/>
              <w:left w:val="single" w:sz="6" w:space="0" w:color="auto"/>
              <w:bottom w:val="single" w:sz="6" w:space="0" w:color="auto"/>
            </w:tcBorders>
            <w:shd w:val="clear" w:color="auto" w:fill="000000"/>
          </w:tcPr>
          <w:p w:rsidR="007A3966" w:rsidRPr="00C264DA" w:rsidRDefault="007A3966" w:rsidP="00525CA3">
            <w:pPr>
              <w:pStyle w:val="TableHeading"/>
              <w:jc w:val="center"/>
              <w:rPr>
                <w:bCs/>
                <w:sz w:val="16"/>
                <w:szCs w:val="16"/>
              </w:rPr>
            </w:pPr>
            <w:r w:rsidRPr="00C264DA">
              <w:rPr>
                <w:bCs/>
                <w:sz w:val="16"/>
                <w:szCs w:val="16"/>
              </w:rPr>
              <w:t>Version No.</w:t>
            </w:r>
          </w:p>
        </w:tc>
        <w:tc>
          <w:tcPr>
            <w:tcW w:w="1573" w:type="dxa"/>
            <w:tcBorders>
              <w:top w:val="single" w:sz="6" w:space="0" w:color="auto"/>
              <w:bottom w:val="single" w:sz="6" w:space="0" w:color="auto"/>
            </w:tcBorders>
            <w:shd w:val="clear" w:color="auto" w:fill="000000"/>
          </w:tcPr>
          <w:p w:rsidR="007A3966" w:rsidRPr="00C264DA" w:rsidRDefault="007A3966" w:rsidP="00525CA3">
            <w:pPr>
              <w:pStyle w:val="TableHeading"/>
              <w:jc w:val="center"/>
              <w:rPr>
                <w:bCs/>
                <w:sz w:val="16"/>
                <w:szCs w:val="16"/>
              </w:rPr>
            </w:pPr>
            <w:r w:rsidRPr="00C264DA">
              <w:rPr>
                <w:bCs/>
                <w:sz w:val="16"/>
                <w:szCs w:val="16"/>
              </w:rPr>
              <w:t>Date</w:t>
            </w:r>
          </w:p>
        </w:tc>
        <w:tc>
          <w:tcPr>
            <w:tcW w:w="1470" w:type="dxa"/>
            <w:tcBorders>
              <w:top w:val="single" w:sz="6" w:space="0" w:color="auto"/>
              <w:bottom w:val="single" w:sz="6" w:space="0" w:color="auto"/>
            </w:tcBorders>
            <w:shd w:val="clear" w:color="auto" w:fill="000000"/>
          </w:tcPr>
          <w:p w:rsidR="007A3966" w:rsidRPr="00C264DA" w:rsidRDefault="007A3966" w:rsidP="00921519">
            <w:pPr>
              <w:pStyle w:val="TableHeading"/>
              <w:jc w:val="center"/>
              <w:rPr>
                <w:bCs/>
                <w:sz w:val="16"/>
                <w:szCs w:val="16"/>
              </w:rPr>
            </w:pPr>
            <w:r w:rsidRPr="00C264DA">
              <w:rPr>
                <w:bCs/>
                <w:sz w:val="16"/>
                <w:szCs w:val="16"/>
              </w:rPr>
              <w:t xml:space="preserve">Name </w:t>
            </w:r>
          </w:p>
        </w:tc>
        <w:tc>
          <w:tcPr>
            <w:tcW w:w="5601" w:type="dxa"/>
            <w:tcBorders>
              <w:top w:val="single" w:sz="6" w:space="0" w:color="auto"/>
              <w:bottom w:val="single" w:sz="6" w:space="0" w:color="auto"/>
              <w:right w:val="single" w:sz="6" w:space="0" w:color="auto"/>
            </w:tcBorders>
            <w:shd w:val="clear" w:color="auto" w:fill="000000"/>
          </w:tcPr>
          <w:p w:rsidR="007A3966" w:rsidRPr="00C264DA" w:rsidRDefault="007A3966" w:rsidP="00921519">
            <w:pPr>
              <w:pStyle w:val="TableHeading"/>
              <w:jc w:val="center"/>
              <w:rPr>
                <w:bCs/>
                <w:sz w:val="16"/>
                <w:szCs w:val="16"/>
              </w:rPr>
            </w:pPr>
            <w:r w:rsidRPr="00C264DA">
              <w:rPr>
                <w:bCs/>
                <w:sz w:val="16"/>
                <w:szCs w:val="16"/>
              </w:rPr>
              <w:t>Description of Change</w:t>
            </w:r>
          </w:p>
        </w:tc>
      </w:tr>
      <w:tr w:rsidR="007A3966" w:rsidRPr="0058493F" w:rsidTr="00921519">
        <w:trPr>
          <w:trHeight w:val="297"/>
        </w:trPr>
        <w:tc>
          <w:tcPr>
            <w:tcW w:w="1470" w:type="dxa"/>
            <w:tcBorders>
              <w:top w:val="single" w:sz="6" w:space="0" w:color="auto"/>
            </w:tcBorders>
          </w:tcPr>
          <w:p w:rsidR="007A3966" w:rsidRPr="0058493F" w:rsidRDefault="00814163" w:rsidP="00525CA3">
            <w:pPr>
              <w:pStyle w:val="TableCell"/>
              <w:jc w:val="center"/>
              <w:rPr>
                <w:sz w:val="16"/>
                <w:szCs w:val="16"/>
              </w:rPr>
            </w:pPr>
            <w:r>
              <w:rPr>
                <w:sz w:val="16"/>
                <w:szCs w:val="16"/>
              </w:rPr>
              <w:t>1</w:t>
            </w:r>
          </w:p>
        </w:tc>
        <w:tc>
          <w:tcPr>
            <w:tcW w:w="1573" w:type="dxa"/>
            <w:tcBorders>
              <w:top w:val="single" w:sz="6" w:space="0" w:color="auto"/>
            </w:tcBorders>
          </w:tcPr>
          <w:p w:rsidR="007A3966" w:rsidRPr="0058493F" w:rsidRDefault="00A43151" w:rsidP="00525CA3">
            <w:pPr>
              <w:pStyle w:val="TableCell"/>
              <w:jc w:val="center"/>
              <w:rPr>
                <w:sz w:val="16"/>
                <w:szCs w:val="16"/>
              </w:rPr>
            </w:pPr>
            <w:r>
              <w:rPr>
                <w:sz w:val="16"/>
                <w:szCs w:val="16"/>
              </w:rPr>
              <w:t>3/3/15</w:t>
            </w:r>
          </w:p>
        </w:tc>
        <w:tc>
          <w:tcPr>
            <w:tcW w:w="1470" w:type="dxa"/>
            <w:tcBorders>
              <w:top w:val="single" w:sz="6" w:space="0" w:color="auto"/>
            </w:tcBorders>
          </w:tcPr>
          <w:p w:rsidR="007A3966" w:rsidRPr="0058493F" w:rsidRDefault="00814163" w:rsidP="001218E2">
            <w:pPr>
              <w:pStyle w:val="TableCell"/>
              <w:rPr>
                <w:sz w:val="16"/>
                <w:szCs w:val="16"/>
              </w:rPr>
            </w:pPr>
            <w:r>
              <w:rPr>
                <w:sz w:val="16"/>
                <w:szCs w:val="16"/>
              </w:rPr>
              <w:t>Donna Schmidt</w:t>
            </w:r>
          </w:p>
        </w:tc>
        <w:tc>
          <w:tcPr>
            <w:tcW w:w="5601" w:type="dxa"/>
            <w:tcBorders>
              <w:top w:val="single" w:sz="6" w:space="0" w:color="auto"/>
            </w:tcBorders>
          </w:tcPr>
          <w:p w:rsidR="007A3966" w:rsidRPr="0058493F" w:rsidRDefault="00A43151" w:rsidP="00814163">
            <w:pPr>
              <w:pStyle w:val="TableCell"/>
              <w:rPr>
                <w:sz w:val="16"/>
                <w:szCs w:val="16"/>
              </w:rPr>
            </w:pPr>
            <w:r>
              <w:rPr>
                <w:sz w:val="16"/>
                <w:szCs w:val="16"/>
              </w:rPr>
              <w:t>Baseline</w:t>
            </w:r>
          </w:p>
        </w:tc>
      </w:tr>
      <w:tr w:rsidR="007A3966" w:rsidRPr="00037425" w:rsidTr="00921519">
        <w:trPr>
          <w:trHeight w:val="349"/>
        </w:trPr>
        <w:tc>
          <w:tcPr>
            <w:tcW w:w="1470" w:type="dxa"/>
          </w:tcPr>
          <w:p w:rsidR="007A3966" w:rsidRPr="0058493F" w:rsidRDefault="00A43151" w:rsidP="00525CA3">
            <w:pPr>
              <w:pStyle w:val="TableCell"/>
              <w:jc w:val="center"/>
              <w:rPr>
                <w:sz w:val="16"/>
                <w:szCs w:val="16"/>
              </w:rPr>
            </w:pPr>
            <w:r>
              <w:rPr>
                <w:sz w:val="16"/>
                <w:szCs w:val="16"/>
              </w:rPr>
              <w:t>2</w:t>
            </w:r>
          </w:p>
        </w:tc>
        <w:tc>
          <w:tcPr>
            <w:tcW w:w="1573" w:type="dxa"/>
          </w:tcPr>
          <w:p w:rsidR="007A3966" w:rsidRPr="0058493F" w:rsidRDefault="00A43151" w:rsidP="00525CA3">
            <w:pPr>
              <w:pStyle w:val="TableCell"/>
              <w:jc w:val="center"/>
              <w:rPr>
                <w:sz w:val="16"/>
                <w:szCs w:val="16"/>
              </w:rPr>
            </w:pPr>
            <w:r>
              <w:rPr>
                <w:sz w:val="16"/>
                <w:szCs w:val="16"/>
              </w:rPr>
              <w:t>3/6/15</w:t>
            </w:r>
          </w:p>
        </w:tc>
        <w:tc>
          <w:tcPr>
            <w:tcW w:w="1470" w:type="dxa"/>
          </w:tcPr>
          <w:p w:rsidR="007A3966" w:rsidRPr="0058493F" w:rsidRDefault="00A43151" w:rsidP="00921519">
            <w:pPr>
              <w:pStyle w:val="TableCell"/>
              <w:rPr>
                <w:sz w:val="16"/>
                <w:szCs w:val="16"/>
              </w:rPr>
            </w:pPr>
            <w:r>
              <w:rPr>
                <w:sz w:val="16"/>
                <w:szCs w:val="16"/>
              </w:rPr>
              <w:t>Donna Schmidt</w:t>
            </w:r>
          </w:p>
        </w:tc>
        <w:tc>
          <w:tcPr>
            <w:tcW w:w="5601" w:type="dxa"/>
          </w:tcPr>
          <w:p w:rsidR="007A3966" w:rsidRPr="00037425" w:rsidRDefault="00A43151" w:rsidP="00921519">
            <w:pPr>
              <w:pStyle w:val="TableCell"/>
              <w:rPr>
                <w:sz w:val="16"/>
                <w:szCs w:val="16"/>
              </w:rPr>
            </w:pPr>
            <w:r>
              <w:rPr>
                <w:sz w:val="16"/>
                <w:szCs w:val="16"/>
              </w:rPr>
              <w:t>Changes  per discussion  with Anne</w:t>
            </w:r>
          </w:p>
        </w:tc>
      </w:tr>
      <w:tr w:rsidR="001218E2" w:rsidRPr="00037425" w:rsidTr="00921519">
        <w:trPr>
          <w:trHeight w:val="349"/>
        </w:trPr>
        <w:tc>
          <w:tcPr>
            <w:tcW w:w="1470" w:type="dxa"/>
          </w:tcPr>
          <w:p w:rsidR="001218E2" w:rsidRDefault="001218E2" w:rsidP="00525CA3">
            <w:pPr>
              <w:pStyle w:val="TableCell"/>
              <w:jc w:val="center"/>
              <w:rPr>
                <w:sz w:val="16"/>
                <w:szCs w:val="16"/>
              </w:rPr>
            </w:pPr>
          </w:p>
        </w:tc>
        <w:tc>
          <w:tcPr>
            <w:tcW w:w="1573" w:type="dxa"/>
          </w:tcPr>
          <w:p w:rsidR="001218E2" w:rsidRDefault="001218E2" w:rsidP="00525CA3">
            <w:pPr>
              <w:pStyle w:val="TableCell"/>
              <w:jc w:val="center"/>
              <w:rPr>
                <w:sz w:val="16"/>
                <w:szCs w:val="16"/>
              </w:rPr>
            </w:pPr>
          </w:p>
        </w:tc>
        <w:tc>
          <w:tcPr>
            <w:tcW w:w="1470" w:type="dxa"/>
          </w:tcPr>
          <w:p w:rsidR="001218E2" w:rsidRDefault="001218E2" w:rsidP="00921519">
            <w:pPr>
              <w:pStyle w:val="TableCell"/>
              <w:rPr>
                <w:sz w:val="16"/>
                <w:szCs w:val="16"/>
              </w:rPr>
            </w:pPr>
          </w:p>
        </w:tc>
        <w:tc>
          <w:tcPr>
            <w:tcW w:w="5601" w:type="dxa"/>
          </w:tcPr>
          <w:p w:rsidR="001218E2" w:rsidRDefault="001218E2" w:rsidP="00921519">
            <w:pPr>
              <w:pStyle w:val="TableCell"/>
              <w:rPr>
                <w:sz w:val="16"/>
                <w:szCs w:val="16"/>
              </w:rPr>
            </w:pPr>
          </w:p>
        </w:tc>
      </w:tr>
    </w:tbl>
    <w:p w:rsidR="007A3966" w:rsidRPr="00953067" w:rsidRDefault="007A3966" w:rsidP="007A3966">
      <w:pPr>
        <w:pStyle w:val="Body"/>
      </w:pPr>
    </w:p>
    <w:p w:rsidR="007A3966" w:rsidRDefault="007A3966" w:rsidP="007A3966">
      <w:pPr>
        <w:rPr>
          <w:lang w:val="en-GB"/>
        </w:rPr>
      </w:pPr>
    </w:p>
    <w:p w:rsidR="007A3966" w:rsidRDefault="007A3966" w:rsidP="007A3966">
      <w:pPr>
        <w:rPr>
          <w:lang w:val="en-GB"/>
        </w:rPr>
      </w:pPr>
    </w:p>
    <w:p w:rsidR="00537EDF" w:rsidRDefault="00537EDF">
      <w:pPr>
        <w:rPr>
          <w:lang w:val="en-GB"/>
        </w:rPr>
      </w:pPr>
      <w:r>
        <w:rPr>
          <w:lang w:val="en-GB"/>
        </w:rPr>
        <w:br w:type="page"/>
      </w:r>
    </w:p>
    <w:p w:rsidR="007A3966" w:rsidRPr="007A3966" w:rsidRDefault="007A3966" w:rsidP="007A3966">
      <w:pPr>
        <w:rPr>
          <w:lang w:val="en-GB"/>
        </w:rPr>
        <w:sectPr w:rsidR="007A3966" w:rsidRPr="007A3966" w:rsidSect="00E968E8">
          <w:headerReference w:type="default" r:id="rId12"/>
          <w:footerReference w:type="default" r:id="rId13"/>
          <w:pgSz w:w="12240" w:h="15840"/>
          <w:pgMar w:top="1440" w:right="1080" w:bottom="1440" w:left="1080" w:header="720" w:footer="720" w:gutter="245"/>
          <w:cols w:space="720"/>
          <w:docGrid w:linePitch="360"/>
        </w:sectPr>
      </w:pPr>
    </w:p>
    <w:p w:rsidR="00125811" w:rsidRDefault="003D3B85" w:rsidP="00125811">
      <w:pPr>
        <w:pStyle w:val="Heading1"/>
        <w:numPr>
          <w:ilvl w:val="0"/>
          <w:numId w:val="3"/>
        </w:numPr>
      </w:pPr>
      <w:bookmarkStart w:id="1" w:name="_Toc400972744"/>
      <w:r>
        <w:rPr>
          <w:lang w:val="en-GB"/>
        </w:rPr>
        <w:lastRenderedPageBreak/>
        <w:t xml:space="preserve">High Level </w:t>
      </w:r>
      <w:r w:rsidR="00E04B42">
        <w:rPr>
          <w:lang w:val="en-GB"/>
        </w:rPr>
        <w:t>Change</w:t>
      </w:r>
      <w:r>
        <w:rPr>
          <w:lang w:val="en-GB"/>
        </w:rPr>
        <w:t xml:space="preserve"> Description</w:t>
      </w:r>
      <w:bookmarkEnd w:id="1"/>
      <w:r>
        <w:rPr>
          <w:lang w:val="en-GB"/>
        </w:rPr>
        <w:t xml:space="preserve"> </w:t>
      </w:r>
    </w:p>
    <w:p w:rsidR="007D1BFF" w:rsidRPr="00E50C90" w:rsidRDefault="00614023" w:rsidP="007D1BFF">
      <w:pPr>
        <w:ind w:left="360"/>
        <w:rPr>
          <w:lang w:val="en-GB"/>
        </w:rPr>
      </w:pPr>
      <w:r>
        <w:rPr>
          <w:rFonts w:cs="Arial"/>
        </w:rPr>
        <w:t>This BRD outlines suggested business flow of the observation process related to how it is presented in eVal and outlines requirements for observation reports.</w:t>
      </w:r>
    </w:p>
    <w:p w:rsidR="00252872" w:rsidRDefault="00252872" w:rsidP="00E50C90">
      <w:pPr>
        <w:pStyle w:val="Heading1"/>
        <w:numPr>
          <w:ilvl w:val="0"/>
          <w:numId w:val="3"/>
        </w:numPr>
        <w:rPr>
          <w:lang w:val="en-GB"/>
        </w:rPr>
      </w:pPr>
      <w:bookmarkStart w:id="2" w:name="_Toc400972745"/>
      <w:r>
        <w:rPr>
          <w:lang w:val="en-GB"/>
        </w:rPr>
        <w:t>Business Objective</w:t>
      </w:r>
      <w:bookmarkEnd w:id="2"/>
    </w:p>
    <w:p w:rsidR="00B64F6C" w:rsidRPr="00E50C90" w:rsidRDefault="00614023" w:rsidP="001F1BA5">
      <w:pPr>
        <w:ind w:left="360"/>
        <w:rPr>
          <w:lang w:val="en-GB"/>
        </w:rPr>
      </w:pPr>
      <w:r>
        <w:rPr>
          <w:lang w:val="en-GB"/>
        </w:rPr>
        <w:t>The objective is to find a straight forward method to match eVal functionality to Seattle’s TPEP process, particularly around observation reports which are a contractual obligation and for which we would like to leverage eVal and move  to a paperless process.  To that end,  these  requirements have the objective of (1) Allowing users to print anything they wish regarding an observation at any time; while still having the ability to (2) Define a specific report as the finished, final observation report which can not be altered in any way and which can be easily identified as the formal observation report by either party using the tool  or when seeing it in printed format.</w:t>
      </w:r>
    </w:p>
    <w:p w:rsidR="00B62769" w:rsidRDefault="00B62769" w:rsidP="00DA081A">
      <w:bookmarkStart w:id="3" w:name="_Toc100563404"/>
      <w:bookmarkStart w:id="4" w:name="_Toc76183401"/>
      <w:bookmarkStart w:id="5" w:name="_Toc106442809"/>
      <w:bookmarkEnd w:id="3"/>
    </w:p>
    <w:p w:rsidR="00252872" w:rsidRDefault="00DA081A" w:rsidP="00B64F6C">
      <w:pPr>
        <w:pStyle w:val="Heading1"/>
        <w:numPr>
          <w:ilvl w:val="0"/>
          <w:numId w:val="3"/>
        </w:numPr>
        <w:rPr>
          <w:lang w:val="en-GB"/>
        </w:rPr>
      </w:pPr>
      <w:bookmarkStart w:id="6" w:name="_Toc100563406"/>
      <w:bookmarkStart w:id="7" w:name="_Toc400972746"/>
      <w:bookmarkEnd w:id="4"/>
      <w:bookmarkEnd w:id="5"/>
      <w:bookmarkEnd w:id="6"/>
      <w:r>
        <w:rPr>
          <w:lang w:val="en-GB"/>
        </w:rPr>
        <w:t xml:space="preserve">Business </w:t>
      </w:r>
      <w:r w:rsidR="00252872">
        <w:rPr>
          <w:lang w:val="en-GB"/>
        </w:rPr>
        <w:t>p</w:t>
      </w:r>
      <w:r>
        <w:rPr>
          <w:lang w:val="en-GB"/>
        </w:rPr>
        <w:t>rocesses</w:t>
      </w:r>
      <w:r w:rsidR="00252872">
        <w:rPr>
          <w:lang w:val="en-GB"/>
        </w:rPr>
        <w:t xml:space="preserve"> impacted by the change</w:t>
      </w:r>
      <w:bookmarkEnd w:id="7"/>
    </w:p>
    <w:p w:rsidR="007D1BFF" w:rsidRDefault="007D1BFF" w:rsidP="007D1BFF">
      <w:pPr>
        <w:ind w:left="360"/>
        <w:rPr>
          <w:lang w:val="en-GB"/>
        </w:rPr>
      </w:pPr>
    </w:p>
    <w:p w:rsidR="006D74AF" w:rsidRDefault="006D74AF" w:rsidP="007D1BFF">
      <w:pPr>
        <w:ind w:left="360"/>
        <w:rPr>
          <w:lang w:val="en-GB"/>
        </w:rPr>
      </w:pPr>
    </w:p>
    <w:p w:rsidR="006D74AF" w:rsidRDefault="006D74AF" w:rsidP="007D1BFF">
      <w:pPr>
        <w:ind w:left="360"/>
        <w:rPr>
          <w:lang w:val="en-GB"/>
        </w:rPr>
      </w:pPr>
      <w:r>
        <w:rPr>
          <w:lang w:val="en-GB"/>
        </w:rPr>
        <w:t>The following is how the observation process might flow using eVal:</w:t>
      </w:r>
    </w:p>
    <w:p w:rsidR="006D74AF" w:rsidRDefault="006D74AF" w:rsidP="007D1BFF">
      <w:pPr>
        <w:ind w:left="360"/>
        <w:rPr>
          <w:lang w:val="en-GB"/>
        </w:rPr>
      </w:pPr>
    </w:p>
    <w:p w:rsidR="006D74AF" w:rsidRDefault="006D74AF" w:rsidP="006D74AF">
      <w:pPr>
        <w:pStyle w:val="ListParagraph"/>
        <w:numPr>
          <w:ilvl w:val="0"/>
          <w:numId w:val="45"/>
        </w:numPr>
        <w:rPr>
          <w:lang w:val="en-GB"/>
        </w:rPr>
      </w:pPr>
      <w:r>
        <w:rPr>
          <w:lang w:val="en-GB"/>
        </w:rPr>
        <w:t xml:space="preserve">Evaluator triggers an observation by clicking on either the informal or formal icon.  </w:t>
      </w:r>
    </w:p>
    <w:p w:rsidR="005C77A0" w:rsidRDefault="005C77A0" w:rsidP="005C77A0">
      <w:pPr>
        <w:pStyle w:val="ListParagraph"/>
        <w:numPr>
          <w:ilvl w:val="1"/>
          <w:numId w:val="45"/>
        </w:numPr>
        <w:rPr>
          <w:lang w:val="en-GB"/>
        </w:rPr>
      </w:pPr>
      <w:r>
        <w:rPr>
          <w:lang w:val="en-GB"/>
        </w:rPr>
        <w:t xml:space="preserve">The evaluator may or may not choose to add a date or a location to the observation within eVal.  </w:t>
      </w:r>
    </w:p>
    <w:p w:rsidR="006D74AF" w:rsidRDefault="006D74AF" w:rsidP="006D74AF">
      <w:pPr>
        <w:pStyle w:val="ListParagraph"/>
        <w:numPr>
          <w:ilvl w:val="1"/>
          <w:numId w:val="45"/>
        </w:numPr>
        <w:rPr>
          <w:lang w:val="en-GB"/>
        </w:rPr>
      </w:pPr>
      <w:r>
        <w:rPr>
          <w:lang w:val="en-GB"/>
        </w:rPr>
        <w:t xml:space="preserve">The evaluator will use Outlook as the official tool for scheduling the evaluation with the teacher.  </w:t>
      </w:r>
    </w:p>
    <w:p w:rsidR="005C77A0" w:rsidRDefault="005C77A0" w:rsidP="006D74AF">
      <w:pPr>
        <w:pStyle w:val="ListParagraph"/>
        <w:numPr>
          <w:ilvl w:val="1"/>
          <w:numId w:val="45"/>
        </w:numPr>
        <w:rPr>
          <w:lang w:val="en-GB"/>
        </w:rPr>
      </w:pPr>
      <w:r>
        <w:rPr>
          <w:lang w:val="en-GB"/>
        </w:rPr>
        <w:t>The evaluator will use Outlook and face-to-face communication to convey observation logistics to the teacher,  including  when the report is ready for them  to view</w:t>
      </w:r>
    </w:p>
    <w:p w:rsidR="005C77A0" w:rsidRPr="005C77A0" w:rsidRDefault="00070415" w:rsidP="005C77A0">
      <w:pPr>
        <w:pStyle w:val="ListParagraph"/>
        <w:numPr>
          <w:ilvl w:val="1"/>
          <w:numId w:val="45"/>
        </w:numPr>
        <w:rPr>
          <w:lang w:val="en-GB"/>
        </w:rPr>
      </w:pPr>
      <w:r>
        <w:rPr>
          <w:lang w:val="en-GB"/>
        </w:rPr>
        <w:t>There is no substantive difference in functionality whether the evaluator chooses Informal or Formal (both are included in the number of observations; both are included as options for the Summative Evaluation Report)</w:t>
      </w:r>
    </w:p>
    <w:p w:rsidR="006D74AF" w:rsidRDefault="00070415" w:rsidP="006D74AF">
      <w:pPr>
        <w:pStyle w:val="ListParagraph"/>
        <w:numPr>
          <w:ilvl w:val="0"/>
          <w:numId w:val="45"/>
        </w:numPr>
        <w:rPr>
          <w:lang w:val="en-GB"/>
        </w:rPr>
      </w:pPr>
      <w:r>
        <w:rPr>
          <w:lang w:val="en-GB"/>
        </w:rPr>
        <w:t xml:space="preserve">The Evaluator will record the length of the observation (or the start and finish time) within their Notes Editor.  </w:t>
      </w:r>
    </w:p>
    <w:p w:rsidR="00070415" w:rsidRDefault="00070415" w:rsidP="00070415">
      <w:pPr>
        <w:pStyle w:val="ListParagraph"/>
        <w:numPr>
          <w:ilvl w:val="1"/>
          <w:numId w:val="45"/>
        </w:numPr>
        <w:rPr>
          <w:lang w:val="en-GB"/>
        </w:rPr>
      </w:pPr>
      <w:r>
        <w:rPr>
          <w:lang w:val="en-GB"/>
        </w:rPr>
        <w:t>The eVal tool is not expected enforce this; Seattle will provide business processes to the Evaluators with this expectation.</w:t>
      </w:r>
    </w:p>
    <w:p w:rsidR="005C77A0" w:rsidRDefault="005C77A0" w:rsidP="005C77A0">
      <w:pPr>
        <w:pStyle w:val="ListParagraph"/>
        <w:numPr>
          <w:ilvl w:val="0"/>
          <w:numId w:val="45"/>
        </w:numPr>
        <w:rPr>
          <w:lang w:val="en-GB"/>
        </w:rPr>
      </w:pPr>
      <w:r>
        <w:rPr>
          <w:lang w:val="en-GB"/>
        </w:rPr>
        <w:t xml:space="preserve">Once the observation activities are completed and information collected, the Evaluator will </w:t>
      </w:r>
      <w:r w:rsidR="0062226A">
        <w:rPr>
          <w:lang w:val="en-GB"/>
        </w:rPr>
        <w:t>configure the formal Observation Report.  Once the report is complete, they will  lock the observation.  At that  point, the report is static and cannot change.  It is also visible to the teacher from the teacher’s eVal session.</w:t>
      </w:r>
      <w:r>
        <w:rPr>
          <w:lang w:val="en-GB"/>
        </w:rPr>
        <w:t xml:space="preserve">  </w:t>
      </w:r>
    </w:p>
    <w:p w:rsidR="002849CB" w:rsidRDefault="0062226A" w:rsidP="002849CB">
      <w:pPr>
        <w:pStyle w:val="ListParagraph"/>
        <w:numPr>
          <w:ilvl w:val="1"/>
          <w:numId w:val="45"/>
        </w:numPr>
        <w:rPr>
          <w:lang w:val="en-GB"/>
        </w:rPr>
      </w:pPr>
      <w:r>
        <w:rPr>
          <w:lang w:val="en-GB"/>
        </w:rPr>
        <w:t xml:space="preserve">This report will meet Seattle’s </w:t>
      </w:r>
      <w:r w:rsidR="008C32DE">
        <w:rPr>
          <w:lang w:val="en-GB"/>
        </w:rPr>
        <w:t>contract</w:t>
      </w:r>
      <w:r>
        <w:rPr>
          <w:lang w:val="en-GB"/>
        </w:rPr>
        <w:t xml:space="preserve"> obligation that the Evaluator provide the Teacher written notes on the observation within X days of the observation.  (It does not need to be signed, only provided)</w:t>
      </w:r>
    </w:p>
    <w:p w:rsidR="00134921" w:rsidRDefault="00134921" w:rsidP="00134921">
      <w:pPr>
        <w:pStyle w:val="ListParagraph"/>
        <w:numPr>
          <w:ilvl w:val="0"/>
          <w:numId w:val="45"/>
        </w:numPr>
        <w:rPr>
          <w:lang w:val="en-GB"/>
        </w:rPr>
      </w:pPr>
      <w:r>
        <w:rPr>
          <w:lang w:val="en-GB"/>
        </w:rPr>
        <w:t>Seattle  will establish business processes for how soon the Evaluator can lock an observation after the observation session (for informal observations which do not require a post conference) and for formal observation sessions (which do require a post conference).   There is a contractual timeline for supplying the teacher with an observation report, so the goal is to provide the teacher enough time to input comments while respecting the contract timeline for supplying the report.</w:t>
      </w:r>
    </w:p>
    <w:p w:rsidR="008C32DE" w:rsidRDefault="008C32DE" w:rsidP="008C32DE">
      <w:pPr>
        <w:pStyle w:val="ListParagraph"/>
        <w:numPr>
          <w:ilvl w:val="0"/>
          <w:numId w:val="45"/>
        </w:numPr>
        <w:rPr>
          <w:lang w:val="en-GB"/>
        </w:rPr>
      </w:pPr>
      <w:r>
        <w:rPr>
          <w:lang w:val="en-GB"/>
        </w:rPr>
        <w:lastRenderedPageBreak/>
        <w:t>The Evaluator and the Teacher will always have the ability to configure and print their own informal report of the observation information.  These will be informational only and do not replace the formal observation report created in the step above.</w:t>
      </w:r>
    </w:p>
    <w:p w:rsidR="008C32DE" w:rsidRDefault="00FD1DCD" w:rsidP="008C32DE">
      <w:pPr>
        <w:pStyle w:val="ListParagraph"/>
        <w:numPr>
          <w:ilvl w:val="0"/>
          <w:numId w:val="45"/>
        </w:numPr>
        <w:rPr>
          <w:lang w:val="en-GB"/>
        </w:rPr>
      </w:pPr>
      <w:r>
        <w:rPr>
          <w:lang w:val="en-GB"/>
        </w:rPr>
        <w:t>The Evaluator will alert the teacher using Outlook and face-to-face communication that the formal Observation report is ready for  them in eVal.</w:t>
      </w:r>
    </w:p>
    <w:p w:rsidR="00134921" w:rsidRDefault="00134921" w:rsidP="00134921">
      <w:pPr>
        <w:pStyle w:val="ListParagraph"/>
        <w:numPr>
          <w:ilvl w:val="1"/>
          <w:numId w:val="45"/>
        </w:numPr>
        <w:rPr>
          <w:lang w:val="en-GB"/>
        </w:rPr>
      </w:pPr>
      <w:r>
        <w:rPr>
          <w:lang w:val="en-GB"/>
        </w:rPr>
        <w:t>As there is no signature required, we are not requesting a formal acknowledgement process in the way we are for the Summative Evaluation Report</w:t>
      </w:r>
    </w:p>
    <w:p w:rsidR="002402A7" w:rsidRDefault="002402A7" w:rsidP="008C32DE">
      <w:pPr>
        <w:pStyle w:val="ListParagraph"/>
        <w:numPr>
          <w:ilvl w:val="0"/>
          <w:numId w:val="45"/>
        </w:numPr>
        <w:rPr>
          <w:lang w:val="en-GB"/>
        </w:rPr>
      </w:pPr>
      <w:r>
        <w:rPr>
          <w:lang w:val="en-GB"/>
        </w:rPr>
        <w:t xml:space="preserve">All observation information, including </w:t>
      </w:r>
      <w:r w:rsidR="008604A0">
        <w:rPr>
          <w:lang w:val="en-GB"/>
        </w:rPr>
        <w:t>the formal Observation</w:t>
      </w:r>
      <w:r>
        <w:rPr>
          <w:lang w:val="en-GB"/>
        </w:rPr>
        <w:t xml:space="preserve"> </w:t>
      </w:r>
      <w:r w:rsidR="008604A0">
        <w:rPr>
          <w:lang w:val="en-GB"/>
        </w:rPr>
        <w:t>R</w:t>
      </w:r>
      <w:r>
        <w:rPr>
          <w:lang w:val="en-GB"/>
        </w:rPr>
        <w:t>eports, will  be part  of the data purged</w:t>
      </w:r>
      <w:r w:rsidR="00A16980">
        <w:rPr>
          <w:lang w:val="en-GB"/>
        </w:rPr>
        <w:t xml:space="preserve"> from the system at year’s  end (see separate BRD)</w:t>
      </w:r>
    </w:p>
    <w:p w:rsidR="008604A0" w:rsidRPr="006D74AF" w:rsidRDefault="008604A0" w:rsidP="008C32DE">
      <w:pPr>
        <w:pStyle w:val="ListParagraph"/>
        <w:numPr>
          <w:ilvl w:val="0"/>
          <w:numId w:val="45"/>
        </w:numPr>
        <w:rPr>
          <w:lang w:val="en-GB"/>
        </w:rPr>
      </w:pPr>
      <w:r>
        <w:rPr>
          <w:lang w:val="en-GB"/>
        </w:rPr>
        <w:t>The formal Observation Reports will be part of the overall package the user can  download when  they run the new   “Download All” report which will provide a zip file of all information in eVal related to them (and visible to them) for that school year. (See separate BRD)</w:t>
      </w:r>
    </w:p>
    <w:p w:rsidR="006D74AF" w:rsidRDefault="006D74AF" w:rsidP="007D1BFF">
      <w:pPr>
        <w:ind w:left="360"/>
        <w:rPr>
          <w:lang w:val="en-GB"/>
        </w:rPr>
      </w:pPr>
    </w:p>
    <w:p w:rsidR="00B64F6C" w:rsidRPr="00E50C90" w:rsidRDefault="00DA081A" w:rsidP="00B64F6C">
      <w:pPr>
        <w:pStyle w:val="Heading1"/>
        <w:numPr>
          <w:ilvl w:val="0"/>
          <w:numId w:val="3"/>
        </w:numPr>
        <w:rPr>
          <w:lang w:val="en-GB"/>
        </w:rPr>
      </w:pPr>
      <w:bookmarkStart w:id="8" w:name="_Toc100563408"/>
      <w:bookmarkStart w:id="9" w:name="_Toc400972747"/>
      <w:bookmarkEnd w:id="8"/>
      <w:r>
        <w:rPr>
          <w:lang w:val="en-GB"/>
        </w:rPr>
        <w:t>Requirement Details</w:t>
      </w:r>
      <w:bookmarkEnd w:id="9"/>
    </w:p>
    <w:tbl>
      <w:tblPr>
        <w:tblpPr w:leftFromText="180" w:rightFromText="180" w:vertAnchor="text" w:horzAnchor="margin" w:tblpY="723"/>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07"/>
        <w:gridCol w:w="1007"/>
        <w:gridCol w:w="2632"/>
        <w:gridCol w:w="5307"/>
      </w:tblGrid>
      <w:tr w:rsidR="007D1BFF" w:rsidTr="00532698">
        <w:trPr>
          <w:cantSplit/>
          <w:tblHeader/>
        </w:trPr>
        <w:tc>
          <w:tcPr>
            <w:tcW w:w="506" w:type="pct"/>
            <w:shd w:val="clear" w:color="auto" w:fill="000000"/>
            <w:vAlign w:val="center"/>
          </w:tcPr>
          <w:p w:rsidR="007D1BFF" w:rsidRDefault="007D1BFF" w:rsidP="00532698">
            <w:pPr>
              <w:spacing w:line="276" w:lineRule="auto"/>
              <w:jc w:val="center"/>
              <w:rPr>
                <w:rFonts w:cs="Arial"/>
                <w:color w:val="FFFFFF"/>
              </w:rPr>
            </w:pPr>
            <w:r>
              <w:rPr>
                <w:rFonts w:cs="Arial"/>
                <w:color w:val="FFFFFF"/>
              </w:rPr>
              <w:t>Related BRD</w:t>
            </w:r>
          </w:p>
        </w:tc>
        <w:tc>
          <w:tcPr>
            <w:tcW w:w="506" w:type="pct"/>
            <w:shd w:val="clear" w:color="auto" w:fill="000000"/>
            <w:tcMar>
              <w:top w:w="0" w:type="dxa"/>
              <w:left w:w="108" w:type="dxa"/>
              <w:bottom w:w="0" w:type="dxa"/>
              <w:right w:w="108" w:type="dxa"/>
            </w:tcMar>
            <w:vAlign w:val="center"/>
            <w:hideMark/>
          </w:tcPr>
          <w:p w:rsidR="007D1BFF" w:rsidRDefault="007D1BFF" w:rsidP="00532698">
            <w:pPr>
              <w:spacing w:line="276" w:lineRule="auto"/>
              <w:jc w:val="center"/>
              <w:rPr>
                <w:rFonts w:cs="Arial"/>
                <w:color w:val="FFFFFF"/>
              </w:rPr>
            </w:pPr>
            <w:bookmarkStart w:id="10" w:name="_Toc75136613"/>
            <w:bookmarkStart w:id="11" w:name="_Toc75677719"/>
            <w:bookmarkStart w:id="12" w:name="_Toc76183422"/>
            <w:bookmarkStart w:id="13" w:name="_Toc106442830"/>
            <w:r>
              <w:rPr>
                <w:rFonts w:cs="Arial"/>
                <w:color w:val="FFFFFF"/>
              </w:rPr>
              <w:t>REQ ID</w:t>
            </w:r>
          </w:p>
        </w:tc>
        <w:tc>
          <w:tcPr>
            <w:tcW w:w="1322" w:type="pct"/>
            <w:shd w:val="clear" w:color="auto" w:fill="000000"/>
            <w:tcMar>
              <w:top w:w="0" w:type="dxa"/>
              <w:left w:w="108" w:type="dxa"/>
              <w:bottom w:w="0" w:type="dxa"/>
              <w:right w:w="108" w:type="dxa"/>
            </w:tcMar>
            <w:vAlign w:val="center"/>
            <w:hideMark/>
          </w:tcPr>
          <w:p w:rsidR="007D1BFF" w:rsidRDefault="007D1BFF" w:rsidP="00532698">
            <w:pPr>
              <w:spacing w:line="276" w:lineRule="auto"/>
              <w:rPr>
                <w:rFonts w:cs="Arial"/>
                <w:color w:val="FFFFFF"/>
              </w:rPr>
            </w:pPr>
            <w:r>
              <w:rPr>
                <w:rFonts w:cs="Arial"/>
                <w:color w:val="FFFFFF"/>
              </w:rPr>
              <w:t>Requirement</w:t>
            </w:r>
          </w:p>
        </w:tc>
        <w:tc>
          <w:tcPr>
            <w:tcW w:w="2666" w:type="pct"/>
            <w:shd w:val="clear" w:color="auto" w:fill="000000"/>
            <w:tcMar>
              <w:top w:w="0" w:type="dxa"/>
              <w:left w:w="108" w:type="dxa"/>
              <w:bottom w:w="0" w:type="dxa"/>
              <w:right w:w="108" w:type="dxa"/>
            </w:tcMar>
            <w:vAlign w:val="center"/>
            <w:hideMark/>
          </w:tcPr>
          <w:p w:rsidR="007D1BFF" w:rsidRDefault="007D1BFF" w:rsidP="00532698">
            <w:pPr>
              <w:spacing w:line="276" w:lineRule="auto"/>
              <w:rPr>
                <w:rFonts w:cs="Arial"/>
                <w:color w:val="FFFFFF"/>
              </w:rPr>
            </w:pPr>
            <w:r>
              <w:rPr>
                <w:rFonts w:cs="Arial"/>
                <w:color w:val="FFFFFF"/>
              </w:rPr>
              <w:t>Purpose or expected  outcome</w:t>
            </w:r>
          </w:p>
        </w:tc>
      </w:tr>
      <w:tr w:rsidR="00EB13AF" w:rsidRPr="001D088E" w:rsidTr="00532698">
        <w:trPr>
          <w:cantSplit/>
        </w:trPr>
        <w:tc>
          <w:tcPr>
            <w:tcW w:w="506" w:type="pct"/>
            <w:shd w:val="clear" w:color="auto" w:fill="auto"/>
            <w:vAlign w:val="center"/>
          </w:tcPr>
          <w:p w:rsidR="00EB13AF" w:rsidRDefault="00532698" w:rsidP="00532698">
            <w:pPr>
              <w:jc w:val="center"/>
              <w:rPr>
                <w:rFonts w:ascii="Calibri" w:hAnsi="Calibri" w:cs="Arial"/>
                <w:szCs w:val="20"/>
              </w:rPr>
            </w:pPr>
            <w:r>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EB13AF" w:rsidRDefault="00532698" w:rsidP="00532698">
            <w:pPr>
              <w:jc w:val="center"/>
              <w:rPr>
                <w:rFonts w:ascii="Calibri" w:hAnsi="Calibri" w:cs="Arial"/>
                <w:szCs w:val="20"/>
              </w:rPr>
            </w:pPr>
            <w:r>
              <w:rPr>
                <w:rFonts w:ascii="Calibri" w:hAnsi="Calibri" w:cs="Arial"/>
                <w:szCs w:val="20"/>
              </w:rPr>
              <w:t>19.1</w:t>
            </w:r>
          </w:p>
        </w:tc>
        <w:tc>
          <w:tcPr>
            <w:tcW w:w="1322" w:type="pct"/>
            <w:shd w:val="clear" w:color="auto" w:fill="auto"/>
            <w:tcMar>
              <w:top w:w="0" w:type="dxa"/>
              <w:left w:w="108" w:type="dxa"/>
              <w:bottom w:w="0" w:type="dxa"/>
              <w:right w:w="108" w:type="dxa"/>
            </w:tcMar>
            <w:vAlign w:val="center"/>
          </w:tcPr>
          <w:p w:rsidR="00EB13AF" w:rsidRDefault="00EB13AF" w:rsidP="00532698">
            <w:pPr>
              <w:spacing w:line="276" w:lineRule="auto"/>
            </w:pPr>
            <w:r>
              <w:t>On the teacher’s Observation dashboard, the tool tip that displays when you hover over an observation should include the evaluator who performed the observation</w:t>
            </w:r>
          </w:p>
        </w:tc>
        <w:tc>
          <w:tcPr>
            <w:tcW w:w="2666" w:type="pct"/>
            <w:shd w:val="clear" w:color="auto" w:fill="auto"/>
            <w:tcMar>
              <w:top w:w="0" w:type="dxa"/>
              <w:left w:w="108" w:type="dxa"/>
              <w:bottom w:w="0" w:type="dxa"/>
              <w:right w:w="108" w:type="dxa"/>
            </w:tcMar>
            <w:vAlign w:val="center"/>
          </w:tcPr>
          <w:p w:rsidR="00EB13AF" w:rsidRDefault="00EB13AF" w:rsidP="00532698">
            <w:pPr>
              <w:spacing w:line="276" w:lineRule="auto"/>
            </w:pPr>
            <w:r>
              <w:t>(Similar to what occurs  for the evalutor’s tool tip when evaluator is on their Summary  panel).</w:t>
            </w:r>
          </w:p>
          <w:p w:rsidR="00EB13AF" w:rsidRDefault="00EB13AF" w:rsidP="00532698">
            <w:pPr>
              <w:spacing w:line="276" w:lineRule="auto"/>
            </w:pPr>
          </w:p>
          <w:p w:rsidR="00EB13AF" w:rsidRDefault="00EB13AF" w:rsidP="00532698">
            <w:pPr>
              <w:spacing w:line="276" w:lineRule="auto"/>
            </w:pPr>
            <w:r>
              <w:t>This will be helpful when a teacher has observations across multiple evaluators.</w:t>
            </w:r>
          </w:p>
        </w:tc>
      </w:tr>
      <w:tr w:rsidR="00532698" w:rsidRPr="001D088E" w:rsidTr="00532698">
        <w:trPr>
          <w:cantSplit/>
        </w:trPr>
        <w:tc>
          <w:tcPr>
            <w:tcW w:w="506" w:type="pct"/>
            <w:shd w:val="clear" w:color="auto" w:fill="auto"/>
            <w:vAlign w:val="center"/>
          </w:tcPr>
          <w:p w:rsidR="00532698" w:rsidRDefault="00532698" w:rsidP="00532698">
            <w:pPr>
              <w:jc w:val="center"/>
            </w:pPr>
            <w:r w:rsidRPr="00A1060F">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532698" w:rsidRDefault="00532698" w:rsidP="00532698">
            <w:pPr>
              <w:jc w:val="center"/>
              <w:rPr>
                <w:rFonts w:ascii="Calibri" w:hAnsi="Calibri" w:cs="Arial"/>
                <w:szCs w:val="20"/>
              </w:rPr>
            </w:pPr>
            <w:r>
              <w:rPr>
                <w:rFonts w:ascii="Calibri" w:hAnsi="Calibri" w:cs="Arial"/>
                <w:szCs w:val="20"/>
              </w:rPr>
              <w:t>19.2</w:t>
            </w:r>
          </w:p>
        </w:tc>
        <w:tc>
          <w:tcPr>
            <w:tcW w:w="1322" w:type="pct"/>
            <w:shd w:val="clear" w:color="auto" w:fill="auto"/>
            <w:tcMar>
              <w:top w:w="0" w:type="dxa"/>
              <w:left w:w="108" w:type="dxa"/>
              <w:bottom w:w="0" w:type="dxa"/>
              <w:right w:w="108" w:type="dxa"/>
            </w:tcMar>
            <w:vAlign w:val="center"/>
          </w:tcPr>
          <w:p w:rsidR="00532698" w:rsidRDefault="00532698" w:rsidP="00532698">
            <w:pPr>
              <w:spacing w:line="276" w:lineRule="auto"/>
            </w:pPr>
            <w:r>
              <w:t xml:space="preserve">There should be  only one attribute – either “Complete” or “Locked”,  not both.  </w:t>
            </w:r>
          </w:p>
        </w:tc>
        <w:tc>
          <w:tcPr>
            <w:tcW w:w="2666" w:type="pct"/>
            <w:shd w:val="clear" w:color="auto" w:fill="auto"/>
            <w:tcMar>
              <w:top w:w="0" w:type="dxa"/>
              <w:left w:w="108" w:type="dxa"/>
              <w:bottom w:w="0" w:type="dxa"/>
              <w:right w:w="108" w:type="dxa"/>
            </w:tcMar>
            <w:vAlign w:val="center"/>
          </w:tcPr>
          <w:p w:rsidR="00532698" w:rsidRDefault="00532698" w:rsidP="00532698">
            <w:pPr>
              <w:spacing w:line="276" w:lineRule="auto"/>
            </w:pPr>
            <w:r>
              <w:t>(Done)</w:t>
            </w:r>
          </w:p>
        </w:tc>
      </w:tr>
      <w:tr w:rsidR="00532698" w:rsidRPr="001D088E" w:rsidTr="00532698">
        <w:trPr>
          <w:cantSplit/>
        </w:trPr>
        <w:tc>
          <w:tcPr>
            <w:tcW w:w="506" w:type="pct"/>
            <w:shd w:val="clear" w:color="auto" w:fill="auto"/>
            <w:vAlign w:val="center"/>
          </w:tcPr>
          <w:p w:rsidR="00532698" w:rsidRDefault="00532698" w:rsidP="00532698">
            <w:pPr>
              <w:jc w:val="center"/>
            </w:pPr>
            <w:r w:rsidRPr="00A1060F">
              <w:rPr>
                <w:rFonts w:ascii="Calibri" w:hAnsi="Calibri" w:cs="Arial"/>
                <w:szCs w:val="20"/>
              </w:rPr>
              <w:lastRenderedPageBreak/>
              <w:t>19</w:t>
            </w:r>
          </w:p>
        </w:tc>
        <w:tc>
          <w:tcPr>
            <w:tcW w:w="506" w:type="pct"/>
            <w:shd w:val="clear" w:color="auto" w:fill="auto"/>
            <w:tcMar>
              <w:top w:w="0" w:type="dxa"/>
              <w:left w:w="108" w:type="dxa"/>
              <w:bottom w:w="0" w:type="dxa"/>
              <w:right w:w="108" w:type="dxa"/>
            </w:tcMar>
            <w:vAlign w:val="center"/>
          </w:tcPr>
          <w:p w:rsidR="00532698" w:rsidRDefault="00532698" w:rsidP="00532698">
            <w:pPr>
              <w:jc w:val="center"/>
              <w:rPr>
                <w:rFonts w:ascii="Calibri" w:hAnsi="Calibri" w:cs="Arial"/>
                <w:szCs w:val="20"/>
              </w:rPr>
            </w:pPr>
            <w:r>
              <w:rPr>
                <w:rFonts w:ascii="Calibri" w:hAnsi="Calibri" w:cs="Arial"/>
                <w:szCs w:val="20"/>
              </w:rPr>
              <w:t>19.3</w:t>
            </w:r>
          </w:p>
        </w:tc>
        <w:tc>
          <w:tcPr>
            <w:tcW w:w="1322" w:type="pct"/>
            <w:shd w:val="clear" w:color="auto" w:fill="auto"/>
            <w:tcMar>
              <w:top w:w="0" w:type="dxa"/>
              <w:left w:w="108" w:type="dxa"/>
              <w:bottom w:w="0" w:type="dxa"/>
              <w:right w:w="108" w:type="dxa"/>
            </w:tcMar>
            <w:vAlign w:val="center"/>
          </w:tcPr>
          <w:p w:rsidR="00532698" w:rsidRDefault="004E0551" w:rsidP="00E316DB">
            <w:pPr>
              <w:spacing w:line="276" w:lineRule="auto"/>
            </w:pPr>
            <w:r>
              <w:t xml:space="preserve">The formal Evaluation Report cannot be considered complete until the underlying observation is locked. By locking the observation, the following occurs: (1) all information entered  by the evaluator for the teacher for that observation is now visible to the teacher and (2) the finalized report </w:t>
            </w:r>
            <w:r w:rsidR="00E316DB">
              <w:t xml:space="preserve">is now available to the teacher through the teacher’s eVal session. </w:t>
            </w:r>
          </w:p>
        </w:tc>
        <w:tc>
          <w:tcPr>
            <w:tcW w:w="2666" w:type="pct"/>
            <w:shd w:val="clear" w:color="auto" w:fill="auto"/>
            <w:tcMar>
              <w:top w:w="0" w:type="dxa"/>
              <w:left w:w="108" w:type="dxa"/>
              <w:bottom w:w="0" w:type="dxa"/>
              <w:right w:w="108" w:type="dxa"/>
            </w:tcMar>
            <w:vAlign w:val="center"/>
          </w:tcPr>
          <w:p w:rsidR="00532698" w:rsidRDefault="00532698" w:rsidP="00532698">
            <w:pPr>
              <w:spacing w:line="276" w:lineRule="auto"/>
            </w:pPr>
          </w:p>
        </w:tc>
      </w:tr>
      <w:tr w:rsidR="00532698" w:rsidRPr="001D088E" w:rsidTr="00532698">
        <w:trPr>
          <w:cantSplit/>
        </w:trPr>
        <w:tc>
          <w:tcPr>
            <w:tcW w:w="506" w:type="pct"/>
            <w:shd w:val="clear" w:color="auto" w:fill="auto"/>
            <w:vAlign w:val="center"/>
          </w:tcPr>
          <w:p w:rsidR="00532698" w:rsidRDefault="00532698" w:rsidP="00532698">
            <w:pPr>
              <w:jc w:val="center"/>
            </w:pPr>
            <w:r w:rsidRPr="00A1060F">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532698" w:rsidRDefault="00532698" w:rsidP="00532698">
            <w:pPr>
              <w:jc w:val="center"/>
              <w:rPr>
                <w:rFonts w:ascii="Calibri" w:hAnsi="Calibri" w:cs="Arial"/>
                <w:szCs w:val="20"/>
              </w:rPr>
            </w:pPr>
            <w:r>
              <w:rPr>
                <w:rFonts w:ascii="Calibri" w:hAnsi="Calibri" w:cs="Arial"/>
                <w:szCs w:val="20"/>
              </w:rPr>
              <w:t>19.4</w:t>
            </w:r>
          </w:p>
        </w:tc>
        <w:tc>
          <w:tcPr>
            <w:tcW w:w="1322" w:type="pct"/>
            <w:shd w:val="clear" w:color="auto" w:fill="auto"/>
            <w:tcMar>
              <w:top w:w="0" w:type="dxa"/>
              <w:left w:w="108" w:type="dxa"/>
              <w:bottom w:w="0" w:type="dxa"/>
              <w:right w:w="108" w:type="dxa"/>
            </w:tcMar>
            <w:vAlign w:val="center"/>
          </w:tcPr>
          <w:p w:rsidR="00532698" w:rsidRDefault="00532698" w:rsidP="00D13031">
            <w:pPr>
              <w:spacing w:line="276" w:lineRule="auto"/>
            </w:pPr>
            <w:r>
              <w:t xml:space="preserve">The pop-up box that comes up explaining the impact of locking the observation should also mention that </w:t>
            </w:r>
            <w:r w:rsidR="00E316DB">
              <w:t xml:space="preserve">(1) locking  the observation is a prerequisite for creating the observation report; (2) </w:t>
            </w:r>
            <w:r>
              <w:t>all observation information will now be visible</w:t>
            </w:r>
            <w:r w:rsidR="00E316DB">
              <w:t xml:space="preserve"> to the teacher;</w:t>
            </w:r>
            <w:r w:rsidR="00A43151">
              <w:t xml:space="preserve"> </w:t>
            </w:r>
            <w:r w:rsidR="00D13031">
              <w:t xml:space="preserve">(3)  report settings will now become locked and can only be unlocked – or any changes made to the report – by asking teacher permission to unlock the observation; </w:t>
            </w:r>
            <w:r w:rsidR="00A43151">
              <w:t xml:space="preserve">and </w:t>
            </w:r>
            <w:r w:rsidR="00E316DB">
              <w:t>(</w:t>
            </w:r>
            <w:r w:rsidR="00D13031">
              <w:t>4</w:t>
            </w:r>
            <w:bookmarkStart w:id="14" w:name="_GoBack"/>
            <w:bookmarkEnd w:id="14"/>
            <w:r w:rsidR="00E316DB">
              <w:t xml:space="preserve">) </w:t>
            </w:r>
            <w:r w:rsidR="00A43151">
              <w:t xml:space="preserve">the </w:t>
            </w:r>
            <w:r w:rsidR="00E316DB">
              <w:t>Observation Re</w:t>
            </w:r>
            <w:r w:rsidR="00A43151">
              <w:t xml:space="preserve">port </w:t>
            </w:r>
            <w:r w:rsidR="00E316DB">
              <w:t xml:space="preserve">is </w:t>
            </w:r>
            <w:r w:rsidR="004E0551">
              <w:t xml:space="preserve">now </w:t>
            </w:r>
            <w:r w:rsidR="00A43151">
              <w:t xml:space="preserve">available to the teacher </w:t>
            </w:r>
            <w:r w:rsidR="004E0551">
              <w:t xml:space="preserve">through </w:t>
            </w:r>
            <w:r w:rsidR="00E316DB">
              <w:t>the teacher’s</w:t>
            </w:r>
            <w:r w:rsidR="004E0551">
              <w:t xml:space="preserve"> </w:t>
            </w:r>
            <w:r w:rsidR="00A43151">
              <w:t>eVal session.</w:t>
            </w:r>
          </w:p>
        </w:tc>
        <w:tc>
          <w:tcPr>
            <w:tcW w:w="2666" w:type="pct"/>
            <w:shd w:val="clear" w:color="auto" w:fill="auto"/>
            <w:tcMar>
              <w:top w:w="0" w:type="dxa"/>
              <w:left w:w="108" w:type="dxa"/>
              <w:bottom w:w="0" w:type="dxa"/>
              <w:right w:w="108" w:type="dxa"/>
            </w:tcMar>
            <w:vAlign w:val="center"/>
          </w:tcPr>
          <w:p w:rsidR="00532698" w:rsidRDefault="00E413D8" w:rsidP="00E413D8">
            <w:pPr>
              <w:spacing w:line="276" w:lineRule="auto"/>
            </w:pPr>
            <w:r>
              <w:t xml:space="preserve">[Should we also add the “Lock Observation” button to the Observation Report panel?  That way when the Evaluator is working on the report, they understand that they need to lock it before  it is final – and they can do it within that screen….  Let me know your thoughts…  Donna] </w:t>
            </w:r>
          </w:p>
        </w:tc>
      </w:tr>
      <w:tr w:rsidR="00532698" w:rsidRPr="001D088E" w:rsidTr="00532698">
        <w:trPr>
          <w:cantSplit/>
        </w:trPr>
        <w:tc>
          <w:tcPr>
            <w:tcW w:w="506" w:type="pct"/>
            <w:shd w:val="clear" w:color="auto" w:fill="auto"/>
            <w:vAlign w:val="center"/>
          </w:tcPr>
          <w:p w:rsidR="00532698" w:rsidRDefault="00532698" w:rsidP="00532698">
            <w:pPr>
              <w:jc w:val="center"/>
            </w:pPr>
            <w:r w:rsidRPr="00A1060F">
              <w:rPr>
                <w:rFonts w:ascii="Calibri" w:hAnsi="Calibri" w:cs="Arial"/>
                <w:szCs w:val="20"/>
              </w:rPr>
              <w:lastRenderedPageBreak/>
              <w:t>19</w:t>
            </w:r>
          </w:p>
        </w:tc>
        <w:tc>
          <w:tcPr>
            <w:tcW w:w="506" w:type="pct"/>
            <w:shd w:val="clear" w:color="auto" w:fill="auto"/>
            <w:tcMar>
              <w:top w:w="0" w:type="dxa"/>
              <w:left w:w="108" w:type="dxa"/>
              <w:bottom w:w="0" w:type="dxa"/>
              <w:right w:w="108" w:type="dxa"/>
            </w:tcMar>
            <w:vAlign w:val="center"/>
          </w:tcPr>
          <w:p w:rsidR="00532698" w:rsidRDefault="00532698" w:rsidP="00532698">
            <w:pPr>
              <w:jc w:val="center"/>
              <w:rPr>
                <w:rFonts w:ascii="Calibri" w:hAnsi="Calibri" w:cs="Arial"/>
                <w:szCs w:val="20"/>
              </w:rPr>
            </w:pPr>
            <w:r>
              <w:rPr>
                <w:rFonts w:ascii="Calibri" w:hAnsi="Calibri" w:cs="Arial"/>
                <w:szCs w:val="20"/>
              </w:rPr>
              <w:t>19.5</w:t>
            </w:r>
          </w:p>
        </w:tc>
        <w:tc>
          <w:tcPr>
            <w:tcW w:w="1322" w:type="pct"/>
            <w:shd w:val="clear" w:color="auto" w:fill="auto"/>
            <w:tcMar>
              <w:top w:w="0" w:type="dxa"/>
              <w:left w:w="108" w:type="dxa"/>
              <w:bottom w:w="0" w:type="dxa"/>
              <w:right w:w="108" w:type="dxa"/>
            </w:tcMar>
            <w:vAlign w:val="center"/>
          </w:tcPr>
          <w:p w:rsidR="00532698" w:rsidRDefault="00532698" w:rsidP="00532698">
            <w:pPr>
              <w:spacing w:line="276" w:lineRule="auto"/>
            </w:pPr>
            <w:r>
              <w:t>The evaluator’s report settings for the Observation Report should only be configurable before the observation is locked.  Once locked, the report settings should become read-only.</w:t>
            </w:r>
          </w:p>
        </w:tc>
        <w:tc>
          <w:tcPr>
            <w:tcW w:w="2666" w:type="pct"/>
            <w:shd w:val="clear" w:color="auto" w:fill="auto"/>
            <w:tcMar>
              <w:top w:w="0" w:type="dxa"/>
              <w:left w:w="108" w:type="dxa"/>
              <w:bottom w:w="0" w:type="dxa"/>
              <w:right w:w="108" w:type="dxa"/>
            </w:tcMar>
            <w:vAlign w:val="center"/>
          </w:tcPr>
          <w:p w:rsidR="00532698" w:rsidRDefault="00D13031" w:rsidP="00A43151">
            <w:pPr>
              <w:spacing w:line="276" w:lineRule="auto"/>
            </w:pPr>
            <w:r>
              <w:t>(Evaluator needs prompt to make sure they understand this before locking)</w:t>
            </w:r>
          </w:p>
        </w:tc>
      </w:tr>
      <w:tr w:rsidR="00532698" w:rsidRPr="001D088E" w:rsidTr="00532698">
        <w:trPr>
          <w:cantSplit/>
        </w:trPr>
        <w:tc>
          <w:tcPr>
            <w:tcW w:w="506" w:type="pct"/>
            <w:shd w:val="clear" w:color="auto" w:fill="auto"/>
            <w:vAlign w:val="center"/>
          </w:tcPr>
          <w:p w:rsidR="00532698" w:rsidRDefault="00532698" w:rsidP="00532698">
            <w:pPr>
              <w:jc w:val="center"/>
            </w:pPr>
            <w:r w:rsidRPr="00A1060F">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532698" w:rsidRDefault="00532698" w:rsidP="00532698">
            <w:pPr>
              <w:jc w:val="center"/>
              <w:rPr>
                <w:rFonts w:ascii="Calibri" w:hAnsi="Calibri" w:cs="Arial"/>
                <w:szCs w:val="20"/>
              </w:rPr>
            </w:pPr>
            <w:r>
              <w:rPr>
                <w:rFonts w:ascii="Calibri" w:hAnsi="Calibri" w:cs="Arial"/>
                <w:szCs w:val="20"/>
              </w:rPr>
              <w:t>19.6</w:t>
            </w:r>
          </w:p>
        </w:tc>
        <w:tc>
          <w:tcPr>
            <w:tcW w:w="1322" w:type="pct"/>
            <w:shd w:val="clear" w:color="auto" w:fill="auto"/>
            <w:tcMar>
              <w:top w:w="0" w:type="dxa"/>
              <w:left w:w="108" w:type="dxa"/>
              <w:bottom w:w="0" w:type="dxa"/>
              <w:right w:w="108" w:type="dxa"/>
            </w:tcMar>
            <w:vAlign w:val="center"/>
          </w:tcPr>
          <w:p w:rsidR="00532698" w:rsidRDefault="00483567" w:rsidP="00483567">
            <w:pPr>
              <w:spacing w:line="276" w:lineRule="auto"/>
            </w:pPr>
            <w:r>
              <w:t>The report settings for the Evaluation Report should have two options buttons on the left (Instructional Framework or State Rubric, the latter including Student Growth).  The report should default to Instructional framework.</w:t>
            </w:r>
          </w:p>
        </w:tc>
        <w:tc>
          <w:tcPr>
            <w:tcW w:w="2666" w:type="pct"/>
            <w:shd w:val="clear" w:color="auto" w:fill="auto"/>
            <w:tcMar>
              <w:top w:w="0" w:type="dxa"/>
              <w:left w:w="108" w:type="dxa"/>
              <w:bottom w:w="0" w:type="dxa"/>
              <w:right w:w="108" w:type="dxa"/>
            </w:tcMar>
            <w:vAlign w:val="center"/>
          </w:tcPr>
          <w:p w:rsidR="00532698" w:rsidRDefault="00532698" w:rsidP="00532698">
            <w:pPr>
              <w:spacing w:line="276" w:lineRule="auto"/>
            </w:pPr>
          </w:p>
        </w:tc>
      </w:tr>
      <w:tr w:rsidR="00517E6C" w:rsidRPr="001D088E" w:rsidTr="00532698">
        <w:trPr>
          <w:cantSplit/>
        </w:trPr>
        <w:tc>
          <w:tcPr>
            <w:tcW w:w="506" w:type="pct"/>
            <w:shd w:val="clear" w:color="auto" w:fill="auto"/>
            <w:vAlign w:val="center"/>
          </w:tcPr>
          <w:p w:rsidR="00517E6C" w:rsidRPr="00A1060F" w:rsidRDefault="00517E6C" w:rsidP="00517E6C">
            <w:pPr>
              <w:jc w:val="center"/>
              <w:rPr>
                <w:rFonts w:ascii="Calibri" w:hAnsi="Calibri" w:cs="Arial"/>
                <w:szCs w:val="20"/>
              </w:rPr>
            </w:pPr>
            <w:r>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517E6C" w:rsidRDefault="00517E6C" w:rsidP="00517E6C">
            <w:pPr>
              <w:jc w:val="center"/>
              <w:rPr>
                <w:rFonts w:ascii="Calibri" w:hAnsi="Calibri" w:cs="Arial"/>
                <w:szCs w:val="20"/>
              </w:rPr>
            </w:pPr>
            <w:r>
              <w:rPr>
                <w:rFonts w:ascii="Calibri" w:hAnsi="Calibri" w:cs="Arial"/>
                <w:szCs w:val="20"/>
              </w:rPr>
              <w:t>19.7</w:t>
            </w:r>
          </w:p>
        </w:tc>
        <w:tc>
          <w:tcPr>
            <w:tcW w:w="1322" w:type="pct"/>
            <w:shd w:val="clear" w:color="auto" w:fill="auto"/>
            <w:tcMar>
              <w:top w:w="0" w:type="dxa"/>
              <w:left w:w="108" w:type="dxa"/>
              <w:bottom w:w="0" w:type="dxa"/>
              <w:right w:w="108" w:type="dxa"/>
            </w:tcMar>
            <w:vAlign w:val="center"/>
          </w:tcPr>
          <w:p w:rsidR="00517E6C" w:rsidRDefault="00517E6C" w:rsidP="00517E6C">
            <w:pPr>
              <w:spacing w:line="276" w:lineRule="auto"/>
            </w:pPr>
            <w:r>
              <w:t xml:space="preserve">The report settings </w:t>
            </w:r>
            <w:r>
              <w:t xml:space="preserve">on the </w:t>
            </w:r>
            <w:r>
              <w:t xml:space="preserve"> the Evaluation Report should have</w:t>
            </w:r>
            <w:r>
              <w:t xml:space="preserve"> all settings on the right pre-selected.  The Evaluator can  de-select whatever they choose. </w:t>
            </w:r>
          </w:p>
        </w:tc>
        <w:tc>
          <w:tcPr>
            <w:tcW w:w="2666" w:type="pct"/>
            <w:shd w:val="clear" w:color="auto" w:fill="auto"/>
            <w:tcMar>
              <w:top w:w="0" w:type="dxa"/>
              <w:left w:w="108" w:type="dxa"/>
              <w:bottom w:w="0" w:type="dxa"/>
              <w:right w:w="108" w:type="dxa"/>
            </w:tcMar>
            <w:vAlign w:val="center"/>
          </w:tcPr>
          <w:p w:rsidR="00517E6C" w:rsidRDefault="00517E6C" w:rsidP="00517E6C">
            <w:pPr>
              <w:spacing w:line="276" w:lineRule="auto"/>
            </w:pPr>
          </w:p>
        </w:tc>
      </w:tr>
      <w:tr w:rsidR="00517E6C" w:rsidRPr="001D088E" w:rsidTr="00532698">
        <w:trPr>
          <w:cantSplit/>
        </w:trPr>
        <w:tc>
          <w:tcPr>
            <w:tcW w:w="506" w:type="pct"/>
            <w:shd w:val="clear" w:color="auto" w:fill="auto"/>
            <w:vAlign w:val="center"/>
          </w:tcPr>
          <w:p w:rsidR="00517E6C" w:rsidRDefault="00517E6C" w:rsidP="00517E6C">
            <w:pPr>
              <w:jc w:val="center"/>
              <w:rPr>
                <w:rFonts w:ascii="Calibri" w:hAnsi="Calibri" w:cs="Arial"/>
                <w:szCs w:val="20"/>
              </w:rPr>
            </w:pPr>
            <w:r>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517E6C" w:rsidRDefault="00517E6C" w:rsidP="00517E6C">
            <w:pPr>
              <w:jc w:val="center"/>
              <w:rPr>
                <w:rFonts w:ascii="Calibri" w:hAnsi="Calibri" w:cs="Arial"/>
                <w:szCs w:val="20"/>
              </w:rPr>
            </w:pPr>
            <w:r>
              <w:rPr>
                <w:rFonts w:ascii="Calibri" w:hAnsi="Calibri" w:cs="Arial"/>
                <w:szCs w:val="20"/>
              </w:rPr>
              <w:t>19.8</w:t>
            </w:r>
          </w:p>
        </w:tc>
        <w:tc>
          <w:tcPr>
            <w:tcW w:w="1322" w:type="pct"/>
            <w:shd w:val="clear" w:color="auto" w:fill="auto"/>
            <w:tcMar>
              <w:top w:w="0" w:type="dxa"/>
              <w:left w:w="108" w:type="dxa"/>
              <w:bottom w:w="0" w:type="dxa"/>
              <w:right w:w="108" w:type="dxa"/>
            </w:tcMar>
            <w:vAlign w:val="center"/>
          </w:tcPr>
          <w:p w:rsidR="00517E6C" w:rsidRDefault="00517E6C" w:rsidP="00517E6C">
            <w:pPr>
              <w:spacing w:line="276" w:lineRule="auto"/>
            </w:pPr>
            <w:r>
              <w:t>The report should be titled “</w:t>
            </w:r>
            <w:r w:rsidRPr="001A5918">
              <w:t>Seattle Public Schools Certificated Teacher Observation Form</w:t>
            </w:r>
            <w:r>
              <w:t>”</w:t>
            </w:r>
            <w:r>
              <w:rPr>
                <w:b/>
                <w:bCs/>
                <w:sz w:val="32"/>
                <w:szCs w:val="32"/>
              </w:rPr>
              <w:t xml:space="preserve"> </w:t>
            </w:r>
            <w:r>
              <w:t xml:space="preserve"> </w:t>
            </w:r>
            <w:r>
              <w:t>and  then, directly under that heading,  the unique identifier, observation title and date of the observation</w:t>
            </w:r>
          </w:p>
        </w:tc>
        <w:tc>
          <w:tcPr>
            <w:tcW w:w="2666" w:type="pct"/>
            <w:shd w:val="clear" w:color="auto" w:fill="auto"/>
            <w:tcMar>
              <w:top w:w="0" w:type="dxa"/>
              <w:left w:w="108" w:type="dxa"/>
              <w:bottom w:w="0" w:type="dxa"/>
              <w:right w:w="108" w:type="dxa"/>
            </w:tcMar>
            <w:vAlign w:val="center"/>
          </w:tcPr>
          <w:p w:rsidR="00517E6C" w:rsidRDefault="00517E6C" w:rsidP="00517E6C">
            <w:pPr>
              <w:spacing w:line="276" w:lineRule="auto"/>
            </w:pPr>
            <w:r>
              <w:t>(We should add “Generated out of eVal” somewhere on the report,  but do not include it in the actual report header)</w:t>
            </w:r>
          </w:p>
        </w:tc>
      </w:tr>
      <w:tr w:rsidR="00517E6C" w:rsidRPr="001D088E" w:rsidTr="00532698">
        <w:trPr>
          <w:cantSplit/>
        </w:trPr>
        <w:tc>
          <w:tcPr>
            <w:tcW w:w="506" w:type="pct"/>
            <w:shd w:val="clear" w:color="auto" w:fill="auto"/>
            <w:vAlign w:val="center"/>
          </w:tcPr>
          <w:p w:rsidR="00517E6C" w:rsidRDefault="00517E6C" w:rsidP="00517E6C">
            <w:pPr>
              <w:jc w:val="center"/>
              <w:rPr>
                <w:rFonts w:ascii="Calibri" w:hAnsi="Calibri" w:cs="Arial"/>
                <w:szCs w:val="20"/>
              </w:rPr>
            </w:pPr>
            <w:r>
              <w:rPr>
                <w:rFonts w:ascii="Calibri" w:hAnsi="Calibri" w:cs="Arial"/>
                <w:szCs w:val="20"/>
              </w:rPr>
              <w:lastRenderedPageBreak/>
              <w:t>19</w:t>
            </w:r>
          </w:p>
        </w:tc>
        <w:tc>
          <w:tcPr>
            <w:tcW w:w="506" w:type="pct"/>
            <w:shd w:val="clear" w:color="auto" w:fill="auto"/>
            <w:tcMar>
              <w:top w:w="0" w:type="dxa"/>
              <w:left w:w="108" w:type="dxa"/>
              <w:bottom w:w="0" w:type="dxa"/>
              <w:right w:w="108" w:type="dxa"/>
            </w:tcMar>
            <w:vAlign w:val="center"/>
          </w:tcPr>
          <w:p w:rsidR="00517E6C" w:rsidRDefault="00517E6C" w:rsidP="00517E6C">
            <w:pPr>
              <w:jc w:val="center"/>
              <w:rPr>
                <w:rFonts w:ascii="Calibri" w:hAnsi="Calibri" w:cs="Arial"/>
                <w:szCs w:val="20"/>
              </w:rPr>
            </w:pPr>
            <w:r>
              <w:rPr>
                <w:rFonts w:ascii="Calibri" w:hAnsi="Calibri" w:cs="Arial"/>
                <w:szCs w:val="20"/>
              </w:rPr>
              <w:t>19.9</w:t>
            </w:r>
          </w:p>
        </w:tc>
        <w:tc>
          <w:tcPr>
            <w:tcW w:w="1322" w:type="pct"/>
            <w:shd w:val="clear" w:color="auto" w:fill="auto"/>
            <w:tcMar>
              <w:top w:w="0" w:type="dxa"/>
              <w:left w:w="108" w:type="dxa"/>
              <w:bottom w:w="0" w:type="dxa"/>
              <w:right w:w="108" w:type="dxa"/>
            </w:tcMar>
            <w:vAlign w:val="center"/>
          </w:tcPr>
          <w:p w:rsidR="00517E6C" w:rsidRDefault="00517E6C" w:rsidP="00517E6C">
            <w:pPr>
              <w:spacing w:line="276" w:lineRule="auto"/>
            </w:pPr>
            <w:r>
              <w:t>Both the Evaluator and the Teacher will  have available to them at all times their own informational report which will print to screen ALL observation information collected-to-date (that has been made visible to them) and which has no report settings.  The report will print first the Instructional rubric and then the State rubric (the latter including Student Growth goals).  The user will have an option to print to PDF.</w:t>
            </w:r>
          </w:p>
        </w:tc>
        <w:tc>
          <w:tcPr>
            <w:tcW w:w="2666" w:type="pct"/>
            <w:shd w:val="clear" w:color="auto" w:fill="auto"/>
            <w:tcMar>
              <w:top w:w="0" w:type="dxa"/>
              <w:left w:w="108" w:type="dxa"/>
              <w:bottom w:w="0" w:type="dxa"/>
              <w:right w:w="108" w:type="dxa"/>
            </w:tcMar>
            <w:vAlign w:val="center"/>
          </w:tcPr>
          <w:p w:rsidR="00517E6C" w:rsidRDefault="00517E6C" w:rsidP="00517E6C">
            <w:pPr>
              <w:spacing w:line="276" w:lineRule="auto"/>
            </w:pPr>
          </w:p>
        </w:tc>
      </w:tr>
      <w:tr w:rsidR="00517E6C" w:rsidRPr="001D088E" w:rsidTr="00532698">
        <w:trPr>
          <w:cantSplit/>
        </w:trPr>
        <w:tc>
          <w:tcPr>
            <w:tcW w:w="506" w:type="pct"/>
            <w:shd w:val="clear" w:color="auto" w:fill="auto"/>
            <w:vAlign w:val="center"/>
          </w:tcPr>
          <w:p w:rsidR="00517E6C" w:rsidRDefault="00517E6C" w:rsidP="00517E6C">
            <w:pPr>
              <w:jc w:val="center"/>
            </w:pPr>
            <w:r w:rsidRPr="00A1060F">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517E6C" w:rsidRDefault="00517E6C" w:rsidP="00517E6C">
            <w:pPr>
              <w:jc w:val="center"/>
              <w:rPr>
                <w:rFonts w:ascii="Calibri" w:hAnsi="Calibri" w:cs="Arial"/>
                <w:szCs w:val="20"/>
              </w:rPr>
            </w:pPr>
            <w:r>
              <w:rPr>
                <w:rFonts w:ascii="Calibri" w:hAnsi="Calibri" w:cs="Arial"/>
                <w:szCs w:val="20"/>
              </w:rPr>
              <w:t>19.10</w:t>
            </w:r>
          </w:p>
        </w:tc>
        <w:tc>
          <w:tcPr>
            <w:tcW w:w="1322" w:type="pct"/>
            <w:shd w:val="clear" w:color="auto" w:fill="auto"/>
            <w:tcMar>
              <w:top w:w="0" w:type="dxa"/>
              <w:left w:w="108" w:type="dxa"/>
              <w:bottom w:w="0" w:type="dxa"/>
              <w:right w:w="108" w:type="dxa"/>
            </w:tcMar>
            <w:vAlign w:val="center"/>
          </w:tcPr>
          <w:p w:rsidR="00517E6C" w:rsidRDefault="00517E6C" w:rsidP="00517E6C">
            <w:pPr>
              <w:spacing w:line="276" w:lineRule="auto"/>
            </w:pPr>
            <w:r>
              <w:t>The teacher’s informational observation report should be titled “Information for Observation” + [unique identifier] + “: ” + [Observation Title] + “ printed by “ + [Teacher Name]</w:t>
            </w:r>
          </w:p>
        </w:tc>
        <w:tc>
          <w:tcPr>
            <w:tcW w:w="2666" w:type="pct"/>
            <w:shd w:val="clear" w:color="auto" w:fill="auto"/>
            <w:tcMar>
              <w:top w:w="0" w:type="dxa"/>
              <w:left w:w="108" w:type="dxa"/>
              <w:bottom w:w="0" w:type="dxa"/>
              <w:right w:w="108" w:type="dxa"/>
            </w:tcMar>
            <w:vAlign w:val="center"/>
          </w:tcPr>
          <w:p w:rsidR="00517E6C" w:rsidRDefault="00517E6C" w:rsidP="00517E6C">
            <w:pPr>
              <w:spacing w:line="276" w:lineRule="auto"/>
            </w:pPr>
            <w:r>
              <w:t xml:space="preserve">If no observation title, then skip that data element from the report title.  </w:t>
            </w:r>
          </w:p>
          <w:p w:rsidR="00517E6C" w:rsidRDefault="00517E6C" w:rsidP="00517E6C">
            <w:pPr>
              <w:spacing w:line="276" w:lineRule="auto"/>
            </w:pPr>
          </w:p>
          <w:p w:rsidR="00517E6C" w:rsidRPr="003B775F" w:rsidRDefault="00517E6C" w:rsidP="00517E6C">
            <w:pPr>
              <w:spacing w:line="276" w:lineRule="auto"/>
            </w:pPr>
            <w:r>
              <w:t xml:space="preserve">Let’s add somewhere on the report “Generated from eVal” or “eVal  Report” so that future readers know the system that generated it, but I suggest  we not have it in the report title, since eventually all teachers will be on the tool, and all these reports will come out of eVal, and they are contracted reports, it does not seem like a critical data point.   </w:t>
            </w:r>
          </w:p>
        </w:tc>
      </w:tr>
      <w:tr w:rsidR="00517E6C" w:rsidRPr="001D088E" w:rsidTr="00532698">
        <w:trPr>
          <w:cantSplit/>
        </w:trPr>
        <w:tc>
          <w:tcPr>
            <w:tcW w:w="506" w:type="pct"/>
            <w:shd w:val="clear" w:color="auto" w:fill="auto"/>
            <w:vAlign w:val="center"/>
          </w:tcPr>
          <w:p w:rsidR="00517E6C" w:rsidRDefault="00517E6C" w:rsidP="00517E6C">
            <w:pPr>
              <w:jc w:val="center"/>
            </w:pPr>
            <w:r w:rsidRPr="00A1060F">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517E6C" w:rsidRDefault="00517E6C" w:rsidP="00517E6C">
            <w:pPr>
              <w:jc w:val="center"/>
              <w:rPr>
                <w:rFonts w:ascii="Calibri" w:hAnsi="Calibri" w:cs="Arial"/>
                <w:szCs w:val="20"/>
              </w:rPr>
            </w:pPr>
            <w:r>
              <w:rPr>
                <w:rFonts w:ascii="Calibri" w:hAnsi="Calibri" w:cs="Arial"/>
                <w:szCs w:val="20"/>
              </w:rPr>
              <w:t>19.11</w:t>
            </w:r>
          </w:p>
        </w:tc>
        <w:tc>
          <w:tcPr>
            <w:tcW w:w="1322" w:type="pct"/>
            <w:shd w:val="clear" w:color="auto" w:fill="auto"/>
            <w:tcMar>
              <w:top w:w="0" w:type="dxa"/>
              <w:left w:w="108" w:type="dxa"/>
              <w:bottom w:w="0" w:type="dxa"/>
              <w:right w:w="108" w:type="dxa"/>
            </w:tcMar>
            <w:vAlign w:val="center"/>
          </w:tcPr>
          <w:p w:rsidR="00517E6C" w:rsidRDefault="00517E6C" w:rsidP="00517E6C">
            <w:pPr>
              <w:spacing w:line="276" w:lineRule="auto"/>
            </w:pPr>
            <w:r>
              <w:t>The evaluator’s informational observation report should be titled “Information for Observation” + [unique identifier] + “: ” + [Observation Title] + “ printed by “ + [Evaluator’s name]</w:t>
            </w:r>
          </w:p>
        </w:tc>
        <w:tc>
          <w:tcPr>
            <w:tcW w:w="2666" w:type="pct"/>
            <w:shd w:val="clear" w:color="auto" w:fill="auto"/>
            <w:tcMar>
              <w:top w:w="0" w:type="dxa"/>
              <w:left w:w="108" w:type="dxa"/>
              <w:bottom w:w="0" w:type="dxa"/>
              <w:right w:w="108" w:type="dxa"/>
            </w:tcMar>
            <w:vAlign w:val="center"/>
          </w:tcPr>
          <w:p w:rsidR="00517E6C" w:rsidRDefault="00517E6C" w:rsidP="00517E6C">
            <w:pPr>
              <w:spacing w:line="276" w:lineRule="auto"/>
            </w:pPr>
            <w:r>
              <w:t>See above.</w:t>
            </w:r>
          </w:p>
        </w:tc>
      </w:tr>
      <w:tr w:rsidR="00517E6C" w:rsidRPr="001D088E" w:rsidTr="00532698">
        <w:trPr>
          <w:cantSplit/>
        </w:trPr>
        <w:tc>
          <w:tcPr>
            <w:tcW w:w="506" w:type="pct"/>
            <w:shd w:val="clear" w:color="auto" w:fill="auto"/>
            <w:vAlign w:val="center"/>
          </w:tcPr>
          <w:p w:rsidR="00517E6C" w:rsidRDefault="00517E6C" w:rsidP="00517E6C">
            <w:pPr>
              <w:jc w:val="center"/>
            </w:pPr>
            <w:r w:rsidRPr="00A1060F">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517E6C" w:rsidRDefault="00517E6C" w:rsidP="00517E6C">
            <w:pPr>
              <w:jc w:val="center"/>
              <w:rPr>
                <w:rFonts w:ascii="Calibri" w:hAnsi="Calibri" w:cs="Arial"/>
                <w:szCs w:val="20"/>
              </w:rPr>
            </w:pPr>
            <w:r>
              <w:rPr>
                <w:rFonts w:ascii="Calibri" w:hAnsi="Calibri" w:cs="Arial"/>
                <w:szCs w:val="20"/>
              </w:rPr>
              <w:t>19.12</w:t>
            </w:r>
          </w:p>
        </w:tc>
        <w:tc>
          <w:tcPr>
            <w:tcW w:w="1322" w:type="pct"/>
            <w:shd w:val="clear" w:color="auto" w:fill="auto"/>
            <w:tcMar>
              <w:top w:w="0" w:type="dxa"/>
              <w:left w:w="108" w:type="dxa"/>
              <w:bottom w:w="0" w:type="dxa"/>
              <w:right w:w="108" w:type="dxa"/>
            </w:tcMar>
            <w:vAlign w:val="center"/>
          </w:tcPr>
          <w:p w:rsidR="00517E6C" w:rsidRDefault="00517E6C" w:rsidP="00517E6C">
            <w:pPr>
              <w:spacing w:line="276" w:lineRule="auto"/>
            </w:pPr>
            <w:r>
              <w:t xml:space="preserve">There should not be any signature blocks for the informational reports.  </w:t>
            </w:r>
          </w:p>
        </w:tc>
        <w:tc>
          <w:tcPr>
            <w:tcW w:w="2666" w:type="pct"/>
            <w:shd w:val="clear" w:color="auto" w:fill="auto"/>
            <w:tcMar>
              <w:top w:w="0" w:type="dxa"/>
              <w:left w:w="108" w:type="dxa"/>
              <w:bottom w:w="0" w:type="dxa"/>
              <w:right w:w="108" w:type="dxa"/>
            </w:tcMar>
            <w:vAlign w:val="center"/>
          </w:tcPr>
          <w:p w:rsidR="00517E6C" w:rsidRDefault="00517E6C" w:rsidP="00517E6C">
            <w:pPr>
              <w:spacing w:line="276" w:lineRule="auto"/>
            </w:pPr>
          </w:p>
        </w:tc>
      </w:tr>
      <w:tr w:rsidR="00517E6C" w:rsidRPr="001D088E" w:rsidTr="00532698">
        <w:trPr>
          <w:cantSplit/>
        </w:trPr>
        <w:tc>
          <w:tcPr>
            <w:tcW w:w="506" w:type="pct"/>
            <w:shd w:val="clear" w:color="auto" w:fill="auto"/>
            <w:vAlign w:val="center"/>
          </w:tcPr>
          <w:p w:rsidR="00517E6C" w:rsidRDefault="00517E6C" w:rsidP="00517E6C">
            <w:pPr>
              <w:jc w:val="center"/>
            </w:pPr>
            <w:r w:rsidRPr="00A1060F">
              <w:rPr>
                <w:rFonts w:ascii="Calibri" w:hAnsi="Calibri" w:cs="Arial"/>
                <w:szCs w:val="20"/>
              </w:rPr>
              <w:lastRenderedPageBreak/>
              <w:t>19</w:t>
            </w:r>
          </w:p>
        </w:tc>
        <w:tc>
          <w:tcPr>
            <w:tcW w:w="506" w:type="pct"/>
            <w:shd w:val="clear" w:color="auto" w:fill="auto"/>
            <w:tcMar>
              <w:top w:w="0" w:type="dxa"/>
              <w:left w:w="108" w:type="dxa"/>
              <w:bottom w:w="0" w:type="dxa"/>
              <w:right w:w="108" w:type="dxa"/>
            </w:tcMar>
            <w:vAlign w:val="center"/>
          </w:tcPr>
          <w:p w:rsidR="00517E6C" w:rsidRDefault="00517E6C" w:rsidP="00517E6C">
            <w:pPr>
              <w:jc w:val="center"/>
              <w:rPr>
                <w:rFonts w:ascii="Calibri" w:hAnsi="Calibri" w:cs="Arial"/>
                <w:szCs w:val="20"/>
              </w:rPr>
            </w:pPr>
            <w:r>
              <w:rPr>
                <w:rFonts w:ascii="Calibri" w:hAnsi="Calibri" w:cs="Arial"/>
                <w:szCs w:val="20"/>
              </w:rPr>
              <w:t>19.13</w:t>
            </w:r>
          </w:p>
        </w:tc>
        <w:tc>
          <w:tcPr>
            <w:tcW w:w="1322" w:type="pct"/>
            <w:shd w:val="clear" w:color="auto" w:fill="auto"/>
            <w:tcMar>
              <w:top w:w="0" w:type="dxa"/>
              <w:left w:w="108" w:type="dxa"/>
              <w:bottom w:w="0" w:type="dxa"/>
              <w:right w:w="108" w:type="dxa"/>
            </w:tcMar>
            <w:vAlign w:val="center"/>
          </w:tcPr>
          <w:p w:rsidR="00517E6C" w:rsidRDefault="00517E6C" w:rsidP="00517E6C">
            <w:pPr>
              <w:spacing w:line="276" w:lineRule="auto"/>
            </w:pPr>
            <w:r>
              <w:t>There should not be any signature blocks when the formal observation report is printed to screen, only when it is printed to PDF</w:t>
            </w:r>
          </w:p>
        </w:tc>
        <w:tc>
          <w:tcPr>
            <w:tcW w:w="2666" w:type="pct"/>
            <w:shd w:val="clear" w:color="auto" w:fill="auto"/>
            <w:tcMar>
              <w:top w:w="0" w:type="dxa"/>
              <w:left w:w="108" w:type="dxa"/>
              <w:bottom w:w="0" w:type="dxa"/>
              <w:right w:w="108" w:type="dxa"/>
            </w:tcMar>
            <w:vAlign w:val="center"/>
          </w:tcPr>
          <w:p w:rsidR="00517E6C" w:rsidRDefault="00517E6C" w:rsidP="00517E6C">
            <w:pPr>
              <w:spacing w:line="276" w:lineRule="auto"/>
            </w:pPr>
          </w:p>
        </w:tc>
      </w:tr>
      <w:tr w:rsidR="00517E6C" w:rsidRPr="001D088E" w:rsidTr="00532698">
        <w:trPr>
          <w:cantSplit/>
        </w:trPr>
        <w:tc>
          <w:tcPr>
            <w:tcW w:w="506" w:type="pct"/>
            <w:shd w:val="clear" w:color="auto" w:fill="auto"/>
            <w:vAlign w:val="center"/>
          </w:tcPr>
          <w:p w:rsidR="00517E6C" w:rsidRDefault="00517E6C" w:rsidP="00517E6C">
            <w:pPr>
              <w:jc w:val="center"/>
            </w:pPr>
            <w:r w:rsidRPr="00A1060F">
              <w:rPr>
                <w:rFonts w:ascii="Calibri" w:hAnsi="Calibri" w:cs="Arial"/>
                <w:szCs w:val="20"/>
              </w:rPr>
              <w:t>19</w:t>
            </w:r>
          </w:p>
        </w:tc>
        <w:tc>
          <w:tcPr>
            <w:tcW w:w="506" w:type="pct"/>
            <w:shd w:val="clear" w:color="auto" w:fill="auto"/>
            <w:tcMar>
              <w:top w:w="0" w:type="dxa"/>
              <w:left w:w="108" w:type="dxa"/>
              <w:bottom w:w="0" w:type="dxa"/>
              <w:right w:w="108" w:type="dxa"/>
            </w:tcMar>
            <w:vAlign w:val="center"/>
          </w:tcPr>
          <w:p w:rsidR="00517E6C" w:rsidRDefault="00517E6C" w:rsidP="00517E6C">
            <w:pPr>
              <w:jc w:val="center"/>
              <w:rPr>
                <w:rFonts w:ascii="Calibri" w:hAnsi="Calibri" w:cs="Arial"/>
                <w:szCs w:val="20"/>
              </w:rPr>
            </w:pPr>
            <w:r>
              <w:rPr>
                <w:rFonts w:ascii="Calibri" w:hAnsi="Calibri" w:cs="Arial"/>
                <w:szCs w:val="20"/>
              </w:rPr>
              <w:t>19.14</w:t>
            </w:r>
          </w:p>
        </w:tc>
        <w:tc>
          <w:tcPr>
            <w:tcW w:w="1322" w:type="pct"/>
            <w:shd w:val="clear" w:color="auto" w:fill="auto"/>
            <w:tcMar>
              <w:top w:w="0" w:type="dxa"/>
              <w:left w:w="108" w:type="dxa"/>
              <w:bottom w:w="0" w:type="dxa"/>
              <w:right w:w="108" w:type="dxa"/>
            </w:tcMar>
            <w:vAlign w:val="center"/>
          </w:tcPr>
          <w:p w:rsidR="00517E6C" w:rsidRDefault="00517E6C" w:rsidP="00517E6C">
            <w:pPr>
              <w:spacing w:line="276" w:lineRule="auto"/>
            </w:pPr>
            <w:r>
              <w:t>None  of the observation reports should not have a setting that prints the rubric  itself, since the rubric includes scores (Unsat, Basic, etc.) and we don’t want any scores mentioned in the report.</w:t>
            </w:r>
          </w:p>
        </w:tc>
        <w:tc>
          <w:tcPr>
            <w:tcW w:w="2666" w:type="pct"/>
            <w:shd w:val="clear" w:color="auto" w:fill="auto"/>
            <w:tcMar>
              <w:top w:w="0" w:type="dxa"/>
              <w:left w:w="108" w:type="dxa"/>
              <w:bottom w:w="0" w:type="dxa"/>
              <w:right w:w="108" w:type="dxa"/>
            </w:tcMar>
            <w:vAlign w:val="center"/>
          </w:tcPr>
          <w:p w:rsidR="00517E6C" w:rsidRDefault="00517E6C" w:rsidP="00517E6C">
            <w:pPr>
              <w:spacing w:line="276" w:lineRule="auto"/>
            </w:pPr>
          </w:p>
        </w:tc>
      </w:tr>
    </w:tbl>
    <w:p w:rsidR="00763BEA" w:rsidRDefault="00763BEA" w:rsidP="006A1887">
      <w:pPr>
        <w:rPr>
          <w:b/>
          <w:u w:val="single"/>
        </w:rPr>
      </w:pPr>
      <w:bookmarkStart w:id="15" w:name="_Toc100563439"/>
      <w:bookmarkEnd w:id="10"/>
      <w:bookmarkEnd w:id="11"/>
      <w:bookmarkEnd w:id="12"/>
      <w:bookmarkEnd w:id="13"/>
      <w:bookmarkEnd w:id="15"/>
    </w:p>
    <w:p w:rsidR="00742297" w:rsidRDefault="00742297" w:rsidP="006A1887"/>
    <w:p w:rsidR="00C747D0" w:rsidRDefault="00C747D0" w:rsidP="006A1887"/>
    <w:p w:rsidR="00252872" w:rsidRPr="00E50C90" w:rsidRDefault="00BA58D9" w:rsidP="00252872">
      <w:pPr>
        <w:pStyle w:val="Heading1"/>
        <w:numPr>
          <w:ilvl w:val="0"/>
          <w:numId w:val="3"/>
        </w:numPr>
        <w:rPr>
          <w:lang w:val="en-GB"/>
        </w:rPr>
      </w:pPr>
      <w:bookmarkStart w:id="16" w:name="_Toc400972753"/>
      <w:r>
        <w:rPr>
          <w:lang w:val="en-GB"/>
        </w:rPr>
        <w:t xml:space="preserve">Review and </w:t>
      </w:r>
      <w:bookmarkEnd w:id="16"/>
      <w:r w:rsidR="007676CD">
        <w:rPr>
          <w:lang w:val="en-GB"/>
        </w:rPr>
        <w:t>Approval</w:t>
      </w:r>
    </w:p>
    <w:p w:rsidR="00BA58D9" w:rsidRPr="00FB4817" w:rsidRDefault="00BA58D9" w:rsidP="00BA58D9">
      <w:pPr>
        <w:pStyle w:val="Body"/>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gridCol w:w="1418"/>
        <w:gridCol w:w="3356"/>
        <w:gridCol w:w="2430"/>
        <w:gridCol w:w="1662"/>
      </w:tblGrid>
      <w:tr w:rsidR="00BA58D9" w:rsidRPr="00FB4817" w:rsidTr="008E44F3">
        <w:tc>
          <w:tcPr>
            <w:tcW w:w="589" w:type="pct"/>
            <w:shd w:val="clear" w:color="auto" w:fill="000000"/>
          </w:tcPr>
          <w:p w:rsidR="00BA58D9" w:rsidRPr="00FB4817" w:rsidRDefault="00BA58D9" w:rsidP="00921519">
            <w:pPr>
              <w:pStyle w:val="TableHeading"/>
              <w:rPr>
                <w:sz w:val="16"/>
                <w:szCs w:val="16"/>
              </w:rPr>
            </w:pPr>
            <w:r>
              <w:rPr>
                <w:sz w:val="16"/>
                <w:szCs w:val="16"/>
              </w:rPr>
              <w:t xml:space="preserve">Team </w:t>
            </w:r>
          </w:p>
        </w:tc>
        <w:tc>
          <w:tcPr>
            <w:tcW w:w="705" w:type="pct"/>
            <w:shd w:val="clear" w:color="auto" w:fill="000000"/>
          </w:tcPr>
          <w:p w:rsidR="00BA58D9" w:rsidRPr="00FB4817" w:rsidRDefault="00BA58D9" w:rsidP="00921519">
            <w:pPr>
              <w:pStyle w:val="TableHeading"/>
              <w:rPr>
                <w:sz w:val="16"/>
                <w:szCs w:val="16"/>
              </w:rPr>
            </w:pPr>
            <w:r w:rsidRPr="00FB4817">
              <w:rPr>
                <w:sz w:val="16"/>
                <w:szCs w:val="16"/>
              </w:rPr>
              <w:t>Person</w:t>
            </w:r>
          </w:p>
        </w:tc>
        <w:tc>
          <w:tcPr>
            <w:tcW w:w="1669" w:type="pct"/>
            <w:shd w:val="clear" w:color="auto" w:fill="000000"/>
          </w:tcPr>
          <w:p w:rsidR="00BA58D9" w:rsidRPr="00FB4817" w:rsidRDefault="00ED13C8" w:rsidP="00921519">
            <w:pPr>
              <w:pStyle w:val="TableHeading"/>
              <w:rPr>
                <w:sz w:val="16"/>
                <w:szCs w:val="16"/>
              </w:rPr>
            </w:pPr>
            <w:r>
              <w:rPr>
                <w:sz w:val="16"/>
                <w:szCs w:val="16"/>
              </w:rPr>
              <w:t xml:space="preserve">Organizational and Project </w:t>
            </w:r>
            <w:r w:rsidR="00BA58D9">
              <w:rPr>
                <w:sz w:val="16"/>
                <w:szCs w:val="16"/>
              </w:rPr>
              <w:t>Role</w:t>
            </w:r>
            <w:r>
              <w:rPr>
                <w:sz w:val="16"/>
                <w:szCs w:val="16"/>
              </w:rPr>
              <w:t>s</w:t>
            </w:r>
          </w:p>
        </w:tc>
        <w:tc>
          <w:tcPr>
            <w:tcW w:w="1209" w:type="pct"/>
            <w:shd w:val="clear" w:color="auto" w:fill="000000"/>
          </w:tcPr>
          <w:p w:rsidR="00BA58D9" w:rsidRPr="00FB4817" w:rsidRDefault="00ED13C8" w:rsidP="00921519">
            <w:pPr>
              <w:pStyle w:val="TableHeading"/>
              <w:rPr>
                <w:sz w:val="16"/>
                <w:szCs w:val="16"/>
              </w:rPr>
            </w:pPr>
            <w:r>
              <w:rPr>
                <w:sz w:val="16"/>
                <w:szCs w:val="16"/>
              </w:rPr>
              <w:t>Role</w:t>
            </w:r>
          </w:p>
        </w:tc>
        <w:tc>
          <w:tcPr>
            <w:tcW w:w="827" w:type="pct"/>
            <w:shd w:val="clear" w:color="auto" w:fill="000000"/>
          </w:tcPr>
          <w:p w:rsidR="00BA58D9" w:rsidRPr="00FB4817" w:rsidRDefault="00BA58D9" w:rsidP="00921519">
            <w:pPr>
              <w:pStyle w:val="TableHeading"/>
              <w:rPr>
                <w:sz w:val="16"/>
                <w:szCs w:val="16"/>
              </w:rPr>
            </w:pPr>
            <w:r w:rsidRPr="00FB4817">
              <w:rPr>
                <w:sz w:val="16"/>
                <w:szCs w:val="16"/>
              </w:rPr>
              <w:t>Date</w:t>
            </w:r>
            <w:r>
              <w:rPr>
                <w:sz w:val="16"/>
                <w:szCs w:val="16"/>
              </w:rPr>
              <w:t xml:space="preserve"> review/approval received</w:t>
            </w:r>
          </w:p>
        </w:tc>
      </w:tr>
      <w:tr w:rsidR="00652428" w:rsidRPr="00FB4817" w:rsidTr="008E44F3">
        <w:tc>
          <w:tcPr>
            <w:tcW w:w="589" w:type="pct"/>
          </w:tcPr>
          <w:p w:rsidR="00652428" w:rsidRDefault="00652428" w:rsidP="00921519">
            <w:pPr>
              <w:pStyle w:val="TableCell"/>
              <w:rPr>
                <w:sz w:val="16"/>
                <w:szCs w:val="16"/>
              </w:rPr>
            </w:pPr>
            <w:r>
              <w:rPr>
                <w:sz w:val="16"/>
                <w:szCs w:val="16"/>
              </w:rPr>
              <w:t>Project</w:t>
            </w:r>
          </w:p>
        </w:tc>
        <w:tc>
          <w:tcPr>
            <w:tcW w:w="705" w:type="pct"/>
          </w:tcPr>
          <w:p w:rsidR="00652428" w:rsidRDefault="00652428" w:rsidP="00921519">
            <w:pPr>
              <w:pStyle w:val="TableCell"/>
              <w:rPr>
                <w:sz w:val="16"/>
                <w:szCs w:val="16"/>
              </w:rPr>
            </w:pPr>
            <w:r>
              <w:rPr>
                <w:sz w:val="16"/>
                <w:szCs w:val="16"/>
              </w:rPr>
              <w:t>Clover Codd</w:t>
            </w:r>
          </w:p>
        </w:tc>
        <w:tc>
          <w:tcPr>
            <w:tcW w:w="1669" w:type="pct"/>
          </w:tcPr>
          <w:p w:rsidR="00652428" w:rsidRDefault="00ED13C8" w:rsidP="00921519">
            <w:pPr>
              <w:pStyle w:val="TableCell"/>
              <w:rPr>
                <w:sz w:val="16"/>
                <w:szCs w:val="16"/>
              </w:rPr>
            </w:pPr>
            <w:r w:rsidRPr="00ED13C8">
              <w:rPr>
                <w:sz w:val="16"/>
                <w:szCs w:val="16"/>
              </w:rPr>
              <w:t>Exec Dir</w:t>
            </w:r>
            <w:r w:rsidR="00326531">
              <w:rPr>
                <w:sz w:val="16"/>
                <w:szCs w:val="16"/>
              </w:rPr>
              <w:t>ector</w:t>
            </w:r>
            <w:r w:rsidRPr="00ED13C8">
              <w:rPr>
                <w:sz w:val="16"/>
                <w:szCs w:val="16"/>
              </w:rPr>
              <w:t xml:space="preserve"> Strategic Plan &amp; Partnerships</w:t>
            </w:r>
            <w:r>
              <w:rPr>
                <w:sz w:val="16"/>
                <w:szCs w:val="16"/>
              </w:rPr>
              <w:t xml:space="preserve">; </w:t>
            </w:r>
            <w:r w:rsidR="00652428" w:rsidRPr="00326531">
              <w:rPr>
                <w:b/>
                <w:sz w:val="16"/>
                <w:szCs w:val="16"/>
              </w:rPr>
              <w:t>Project  Sponsor</w:t>
            </w:r>
          </w:p>
        </w:tc>
        <w:tc>
          <w:tcPr>
            <w:tcW w:w="1209" w:type="pct"/>
          </w:tcPr>
          <w:p w:rsidR="00652428" w:rsidRDefault="00652428" w:rsidP="00921519">
            <w:pPr>
              <w:pStyle w:val="TableCell"/>
              <w:rPr>
                <w:sz w:val="16"/>
                <w:szCs w:val="16"/>
              </w:rPr>
            </w:pPr>
            <w:r>
              <w:rPr>
                <w:sz w:val="16"/>
                <w:szCs w:val="16"/>
              </w:rPr>
              <w:t>Approve</w:t>
            </w:r>
            <w:r w:rsidR="008E44F3">
              <w:rPr>
                <w:sz w:val="16"/>
                <w:szCs w:val="16"/>
              </w:rPr>
              <w:t xml:space="preserve"> project deliverable</w:t>
            </w:r>
          </w:p>
        </w:tc>
        <w:tc>
          <w:tcPr>
            <w:tcW w:w="827" w:type="pct"/>
          </w:tcPr>
          <w:p w:rsidR="00652428" w:rsidRPr="00FB4817" w:rsidRDefault="00652428" w:rsidP="008C7FE7">
            <w:pPr>
              <w:pStyle w:val="TableCell"/>
              <w:rPr>
                <w:sz w:val="16"/>
                <w:szCs w:val="16"/>
              </w:rPr>
            </w:pPr>
          </w:p>
        </w:tc>
      </w:tr>
      <w:tr w:rsidR="00BA58D9" w:rsidRPr="00FB4817" w:rsidTr="008E44F3">
        <w:tc>
          <w:tcPr>
            <w:tcW w:w="589" w:type="pct"/>
          </w:tcPr>
          <w:p w:rsidR="00BA58D9" w:rsidRDefault="00BA58D9" w:rsidP="00921519">
            <w:pPr>
              <w:pStyle w:val="TableCell"/>
              <w:rPr>
                <w:sz w:val="16"/>
                <w:szCs w:val="16"/>
              </w:rPr>
            </w:pPr>
            <w:r>
              <w:rPr>
                <w:sz w:val="16"/>
                <w:szCs w:val="16"/>
              </w:rPr>
              <w:t>eVal Dev Team</w:t>
            </w:r>
          </w:p>
        </w:tc>
        <w:tc>
          <w:tcPr>
            <w:tcW w:w="705" w:type="pct"/>
          </w:tcPr>
          <w:p w:rsidR="00BA58D9" w:rsidRDefault="00BA58D9" w:rsidP="00921519">
            <w:pPr>
              <w:pStyle w:val="TableCell"/>
              <w:rPr>
                <w:sz w:val="16"/>
                <w:szCs w:val="16"/>
              </w:rPr>
            </w:pPr>
            <w:r>
              <w:rPr>
                <w:sz w:val="16"/>
                <w:szCs w:val="16"/>
              </w:rPr>
              <w:t>Anne Chinn</w:t>
            </w:r>
          </w:p>
        </w:tc>
        <w:tc>
          <w:tcPr>
            <w:tcW w:w="1669" w:type="pct"/>
          </w:tcPr>
          <w:p w:rsidR="00BA58D9" w:rsidRDefault="00BA58D9" w:rsidP="00921519">
            <w:pPr>
              <w:pStyle w:val="TableCell"/>
              <w:rPr>
                <w:sz w:val="16"/>
                <w:szCs w:val="16"/>
              </w:rPr>
            </w:pPr>
            <w:r>
              <w:rPr>
                <w:sz w:val="16"/>
                <w:szCs w:val="16"/>
              </w:rPr>
              <w:t>Lead eVal Developer</w:t>
            </w:r>
          </w:p>
        </w:tc>
        <w:tc>
          <w:tcPr>
            <w:tcW w:w="1209" w:type="pct"/>
          </w:tcPr>
          <w:p w:rsidR="00BA58D9" w:rsidRDefault="00BA58D9" w:rsidP="00921519">
            <w:pPr>
              <w:pStyle w:val="TableCell"/>
              <w:rPr>
                <w:sz w:val="16"/>
                <w:szCs w:val="16"/>
              </w:rPr>
            </w:pPr>
            <w:r>
              <w:rPr>
                <w:sz w:val="16"/>
                <w:szCs w:val="16"/>
              </w:rPr>
              <w:t>Review</w:t>
            </w:r>
            <w:r w:rsidR="008E44F3">
              <w:rPr>
                <w:sz w:val="16"/>
                <w:szCs w:val="16"/>
              </w:rPr>
              <w:t xml:space="preserve"> and accept as milestone deliverable</w:t>
            </w:r>
          </w:p>
        </w:tc>
        <w:tc>
          <w:tcPr>
            <w:tcW w:w="827" w:type="pct"/>
          </w:tcPr>
          <w:p w:rsidR="00BA58D9" w:rsidRPr="00FB4817" w:rsidRDefault="00BA58D9" w:rsidP="00921519">
            <w:pPr>
              <w:pStyle w:val="TableCell"/>
              <w:rPr>
                <w:sz w:val="16"/>
                <w:szCs w:val="16"/>
              </w:rPr>
            </w:pPr>
          </w:p>
        </w:tc>
      </w:tr>
      <w:tr w:rsidR="00BA58D9" w:rsidRPr="00FB4817" w:rsidTr="008E44F3">
        <w:tc>
          <w:tcPr>
            <w:tcW w:w="589" w:type="pct"/>
          </w:tcPr>
          <w:p w:rsidR="00BA58D9" w:rsidRDefault="00BA58D9" w:rsidP="00921519">
            <w:pPr>
              <w:pStyle w:val="TableCell"/>
              <w:rPr>
                <w:sz w:val="16"/>
                <w:szCs w:val="16"/>
              </w:rPr>
            </w:pPr>
            <w:r>
              <w:rPr>
                <w:sz w:val="16"/>
                <w:szCs w:val="16"/>
              </w:rPr>
              <w:t>eVal Dev Team</w:t>
            </w:r>
          </w:p>
        </w:tc>
        <w:tc>
          <w:tcPr>
            <w:tcW w:w="705" w:type="pct"/>
          </w:tcPr>
          <w:p w:rsidR="00BA58D9" w:rsidRDefault="00BA58D9" w:rsidP="00921519">
            <w:pPr>
              <w:pStyle w:val="TableCell"/>
              <w:rPr>
                <w:sz w:val="16"/>
                <w:szCs w:val="16"/>
              </w:rPr>
            </w:pPr>
            <w:r>
              <w:rPr>
                <w:sz w:val="16"/>
                <w:szCs w:val="16"/>
              </w:rPr>
              <w:t>Dana Anderson</w:t>
            </w:r>
          </w:p>
        </w:tc>
        <w:tc>
          <w:tcPr>
            <w:tcW w:w="1669" w:type="pct"/>
          </w:tcPr>
          <w:p w:rsidR="00BA58D9" w:rsidRDefault="00BA58D9" w:rsidP="00921519">
            <w:pPr>
              <w:pStyle w:val="TableCell"/>
              <w:rPr>
                <w:sz w:val="16"/>
                <w:szCs w:val="16"/>
              </w:rPr>
            </w:pPr>
            <w:r>
              <w:rPr>
                <w:sz w:val="16"/>
                <w:szCs w:val="16"/>
              </w:rPr>
              <w:t>eVal Supervisor/ Project Manager</w:t>
            </w:r>
          </w:p>
        </w:tc>
        <w:tc>
          <w:tcPr>
            <w:tcW w:w="1209" w:type="pct"/>
          </w:tcPr>
          <w:p w:rsidR="00BA58D9" w:rsidRDefault="00326531" w:rsidP="00326531">
            <w:pPr>
              <w:pStyle w:val="TableCell"/>
              <w:rPr>
                <w:sz w:val="16"/>
                <w:szCs w:val="16"/>
              </w:rPr>
            </w:pPr>
            <w:r>
              <w:rPr>
                <w:sz w:val="16"/>
                <w:szCs w:val="16"/>
              </w:rPr>
              <w:t>Review and accept</w:t>
            </w:r>
            <w:r w:rsidR="008E44F3">
              <w:rPr>
                <w:sz w:val="16"/>
                <w:szCs w:val="16"/>
              </w:rPr>
              <w:t xml:space="preserve"> as milestone deliverable</w:t>
            </w:r>
          </w:p>
        </w:tc>
        <w:tc>
          <w:tcPr>
            <w:tcW w:w="827" w:type="pct"/>
          </w:tcPr>
          <w:p w:rsidR="00BA58D9" w:rsidRPr="00FB4817" w:rsidRDefault="00BA58D9" w:rsidP="00921519">
            <w:pPr>
              <w:pStyle w:val="TableCell"/>
              <w:rPr>
                <w:sz w:val="16"/>
                <w:szCs w:val="16"/>
              </w:rPr>
            </w:pPr>
          </w:p>
        </w:tc>
      </w:tr>
    </w:tbl>
    <w:p w:rsidR="00193100" w:rsidRDefault="00193100" w:rsidP="004347B8">
      <w:pPr>
        <w:rPr>
          <w:lang w:val="en-GB"/>
        </w:rPr>
      </w:pPr>
    </w:p>
    <w:sectPr w:rsidR="00193100" w:rsidSect="00663451">
      <w:pgSz w:w="12240" w:h="15840"/>
      <w:pgMar w:top="1440" w:right="1080" w:bottom="1440" w:left="1080" w:header="720" w:footer="720" w:gutter="24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8C0" w:rsidRDefault="00B528C0">
      <w:r>
        <w:separator/>
      </w:r>
    </w:p>
  </w:endnote>
  <w:endnote w:type="continuationSeparator" w:id="0">
    <w:p w:rsidR="00B528C0" w:rsidRDefault="00B5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451" w:rsidRDefault="00D13031" w:rsidP="00886434">
    <w:pPr>
      <w:pStyle w:val="Footer"/>
      <w:tabs>
        <w:tab w:val="clear" w:pos="8640"/>
        <w:tab w:val="right" w:pos="9720"/>
      </w:tabs>
    </w:pPr>
    <w:r>
      <w:fldChar w:fldCharType="begin"/>
    </w:r>
    <w:r>
      <w:instrText xml:space="preserve"> FILENAME   \* MERGEFORMAT </w:instrText>
    </w:r>
    <w:r>
      <w:fldChar w:fldCharType="separate"/>
    </w:r>
    <w:r w:rsidR="00E87BD3">
      <w:rPr>
        <w:noProof/>
      </w:rPr>
      <w:t>eVal BRD-No_1_General v1.docx</w:t>
    </w:r>
    <w:r>
      <w:rPr>
        <w:noProof/>
      </w:rPr>
      <w:fldChar w:fldCharType="end"/>
    </w:r>
    <w:r w:rsidR="00886434">
      <w:tab/>
    </w:r>
    <w:r w:rsidR="00886434">
      <w:tab/>
    </w:r>
    <w:r w:rsidR="00663451">
      <w:t xml:space="preserve"> Page </w:t>
    </w:r>
    <w:sdt>
      <w:sdtPr>
        <w:id w:val="1563987487"/>
        <w:docPartObj>
          <w:docPartGallery w:val="Page Numbers (Bottom of Page)"/>
          <w:docPartUnique/>
        </w:docPartObj>
      </w:sdtPr>
      <w:sdtEndPr>
        <w:rPr>
          <w:noProof/>
        </w:rPr>
      </w:sdtEndPr>
      <w:sdtContent>
        <w:r w:rsidR="00B8636B">
          <w:fldChar w:fldCharType="begin"/>
        </w:r>
        <w:r w:rsidR="00663451">
          <w:instrText xml:space="preserve"> PAGE   \* MERGEFORMAT </w:instrText>
        </w:r>
        <w:r w:rsidR="00B8636B">
          <w:fldChar w:fldCharType="separate"/>
        </w:r>
        <w:r>
          <w:rPr>
            <w:noProof/>
          </w:rPr>
          <w:t>5</w:t>
        </w:r>
        <w:r w:rsidR="00B8636B">
          <w:rPr>
            <w:noProof/>
          </w:rPr>
          <w:fldChar w:fldCharType="end"/>
        </w:r>
        <w:r w:rsidR="00663451">
          <w:rPr>
            <w:noProof/>
          </w:rPr>
          <w:t xml:space="preserve"> of </w:t>
        </w:r>
        <w:r>
          <w:fldChar w:fldCharType="begin"/>
        </w:r>
        <w:r>
          <w:instrText xml:space="preserve"> NUMPAGES   \* MERGEFORMAT </w:instrText>
        </w:r>
        <w:r>
          <w:fldChar w:fldCharType="separate"/>
        </w:r>
        <w:r>
          <w:rPr>
            <w:noProof/>
          </w:rPr>
          <w:t>8</w:t>
        </w:r>
        <w:r>
          <w:rPr>
            <w:noProof/>
          </w:rPr>
          <w:fldChar w:fldCharType="end"/>
        </w:r>
      </w:sdtContent>
    </w:sdt>
  </w:p>
  <w:p w:rsidR="00663451" w:rsidRDefault="00663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8C0" w:rsidRDefault="00B528C0">
      <w:r>
        <w:separator/>
      </w:r>
    </w:p>
  </w:footnote>
  <w:footnote w:type="continuationSeparator" w:id="0">
    <w:p w:rsidR="00B528C0" w:rsidRDefault="00B52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EDF" w:rsidRDefault="00537EDF">
    <w:pPr>
      <w:pStyle w:val="Header"/>
    </w:pPr>
    <w:r w:rsidRPr="00537EDF">
      <w:rPr>
        <w:noProof/>
      </w:rPr>
      <w:drawing>
        <wp:inline distT="0" distB="0" distL="0" distR="0">
          <wp:extent cx="714376" cy="1057275"/>
          <wp:effectExtent l="19050" t="0" r="9524" b="0"/>
          <wp:docPr id="8"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537EDF" w:rsidRDefault="00537EDF">
    <w:pPr>
      <w:pStyle w:val="Header"/>
    </w:pPr>
  </w:p>
  <w:p w:rsidR="00537EDF" w:rsidRDefault="00537EDF" w:rsidP="000A3821">
    <w:pPr>
      <w:pStyle w:val="Header"/>
      <w:tabs>
        <w:tab w:val="left" w:pos="13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4B67EB"/>
    <w:multiLevelType w:val="hybridMultilevel"/>
    <w:tmpl w:val="CFE4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DC2213"/>
    <w:multiLevelType w:val="hybridMultilevel"/>
    <w:tmpl w:val="AB7C5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8896DC9"/>
    <w:multiLevelType w:val="hybridMultilevel"/>
    <w:tmpl w:val="034A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62167D"/>
    <w:multiLevelType w:val="hybridMultilevel"/>
    <w:tmpl w:val="F22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6">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7">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3"/>
  </w:num>
  <w:num w:numId="3">
    <w:abstractNumId w:val="17"/>
  </w:num>
  <w:num w:numId="4">
    <w:abstractNumId w:val="22"/>
  </w:num>
  <w:num w:numId="5">
    <w:abstractNumId w:val="4"/>
  </w:num>
  <w:num w:numId="6">
    <w:abstractNumId w:val="5"/>
  </w:num>
  <w:num w:numId="7">
    <w:abstractNumId w:val="26"/>
  </w:num>
  <w:num w:numId="8">
    <w:abstractNumId w:val="37"/>
  </w:num>
  <w:num w:numId="9">
    <w:abstractNumId w:val="29"/>
  </w:num>
  <w:num w:numId="10">
    <w:abstractNumId w:val="31"/>
  </w:num>
  <w:num w:numId="11">
    <w:abstractNumId w:val="18"/>
  </w:num>
  <w:num w:numId="12">
    <w:abstractNumId w:val="25"/>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32"/>
  </w:num>
  <w:num w:numId="20">
    <w:abstractNumId w:val="3"/>
  </w:num>
  <w:num w:numId="21">
    <w:abstractNumId w:val="11"/>
  </w:num>
  <w:num w:numId="22">
    <w:abstractNumId w:val="38"/>
  </w:num>
  <w:num w:numId="23">
    <w:abstractNumId w:val="1"/>
  </w:num>
  <w:num w:numId="24">
    <w:abstractNumId w:val="8"/>
  </w:num>
  <w:num w:numId="25">
    <w:abstractNumId w:val="35"/>
  </w:num>
  <w:num w:numId="26">
    <w:abstractNumId w:val="9"/>
  </w:num>
  <w:num w:numId="27">
    <w:abstractNumId w:val="33"/>
  </w:num>
  <w:num w:numId="28">
    <w:abstractNumId w:val="36"/>
  </w:num>
  <w:num w:numId="29">
    <w:abstractNumId w:val="15"/>
  </w:num>
  <w:num w:numId="30">
    <w:abstractNumId w:val="14"/>
  </w:num>
  <w:num w:numId="31">
    <w:abstractNumId w:val="6"/>
  </w:num>
  <w:num w:numId="32">
    <w:abstractNumId w:val="30"/>
  </w:num>
  <w:num w:numId="33">
    <w:abstractNumId w:val="24"/>
  </w:num>
  <w:num w:numId="34">
    <w:abstractNumId w:val="20"/>
  </w:num>
  <w:num w:numId="35">
    <w:abstractNumId w:val="10"/>
  </w:num>
  <w:num w:numId="36">
    <w:abstractNumId w:val="21"/>
  </w:num>
  <w:num w:numId="37">
    <w:abstractNumId w:val="16"/>
  </w:num>
  <w:num w:numId="38">
    <w:abstractNumId w:val="12"/>
  </w:num>
  <w:num w:numId="39">
    <w:abstractNumId w:val="34"/>
  </w:num>
  <w:num w:numId="40">
    <w:abstractNumId w:val="27"/>
  </w:num>
  <w:num w:numId="41">
    <w:abstractNumId w:val="2"/>
  </w:num>
  <w:num w:numId="42">
    <w:abstractNumId w:val="19"/>
  </w:num>
  <w:num w:numId="43">
    <w:abstractNumId w:val="7"/>
  </w:num>
  <w:num w:numId="44">
    <w:abstractNumId w:val="28"/>
  </w:num>
  <w:num w:numId="4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6C"/>
    <w:rsid w:val="0000608F"/>
    <w:rsid w:val="000137E0"/>
    <w:rsid w:val="000142B6"/>
    <w:rsid w:val="00014C26"/>
    <w:rsid w:val="000162BF"/>
    <w:rsid w:val="0001737E"/>
    <w:rsid w:val="00021133"/>
    <w:rsid w:val="00032E52"/>
    <w:rsid w:val="000345E8"/>
    <w:rsid w:val="00040DD8"/>
    <w:rsid w:val="00040F9D"/>
    <w:rsid w:val="000539FE"/>
    <w:rsid w:val="0005790D"/>
    <w:rsid w:val="00060766"/>
    <w:rsid w:val="000623B9"/>
    <w:rsid w:val="000646A1"/>
    <w:rsid w:val="00070415"/>
    <w:rsid w:val="00077144"/>
    <w:rsid w:val="00077154"/>
    <w:rsid w:val="0009418E"/>
    <w:rsid w:val="00095FF0"/>
    <w:rsid w:val="00096936"/>
    <w:rsid w:val="000A1E9E"/>
    <w:rsid w:val="000A3821"/>
    <w:rsid w:val="000A4AB9"/>
    <w:rsid w:val="000B524B"/>
    <w:rsid w:val="000D35C5"/>
    <w:rsid w:val="000E245D"/>
    <w:rsid w:val="000E57A9"/>
    <w:rsid w:val="000E5904"/>
    <w:rsid w:val="001003ED"/>
    <w:rsid w:val="00106517"/>
    <w:rsid w:val="001072C9"/>
    <w:rsid w:val="001077F5"/>
    <w:rsid w:val="0011022F"/>
    <w:rsid w:val="00117FBD"/>
    <w:rsid w:val="001218E2"/>
    <w:rsid w:val="00125811"/>
    <w:rsid w:val="00134921"/>
    <w:rsid w:val="00141919"/>
    <w:rsid w:val="00144DD7"/>
    <w:rsid w:val="00146C06"/>
    <w:rsid w:val="00154321"/>
    <w:rsid w:val="00161707"/>
    <w:rsid w:val="0016570D"/>
    <w:rsid w:val="00171ED4"/>
    <w:rsid w:val="0017264D"/>
    <w:rsid w:val="00175AAA"/>
    <w:rsid w:val="00184714"/>
    <w:rsid w:val="00186C86"/>
    <w:rsid w:val="00190A5C"/>
    <w:rsid w:val="00193100"/>
    <w:rsid w:val="001A13A2"/>
    <w:rsid w:val="001A2D48"/>
    <w:rsid w:val="001A5918"/>
    <w:rsid w:val="001B63C1"/>
    <w:rsid w:val="001B6D2E"/>
    <w:rsid w:val="001B795F"/>
    <w:rsid w:val="001C3815"/>
    <w:rsid w:val="001D12FB"/>
    <w:rsid w:val="001D202B"/>
    <w:rsid w:val="001D425F"/>
    <w:rsid w:val="001D5B8F"/>
    <w:rsid w:val="001D76D1"/>
    <w:rsid w:val="001E3D42"/>
    <w:rsid w:val="001E698E"/>
    <w:rsid w:val="001F1BA5"/>
    <w:rsid w:val="001F1DC2"/>
    <w:rsid w:val="00206A62"/>
    <w:rsid w:val="00216038"/>
    <w:rsid w:val="00217600"/>
    <w:rsid w:val="00220A3F"/>
    <w:rsid w:val="00221093"/>
    <w:rsid w:val="00224CBA"/>
    <w:rsid w:val="002317F8"/>
    <w:rsid w:val="002402A7"/>
    <w:rsid w:val="002418C5"/>
    <w:rsid w:val="002419AA"/>
    <w:rsid w:val="00252872"/>
    <w:rsid w:val="002539AB"/>
    <w:rsid w:val="0026110A"/>
    <w:rsid w:val="002613C1"/>
    <w:rsid w:val="00263C74"/>
    <w:rsid w:val="00265CA6"/>
    <w:rsid w:val="0027111E"/>
    <w:rsid w:val="0027239A"/>
    <w:rsid w:val="0027311F"/>
    <w:rsid w:val="002741BD"/>
    <w:rsid w:val="00276606"/>
    <w:rsid w:val="00276AF8"/>
    <w:rsid w:val="00277E3A"/>
    <w:rsid w:val="00281DB8"/>
    <w:rsid w:val="002849CB"/>
    <w:rsid w:val="00290639"/>
    <w:rsid w:val="00297848"/>
    <w:rsid w:val="002A098D"/>
    <w:rsid w:val="002B187C"/>
    <w:rsid w:val="002D239C"/>
    <w:rsid w:val="002D6814"/>
    <w:rsid w:val="002D68EA"/>
    <w:rsid w:val="002D728B"/>
    <w:rsid w:val="002F1DF0"/>
    <w:rsid w:val="002F39EE"/>
    <w:rsid w:val="00321235"/>
    <w:rsid w:val="00326531"/>
    <w:rsid w:val="00335D2B"/>
    <w:rsid w:val="00343882"/>
    <w:rsid w:val="003623C7"/>
    <w:rsid w:val="003630E6"/>
    <w:rsid w:val="00364444"/>
    <w:rsid w:val="00364DF0"/>
    <w:rsid w:val="0037499E"/>
    <w:rsid w:val="00376D55"/>
    <w:rsid w:val="00377046"/>
    <w:rsid w:val="00377E0E"/>
    <w:rsid w:val="003947A5"/>
    <w:rsid w:val="003A2C69"/>
    <w:rsid w:val="003A3FCA"/>
    <w:rsid w:val="003A511E"/>
    <w:rsid w:val="003A7ACA"/>
    <w:rsid w:val="003A7E6E"/>
    <w:rsid w:val="003B338E"/>
    <w:rsid w:val="003B3731"/>
    <w:rsid w:val="003B775F"/>
    <w:rsid w:val="003C0928"/>
    <w:rsid w:val="003C1B7E"/>
    <w:rsid w:val="003C5A7D"/>
    <w:rsid w:val="003C712F"/>
    <w:rsid w:val="003D04DC"/>
    <w:rsid w:val="003D39A9"/>
    <w:rsid w:val="003D3B85"/>
    <w:rsid w:val="003D6588"/>
    <w:rsid w:val="003F6D9F"/>
    <w:rsid w:val="00403D05"/>
    <w:rsid w:val="004067E2"/>
    <w:rsid w:val="0041152F"/>
    <w:rsid w:val="00421E28"/>
    <w:rsid w:val="004234C6"/>
    <w:rsid w:val="004265AC"/>
    <w:rsid w:val="00427F69"/>
    <w:rsid w:val="004319CA"/>
    <w:rsid w:val="004347B8"/>
    <w:rsid w:val="004634EC"/>
    <w:rsid w:val="0046730C"/>
    <w:rsid w:val="004741F9"/>
    <w:rsid w:val="004776CA"/>
    <w:rsid w:val="00480144"/>
    <w:rsid w:val="00483567"/>
    <w:rsid w:val="00485408"/>
    <w:rsid w:val="00490998"/>
    <w:rsid w:val="004A0E07"/>
    <w:rsid w:val="004B0110"/>
    <w:rsid w:val="004D74A6"/>
    <w:rsid w:val="004E0551"/>
    <w:rsid w:val="004E1117"/>
    <w:rsid w:val="004E12CC"/>
    <w:rsid w:val="004E4BBA"/>
    <w:rsid w:val="004E75FD"/>
    <w:rsid w:val="004F13DD"/>
    <w:rsid w:val="004F63D1"/>
    <w:rsid w:val="004F7E1C"/>
    <w:rsid w:val="00501101"/>
    <w:rsid w:val="00502621"/>
    <w:rsid w:val="00502E43"/>
    <w:rsid w:val="00504479"/>
    <w:rsid w:val="00517773"/>
    <w:rsid w:val="00517E6C"/>
    <w:rsid w:val="005241EC"/>
    <w:rsid w:val="00525CA3"/>
    <w:rsid w:val="00527C0D"/>
    <w:rsid w:val="00532698"/>
    <w:rsid w:val="00534F7F"/>
    <w:rsid w:val="00537EDF"/>
    <w:rsid w:val="00554686"/>
    <w:rsid w:val="005620E6"/>
    <w:rsid w:val="00564EF1"/>
    <w:rsid w:val="00572F2D"/>
    <w:rsid w:val="00590CC4"/>
    <w:rsid w:val="005A7619"/>
    <w:rsid w:val="005B14C4"/>
    <w:rsid w:val="005B2EDD"/>
    <w:rsid w:val="005B311A"/>
    <w:rsid w:val="005C1757"/>
    <w:rsid w:val="005C32BD"/>
    <w:rsid w:val="005C6559"/>
    <w:rsid w:val="005C77A0"/>
    <w:rsid w:val="005D262F"/>
    <w:rsid w:val="005D75C9"/>
    <w:rsid w:val="005E2AF7"/>
    <w:rsid w:val="005E5669"/>
    <w:rsid w:val="005F171A"/>
    <w:rsid w:val="005F20B9"/>
    <w:rsid w:val="005F22E3"/>
    <w:rsid w:val="005F6C27"/>
    <w:rsid w:val="005F7B95"/>
    <w:rsid w:val="006113A8"/>
    <w:rsid w:val="006131A3"/>
    <w:rsid w:val="00614023"/>
    <w:rsid w:val="0062226A"/>
    <w:rsid w:val="00626E96"/>
    <w:rsid w:val="00635713"/>
    <w:rsid w:val="00652428"/>
    <w:rsid w:val="00661AD9"/>
    <w:rsid w:val="00663451"/>
    <w:rsid w:val="00670C74"/>
    <w:rsid w:val="00675C57"/>
    <w:rsid w:val="00677FDD"/>
    <w:rsid w:val="006814E5"/>
    <w:rsid w:val="00685614"/>
    <w:rsid w:val="00692A27"/>
    <w:rsid w:val="0069330C"/>
    <w:rsid w:val="00693832"/>
    <w:rsid w:val="00694459"/>
    <w:rsid w:val="006A1887"/>
    <w:rsid w:val="006A4035"/>
    <w:rsid w:val="006A4C93"/>
    <w:rsid w:val="006B48F8"/>
    <w:rsid w:val="006C4D4D"/>
    <w:rsid w:val="006C6738"/>
    <w:rsid w:val="006C68B3"/>
    <w:rsid w:val="006C6D5C"/>
    <w:rsid w:val="006D74AF"/>
    <w:rsid w:val="006E589B"/>
    <w:rsid w:val="006F0720"/>
    <w:rsid w:val="006F3CE4"/>
    <w:rsid w:val="00700BC2"/>
    <w:rsid w:val="007011A3"/>
    <w:rsid w:val="00702418"/>
    <w:rsid w:val="0070777E"/>
    <w:rsid w:val="0072693A"/>
    <w:rsid w:val="0073199B"/>
    <w:rsid w:val="00734521"/>
    <w:rsid w:val="0073666F"/>
    <w:rsid w:val="00740A30"/>
    <w:rsid w:val="00740D96"/>
    <w:rsid w:val="00742297"/>
    <w:rsid w:val="00743479"/>
    <w:rsid w:val="00746054"/>
    <w:rsid w:val="00746B5E"/>
    <w:rsid w:val="00754597"/>
    <w:rsid w:val="007561DB"/>
    <w:rsid w:val="007571B2"/>
    <w:rsid w:val="0076083C"/>
    <w:rsid w:val="00763BEA"/>
    <w:rsid w:val="007676CD"/>
    <w:rsid w:val="007968D0"/>
    <w:rsid w:val="007A3966"/>
    <w:rsid w:val="007A5EDF"/>
    <w:rsid w:val="007B24C2"/>
    <w:rsid w:val="007B3576"/>
    <w:rsid w:val="007B5773"/>
    <w:rsid w:val="007C17E9"/>
    <w:rsid w:val="007C1AD0"/>
    <w:rsid w:val="007C27A0"/>
    <w:rsid w:val="007C2C8D"/>
    <w:rsid w:val="007C706C"/>
    <w:rsid w:val="007D1BFF"/>
    <w:rsid w:val="007D261C"/>
    <w:rsid w:val="007E28B3"/>
    <w:rsid w:val="007E2CF3"/>
    <w:rsid w:val="007E4961"/>
    <w:rsid w:val="007E702D"/>
    <w:rsid w:val="007F02A9"/>
    <w:rsid w:val="00802412"/>
    <w:rsid w:val="008120B4"/>
    <w:rsid w:val="00812E1B"/>
    <w:rsid w:val="00814163"/>
    <w:rsid w:val="0081699C"/>
    <w:rsid w:val="008174D1"/>
    <w:rsid w:val="00827DC0"/>
    <w:rsid w:val="00834ED2"/>
    <w:rsid w:val="008411C8"/>
    <w:rsid w:val="0084634C"/>
    <w:rsid w:val="0085009B"/>
    <w:rsid w:val="008512B0"/>
    <w:rsid w:val="008604A0"/>
    <w:rsid w:val="00864CAB"/>
    <w:rsid w:val="00867462"/>
    <w:rsid w:val="00872679"/>
    <w:rsid w:val="0087273C"/>
    <w:rsid w:val="00884058"/>
    <w:rsid w:val="00886434"/>
    <w:rsid w:val="008915EE"/>
    <w:rsid w:val="008B48DF"/>
    <w:rsid w:val="008C32DE"/>
    <w:rsid w:val="008C426D"/>
    <w:rsid w:val="008C7FE7"/>
    <w:rsid w:val="008D4AB7"/>
    <w:rsid w:val="008D75E0"/>
    <w:rsid w:val="008D7694"/>
    <w:rsid w:val="008E001E"/>
    <w:rsid w:val="008E31F6"/>
    <w:rsid w:val="008E44F3"/>
    <w:rsid w:val="008F5750"/>
    <w:rsid w:val="008F7988"/>
    <w:rsid w:val="00902CE3"/>
    <w:rsid w:val="00905A6A"/>
    <w:rsid w:val="0091439A"/>
    <w:rsid w:val="00921519"/>
    <w:rsid w:val="00930575"/>
    <w:rsid w:val="00932CB0"/>
    <w:rsid w:val="00956DBE"/>
    <w:rsid w:val="00963E5D"/>
    <w:rsid w:val="009647CE"/>
    <w:rsid w:val="009679DA"/>
    <w:rsid w:val="0097074D"/>
    <w:rsid w:val="0097265F"/>
    <w:rsid w:val="00987B02"/>
    <w:rsid w:val="00991209"/>
    <w:rsid w:val="0099665E"/>
    <w:rsid w:val="009A3743"/>
    <w:rsid w:val="009A3DE8"/>
    <w:rsid w:val="009A48C9"/>
    <w:rsid w:val="009A48CC"/>
    <w:rsid w:val="009B0260"/>
    <w:rsid w:val="009B1919"/>
    <w:rsid w:val="009B2182"/>
    <w:rsid w:val="009B2667"/>
    <w:rsid w:val="009C3DBF"/>
    <w:rsid w:val="009E30F0"/>
    <w:rsid w:val="009E7E79"/>
    <w:rsid w:val="009F0EC6"/>
    <w:rsid w:val="009F208E"/>
    <w:rsid w:val="00A03968"/>
    <w:rsid w:val="00A05D14"/>
    <w:rsid w:val="00A07711"/>
    <w:rsid w:val="00A16980"/>
    <w:rsid w:val="00A22EA0"/>
    <w:rsid w:val="00A249AB"/>
    <w:rsid w:val="00A274C0"/>
    <w:rsid w:val="00A422AE"/>
    <w:rsid w:val="00A43151"/>
    <w:rsid w:val="00A43672"/>
    <w:rsid w:val="00A44835"/>
    <w:rsid w:val="00A479F8"/>
    <w:rsid w:val="00A51A31"/>
    <w:rsid w:val="00A54928"/>
    <w:rsid w:val="00A95A20"/>
    <w:rsid w:val="00AA3E49"/>
    <w:rsid w:val="00AA6C60"/>
    <w:rsid w:val="00AB2D0A"/>
    <w:rsid w:val="00AC19D9"/>
    <w:rsid w:val="00AC6EDE"/>
    <w:rsid w:val="00AD4826"/>
    <w:rsid w:val="00AE284D"/>
    <w:rsid w:val="00AF089F"/>
    <w:rsid w:val="00AF273E"/>
    <w:rsid w:val="00B15952"/>
    <w:rsid w:val="00B20E23"/>
    <w:rsid w:val="00B44375"/>
    <w:rsid w:val="00B44652"/>
    <w:rsid w:val="00B51450"/>
    <w:rsid w:val="00B528C0"/>
    <w:rsid w:val="00B5358F"/>
    <w:rsid w:val="00B57334"/>
    <w:rsid w:val="00B62769"/>
    <w:rsid w:val="00B64F6C"/>
    <w:rsid w:val="00B66038"/>
    <w:rsid w:val="00B73957"/>
    <w:rsid w:val="00B75EDB"/>
    <w:rsid w:val="00B76975"/>
    <w:rsid w:val="00B829B5"/>
    <w:rsid w:val="00B836F6"/>
    <w:rsid w:val="00B8636B"/>
    <w:rsid w:val="00B9050D"/>
    <w:rsid w:val="00BA58D9"/>
    <w:rsid w:val="00BB3A4E"/>
    <w:rsid w:val="00BC06B9"/>
    <w:rsid w:val="00BC1623"/>
    <w:rsid w:val="00BC5650"/>
    <w:rsid w:val="00BE1B30"/>
    <w:rsid w:val="00BE3718"/>
    <w:rsid w:val="00BF5637"/>
    <w:rsid w:val="00C04247"/>
    <w:rsid w:val="00C157F3"/>
    <w:rsid w:val="00C23314"/>
    <w:rsid w:val="00C3102B"/>
    <w:rsid w:val="00C318F5"/>
    <w:rsid w:val="00C35E67"/>
    <w:rsid w:val="00C418CC"/>
    <w:rsid w:val="00C431EE"/>
    <w:rsid w:val="00C477AE"/>
    <w:rsid w:val="00C50995"/>
    <w:rsid w:val="00C55462"/>
    <w:rsid w:val="00C56DF0"/>
    <w:rsid w:val="00C612A4"/>
    <w:rsid w:val="00C62DFB"/>
    <w:rsid w:val="00C6722D"/>
    <w:rsid w:val="00C70224"/>
    <w:rsid w:val="00C706C9"/>
    <w:rsid w:val="00C7180D"/>
    <w:rsid w:val="00C72F7A"/>
    <w:rsid w:val="00C73BB6"/>
    <w:rsid w:val="00C747D0"/>
    <w:rsid w:val="00C760C6"/>
    <w:rsid w:val="00C85E38"/>
    <w:rsid w:val="00C877AA"/>
    <w:rsid w:val="00C90220"/>
    <w:rsid w:val="00C91EDD"/>
    <w:rsid w:val="00C95A7E"/>
    <w:rsid w:val="00CB6E64"/>
    <w:rsid w:val="00CC323D"/>
    <w:rsid w:val="00CE4B80"/>
    <w:rsid w:val="00D128E4"/>
    <w:rsid w:val="00D13031"/>
    <w:rsid w:val="00D245BC"/>
    <w:rsid w:val="00D27C96"/>
    <w:rsid w:val="00D33950"/>
    <w:rsid w:val="00D44879"/>
    <w:rsid w:val="00D47D48"/>
    <w:rsid w:val="00D54753"/>
    <w:rsid w:val="00D65EA4"/>
    <w:rsid w:val="00D712A5"/>
    <w:rsid w:val="00D761E8"/>
    <w:rsid w:val="00D841F3"/>
    <w:rsid w:val="00D85403"/>
    <w:rsid w:val="00D864D6"/>
    <w:rsid w:val="00D93A74"/>
    <w:rsid w:val="00D9685B"/>
    <w:rsid w:val="00DA081A"/>
    <w:rsid w:val="00DA083D"/>
    <w:rsid w:val="00DA5BE0"/>
    <w:rsid w:val="00DB1D16"/>
    <w:rsid w:val="00DD54E8"/>
    <w:rsid w:val="00DF6855"/>
    <w:rsid w:val="00E04B42"/>
    <w:rsid w:val="00E06372"/>
    <w:rsid w:val="00E25B82"/>
    <w:rsid w:val="00E26A55"/>
    <w:rsid w:val="00E301A6"/>
    <w:rsid w:val="00E316DB"/>
    <w:rsid w:val="00E32FCE"/>
    <w:rsid w:val="00E3500C"/>
    <w:rsid w:val="00E413D8"/>
    <w:rsid w:val="00E416D5"/>
    <w:rsid w:val="00E41729"/>
    <w:rsid w:val="00E41D88"/>
    <w:rsid w:val="00E50C90"/>
    <w:rsid w:val="00E52E17"/>
    <w:rsid w:val="00E55636"/>
    <w:rsid w:val="00E64CA1"/>
    <w:rsid w:val="00E6536B"/>
    <w:rsid w:val="00E66BAC"/>
    <w:rsid w:val="00E6760C"/>
    <w:rsid w:val="00E77AC8"/>
    <w:rsid w:val="00E81146"/>
    <w:rsid w:val="00E843E2"/>
    <w:rsid w:val="00E875C0"/>
    <w:rsid w:val="00E87BD3"/>
    <w:rsid w:val="00E87FE2"/>
    <w:rsid w:val="00E968E8"/>
    <w:rsid w:val="00E96A9C"/>
    <w:rsid w:val="00EA298C"/>
    <w:rsid w:val="00EA6619"/>
    <w:rsid w:val="00EB13AF"/>
    <w:rsid w:val="00EB4242"/>
    <w:rsid w:val="00EC3599"/>
    <w:rsid w:val="00EC48B2"/>
    <w:rsid w:val="00EC7E3B"/>
    <w:rsid w:val="00ED13C8"/>
    <w:rsid w:val="00ED4040"/>
    <w:rsid w:val="00ED6B6A"/>
    <w:rsid w:val="00EE16D0"/>
    <w:rsid w:val="00EF0696"/>
    <w:rsid w:val="00EF17E5"/>
    <w:rsid w:val="00EF3A5E"/>
    <w:rsid w:val="00F00E74"/>
    <w:rsid w:val="00F036C9"/>
    <w:rsid w:val="00F11394"/>
    <w:rsid w:val="00F11602"/>
    <w:rsid w:val="00F234D7"/>
    <w:rsid w:val="00F244EC"/>
    <w:rsid w:val="00F276F9"/>
    <w:rsid w:val="00F30159"/>
    <w:rsid w:val="00F33373"/>
    <w:rsid w:val="00F4336A"/>
    <w:rsid w:val="00F46B06"/>
    <w:rsid w:val="00F562B8"/>
    <w:rsid w:val="00F65A8B"/>
    <w:rsid w:val="00F706BB"/>
    <w:rsid w:val="00F7149B"/>
    <w:rsid w:val="00F73D5C"/>
    <w:rsid w:val="00F747A4"/>
    <w:rsid w:val="00F771F3"/>
    <w:rsid w:val="00F81038"/>
    <w:rsid w:val="00F8490A"/>
    <w:rsid w:val="00FA1ABB"/>
    <w:rsid w:val="00FB4817"/>
    <w:rsid w:val="00FC2B2F"/>
    <w:rsid w:val="00FD1DCD"/>
    <w:rsid w:val="00FD56E7"/>
    <w:rsid w:val="00FD7432"/>
    <w:rsid w:val="00FE1234"/>
    <w:rsid w:val="00FE712B"/>
    <w:rsid w:val="00FE7AAC"/>
    <w:rsid w:val="00FF28B7"/>
    <w:rsid w:val="00FF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663451"/>
    <w:rPr>
      <w:rFonts w:ascii="Arial" w:hAnsi="Arial"/>
      <w:szCs w:val="24"/>
    </w:rPr>
  </w:style>
  <w:style w:type="paragraph" w:customStyle="1" w:styleId="Default">
    <w:name w:val="Default"/>
    <w:rsid w:val="001A5918"/>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663451"/>
    <w:rPr>
      <w:rFonts w:ascii="Arial" w:hAnsi="Arial"/>
      <w:szCs w:val="24"/>
    </w:rPr>
  </w:style>
  <w:style w:type="paragraph" w:customStyle="1" w:styleId="Default">
    <w:name w:val="Default"/>
    <w:rsid w:val="001A591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179B2805-3281-4851-B3FD-A0B990B48D48}">
  <ds:schemaRef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3D05EA46-5F4C-481F-991B-3F197F73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25</TotalTime>
  <Pages>8</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10455</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Schmidt, Donna J</cp:lastModifiedBy>
  <cp:revision>11</cp:revision>
  <cp:lastPrinted>2004-07-04T17:47:00Z</cp:lastPrinted>
  <dcterms:created xsi:type="dcterms:W3CDTF">2015-03-06T18:06:00Z</dcterms:created>
  <dcterms:modified xsi:type="dcterms:W3CDTF">2015-03-06T18:31:00Z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