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989" w:rsidRDefault="00881989" w:rsidP="00881989">
      <w:pPr>
        <w:jc w:val="center"/>
      </w:pPr>
      <w:bookmarkStart w:id="0" w:name="AuthorName"/>
      <w:bookmarkStart w:id="1" w:name="_GoBack"/>
      <w:bookmarkEnd w:id="1"/>
    </w:p>
    <w:p w:rsidR="00881989" w:rsidRDefault="00881989" w:rsidP="00881989">
      <w:pPr>
        <w:jc w:val="center"/>
      </w:pPr>
    </w:p>
    <w:p w:rsidR="00881989" w:rsidRDefault="00881989" w:rsidP="00881989">
      <w:pPr>
        <w:jc w:val="center"/>
      </w:pPr>
    </w:p>
    <w:p w:rsidR="00881989" w:rsidRPr="00FB4817" w:rsidRDefault="00881989" w:rsidP="00881989">
      <w:pPr>
        <w:jc w:val="center"/>
      </w:pPr>
    </w:p>
    <w:p w:rsidR="00881989" w:rsidRPr="00FB4817" w:rsidRDefault="00881989" w:rsidP="00881989">
      <w:pPr>
        <w:jc w:val="center"/>
      </w:pPr>
    </w:p>
    <w:p w:rsidR="00881989" w:rsidRPr="00FB4817" w:rsidRDefault="00881989" w:rsidP="00881989">
      <w:pPr>
        <w:jc w:val="center"/>
      </w:pPr>
    </w:p>
    <w:p w:rsidR="00881989" w:rsidRPr="00FB4817" w:rsidRDefault="00881989" w:rsidP="00881989">
      <w:pPr>
        <w:jc w:val="center"/>
      </w:pPr>
    </w:p>
    <w:p w:rsidR="00881989" w:rsidRPr="00FB4817" w:rsidRDefault="00881989" w:rsidP="00881989">
      <w:pPr>
        <w:jc w:val="center"/>
      </w:pPr>
    </w:p>
    <w:p w:rsidR="00881989" w:rsidRPr="00FB4817" w:rsidRDefault="00881989" w:rsidP="00881989">
      <w:pPr>
        <w:jc w:val="center"/>
      </w:pPr>
    </w:p>
    <w:p w:rsidR="00881989" w:rsidRPr="007F02A9" w:rsidRDefault="00881989" w:rsidP="00881989">
      <w:pPr>
        <w:ind w:right="1170"/>
        <w:rPr>
          <w:b/>
          <w:iCs/>
          <w:sz w:val="32"/>
          <w:szCs w:val="32"/>
        </w:rPr>
      </w:pPr>
      <w:r>
        <w:rPr>
          <w:b/>
          <w:iCs/>
          <w:sz w:val="32"/>
          <w:szCs w:val="32"/>
        </w:rPr>
        <w:t>Business Requirements Document</w:t>
      </w:r>
    </w:p>
    <w:p w:rsidR="00881989" w:rsidRPr="00CC323D" w:rsidRDefault="00881989" w:rsidP="00881989">
      <w:pPr>
        <w:ind w:right="1170"/>
        <w:rPr>
          <w:b/>
          <w:iCs/>
          <w:sz w:val="32"/>
          <w:szCs w:val="32"/>
        </w:rPr>
      </w:pPr>
      <w:r w:rsidRPr="00CC323D">
        <w:rPr>
          <w:b/>
          <w:iCs/>
          <w:sz w:val="32"/>
          <w:szCs w:val="32"/>
        </w:rPr>
        <w:t xml:space="preserve">Project: eVal </w:t>
      </w:r>
      <w:r>
        <w:rPr>
          <w:b/>
          <w:iCs/>
          <w:sz w:val="32"/>
          <w:szCs w:val="32"/>
        </w:rPr>
        <w:t>Implementation</w:t>
      </w:r>
      <w:r w:rsidRPr="00CC323D">
        <w:rPr>
          <w:b/>
          <w:iCs/>
          <w:sz w:val="32"/>
          <w:szCs w:val="32"/>
        </w:rPr>
        <w:t xml:space="preserve"> </w:t>
      </w:r>
    </w:p>
    <w:p w:rsidR="00881989" w:rsidRPr="00A54928" w:rsidRDefault="00881989" w:rsidP="00881989">
      <w:pPr>
        <w:pBdr>
          <w:bottom w:val="single" w:sz="4" w:space="1" w:color="auto"/>
        </w:pBdr>
        <w:ind w:right="1170"/>
        <w:rPr>
          <w:b/>
          <w:iCs/>
          <w:color w:val="000000" w:themeColor="text1"/>
          <w:sz w:val="32"/>
          <w:szCs w:val="32"/>
        </w:rPr>
      </w:pPr>
    </w:p>
    <w:p w:rsidR="00881989" w:rsidRDefault="00881989" w:rsidP="00881989">
      <w:pPr>
        <w:ind w:right="1170"/>
        <w:rPr>
          <w:b/>
          <w:iCs/>
          <w:color w:val="000000" w:themeColor="text1"/>
          <w:sz w:val="32"/>
          <w:szCs w:val="32"/>
        </w:rPr>
      </w:pPr>
    </w:p>
    <w:p w:rsidR="00881989" w:rsidRPr="006E2B8C" w:rsidRDefault="00881989" w:rsidP="00881989">
      <w:pPr>
        <w:ind w:right="1170"/>
        <w:rPr>
          <w:b/>
          <w:iCs/>
          <w:sz w:val="32"/>
          <w:szCs w:val="32"/>
        </w:rPr>
      </w:pPr>
    </w:p>
    <w:p w:rsidR="005E1B3F" w:rsidRPr="00881989" w:rsidRDefault="005E1B3F" w:rsidP="005E1B3F">
      <w:pPr>
        <w:ind w:right="1170"/>
        <w:rPr>
          <w:b/>
          <w:iCs/>
          <w:sz w:val="32"/>
          <w:szCs w:val="32"/>
        </w:rPr>
      </w:pPr>
    </w:p>
    <w:p w:rsidR="005E1B3F" w:rsidRPr="00881989" w:rsidRDefault="005E1B3F" w:rsidP="005E1B3F">
      <w:pPr>
        <w:ind w:right="1170"/>
        <w:rPr>
          <w:b/>
          <w:iCs/>
          <w:sz w:val="32"/>
          <w:szCs w:val="32"/>
        </w:rPr>
      </w:pPr>
      <w:r w:rsidRPr="00881989">
        <w:rPr>
          <w:b/>
          <w:iCs/>
          <w:sz w:val="32"/>
          <w:szCs w:val="32"/>
        </w:rPr>
        <w:t>BRD Title:</w:t>
      </w:r>
      <w:r w:rsidR="00881989">
        <w:rPr>
          <w:b/>
          <w:iCs/>
          <w:sz w:val="32"/>
          <w:szCs w:val="32"/>
        </w:rPr>
        <w:t xml:space="preserve"> eVal Reports</w:t>
      </w:r>
    </w:p>
    <w:p w:rsidR="005E1B3F" w:rsidRPr="00881989" w:rsidRDefault="005E1B3F" w:rsidP="005E1B3F">
      <w:pPr>
        <w:ind w:right="1170"/>
        <w:rPr>
          <w:b/>
          <w:iCs/>
          <w:sz w:val="32"/>
          <w:szCs w:val="32"/>
        </w:rPr>
      </w:pPr>
      <w:r w:rsidRPr="00881989">
        <w:rPr>
          <w:b/>
          <w:iCs/>
          <w:sz w:val="32"/>
          <w:szCs w:val="32"/>
        </w:rPr>
        <w:t>BRD: #</w:t>
      </w:r>
      <w:r w:rsidR="000701B4" w:rsidRPr="00881989">
        <w:rPr>
          <w:b/>
          <w:iCs/>
          <w:sz w:val="32"/>
          <w:szCs w:val="32"/>
        </w:rPr>
        <w:t>3</w:t>
      </w:r>
    </w:p>
    <w:p w:rsidR="00077144" w:rsidRPr="00881989" w:rsidRDefault="00077144" w:rsidP="005E1B3F"/>
    <w:p w:rsidR="00077144" w:rsidRPr="00881989" w:rsidRDefault="00077144" w:rsidP="001D5B8F">
      <w:pPr>
        <w:rPr>
          <w:lang w:val="en-GB"/>
        </w:rPr>
      </w:pPr>
    </w:p>
    <w:p w:rsidR="0001165A" w:rsidRDefault="0090572B" w:rsidP="0001165A">
      <w:pPr>
        <w:ind w:right="1170"/>
        <w:rPr>
          <w:b/>
          <w:iCs/>
          <w:sz w:val="32"/>
          <w:szCs w:val="32"/>
        </w:rPr>
      </w:pPr>
      <w:r>
        <w:rPr>
          <w:b/>
          <w:iCs/>
          <w:sz w:val="32"/>
          <w:szCs w:val="32"/>
        </w:rPr>
        <w:t>D</w:t>
      </w:r>
      <w:r w:rsidR="0001165A">
        <w:rPr>
          <w:b/>
          <w:iCs/>
          <w:sz w:val="32"/>
          <w:szCs w:val="32"/>
        </w:rPr>
        <w:t xml:space="preserve">evelopment required by: </w:t>
      </w:r>
    </w:p>
    <w:p w:rsidR="0001165A" w:rsidRPr="0090572B" w:rsidRDefault="0001165A" w:rsidP="0090572B">
      <w:pPr>
        <w:rPr>
          <w:b/>
          <w:iCs/>
          <w:sz w:val="32"/>
          <w:szCs w:val="32"/>
        </w:rPr>
      </w:pPr>
      <w:r w:rsidRPr="0090572B">
        <w:rPr>
          <w:b/>
          <w:iCs/>
          <w:sz w:val="32"/>
          <w:szCs w:val="32"/>
        </w:rPr>
        <w:t>Washington State’s eVal Team</w:t>
      </w:r>
    </w:p>
    <w:p w:rsidR="007F02A9" w:rsidRPr="00881989" w:rsidRDefault="007F02A9" w:rsidP="001D5B8F">
      <w:pPr>
        <w:rPr>
          <w:lang w:val="en-GB"/>
        </w:rPr>
      </w:pPr>
    </w:p>
    <w:p w:rsidR="00A22EA0" w:rsidRPr="00FB4817" w:rsidRDefault="00A22EA0">
      <w:pPr>
        <w:rPr>
          <w:rFonts w:cs="Arial"/>
          <w:lang w:val="en-GB"/>
        </w:rPr>
      </w:pPr>
    </w:p>
    <w:bookmarkEnd w:id="0"/>
    <w:p w:rsidR="00B15952" w:rsidRDefault="00B15952" w:rsidP="00B15952">
      <w:pPr>
        <w:ind w:right="1170"/>
        <w:rPr>
          <w:rFonts w:cs="Arial"/>
          <w:sz w:val="16"/>
          <w:szCs w:val="16"/>
        </w:rPr>
      </w:pPr>
    </w:p>
    <w:p w:rsidR="00F378BE" w:rsidRDefault="00F378BE" w:rsidP="00B15952">
      <w:pPr>
        <w:ind w:right="1170"/>
        <w:rPr>
          <w:rFonts w:cs="Arial"/>
          <w:sz w:val="16"/>
          <w:szCs w:val="16"/>
        </w:rPr>
      </w:pPr>
    </w:p>
    <w:p w:rsidR="00F378BE" w:rsidRDefault="00F378BE" w:rsidP="00B15952">
      <w:pPr>
        <w:ind w:right="1170"/>
        <w:rPr>
          <w:rFonts w:cs="Arial"/>
          <w:sz w:val="16"/>
          <w:szCs w:val="16"/>
        </w:rPr>
      </w:pPr>
    </w:p>
    <w:p w:rsidR="00881989" w:rsidRDefault="00881989">
      <w:pPr>
        <w:rPr>
          <w:rFonts w:cs="Arial"/>
          <w:sz w:val="16"/>
          <w:szCs w:val="16"/>
        </w:rPr>
      </w:pPr>
      <w:r>
        <w:rPr>
          <w:rFonts w:cs="Arial"/>
          <w:sz w:val="16"/>
          <w:szCs w:val="16"/>
        </w:rPr>
        <w:br w:type="page"/>
      </w:r>
    </w:p>
    <w:p w:rsidR="00B15952" w:rsidRDefault="00B15952" w:rsidP="00B15952">
      <w:pPr>
        <w:ind w:right="1170"/>
        <w:rPr>
          <w:rFonts w:cs="Arial"/>
          <w:sz w:val="16"/>
          <w:szCs w:val="16"/>
        </w:rPr>
      </w:pPr>
    </w:p>
    <w:p w:rsidR="00881989" w:rsidRDefault="00881989" w:rsidP="00881989"/>
    <w:p w:rsidR="00881989" w:rsidRDefault="00881989" w:rsidP="00881989"/>
    <w:p w:rsidR="00881989" w:rsidRDefault="00881989" w:rsidP="00881989">
      <w:r w:rsidRPr="00490998">
        <w:rPr>
          <w:rFonts w:cs="Arial"/>
          <w:b/>
          <w:bCs/>
          <w:kern w:val="32"/>
          <w:sz w:val="32"/>
          <w:szCs w:val="32"/>
          <w:lang w:val="en-GB"/>
        </w:rPr>
        <w:t>BACKGROUND</w:t>
      </w:r>
    </w:p>
    <w:p w:rsidR="00881989" w:rsidRDefault="00881989" w:rsidP="00881989"/>
    <w:p w:rsidR="00E01C30" w:rsidRDefault="00E01C30" w:rsidP="00E01C30">
      <w:r>
        <w:t xml:space="preserve">This Business Requirement Document (BRD) is part of a set of business requirement documents that are part of the Seattle School District’s 2015 implementation of Washington State’s online evaluation tool, eVal.  </w:t>
      </w:r>
      <w:proofErr w:type="gramStart"/>
      <w:r>
        <w:t>eVal</w:t>
      </w:r>
      <w:proofErr w:type="gramEnd"/>
      <w:r>
        <w:t xml:space="preserve"> is an online tool developed by the State to support teacher professional growth in alignment with Washington State’s mandates for TPEP (Teacher Principal Evaluation Process).  The project goal is to successfully integrate this </w:t>
      </w:r>
      <w:proofErr w:type="gramStart"/>
      <w:r>
        <w:t>tool  into</w:t>
      </w:r>
      <w:proofErr w:type="gramEnd"/>
      <w:r>
        <w:t xml:space="preserve"> the District’s TPEP activities, adhering to the District’s obligations of its CBA and to the spirit of the TPEP process which is aimed at fostering professional growth through collaborative, face-to-face discussions between teacher and evaluator.</w:t>
      </w:r>
    </w:p>
    <w:p w:rsidR="00E01C30" w:rsidRDefault="00E01C30" w:rsidP="00E01C30"/>
    <w:p w:rsidR="00E01C30" w:rsidRDefault="00E01C30" w:rsidP="00E01C30">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E01C30" w:rsidRDefault="00E01C30" w:rsidP="00E01C30"/>
    <w:p w:rsidR="00E01C30" w:rsidRPr="004E75FD" w:rsidRDefault="00E01C30" w:rsidP="00E01C30">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881989" w:rsidRDefault="00881989" w:rsidP="00881989"/>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90572B" w:rsidRPr="0058493F" w:rsidTr="00977B2F">
        <w:trPr>
          <w:trHeight w:val="398"/>
          <w:tblHeader/>
        </w:trPr>
        <w:tc>
          <w:tcPr>
            <w:tcW w:w="1470" w:type="dxa"/>
            <w:tcBorders>
              <w:top w:val="single" w:sz="6" w:space="0" w:color="auto"/>
              <w:left w:val="single" w:sz="6" w:space="0" w:color="auto"/>
              <w:bottom w:val="single" w:sz="6" w:space="0" w:color="auto"/>
            </w:tcBorders>
            <w:shd w:val="clear" w:color="auto" w:fill="000000"/>
          </w:tcPr>
          <w:p w:rsidR="0090572B" w:rsidRPr="00C264DA" w:rsidRDefault="0090572B" w:rsidP="00977B2F">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90572B" w:rsidRPr="00C264DA" w:rsidRDefault="0090572B" w:rsidP="00977B2F">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90572B" w:rsidRPr="00C264DA" w:rsidRDefault="0090572B" w:rsidP="00977B2F">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90572B" w:rsidRPr="00C264DA" w:rsidRDefault="0090572B" w:rsidP="00977B2F">
            <w:pPr>
              <w:pStyle w:val="TableHeading"/>
              <w:jc w:val="center"/>
              <w:rPr>
                <w:bCs/>
                <w:sz w:val="16"/>
                <w:szCs w:val="16"/>
              </w:rPr>
            </w:pPr>
            <w:r w:rsidRPr="00C264DA">
              <w:rPr>
                <w:bCs/>
                <w:sz w:val="16"/>
                <w:szCs w:val="16"/>
              </w:rPr>
              <w:t>Description of Change</w:t>
            </w:r>
          </w:p>
        </w:tc>
      </w:tr>
      <w:tr w:rsidR="0090572B" w:rsidRPr="0058493F" w:rsidTr="00977B2F">
        <w:trPr>
          <w:trHeight w:val="297"/>
        </w:trPr>
        <w:tc>
          <w:tcPr>
            <w:tcW w:w="1470" w:type="dxa"/>
            <w:tcBorders>
              <w:top w:val="single" w:sz="6" w:space="0" w:color="auto"/>
            </w:tcBorders>
          </w:tcPr>
          <w:p w:rsidR="0090572B" w:rsidRPr="0058493F" w:rsidRDefault="0090572B" w:rsidP="00977B2F">
            <w:pPr>
              <w:pStyle w:val="TableCell"/>
              <w:jc w:val="center"/>
              <w:rPr>
                <w:sz w:val="16"/>
                <w:szCs w:val="16"/>
              </w:rPr>
            </w:pPr>
            <w:r>
              <w:rPr>
                <w:sz w:val="16"/>
                <w:szCs w:val="16"/>
              </w:rPr>
              <w:t>1</w:t>
            </w:r>
          </w:p>
        </w:tc>
        <w:tc>
          <w:tcPr>
            <w:tcW w:w="1573" w:type="dxa"/>
            <w:tcBorders>
              <w:top w:val="single" w:sz="6" w:space="0" w:color="auto"/>
            </w:tcBorders>
          </w:tcPr>
          <w:p w:rsidR="0090572B" w:rsidRPr="0058493F" w:rsidRDefault="0090572B" w:rsidP="00977B2F">
            <w:pPr>
              <w:pStyle w:val="TableCell"/>
              <w:jc w:val="center"/>
              <w:rPr>
                <w:sz w:val="16"/>
                <w:szCs w:val="16"/>
              </w:rPr>
            </w:pPr>
            <w:r>
              <w:rPr>
                <w:sz w:val="16"/>
                <w:szCs w:val="16"/>
              </w:rPr>
              <w:t>10/31/14</w:t>
            </w:r>
          </w:p>
        </w:tc>
        <w:tc>
          <w:tcPr>
            <w:tcW w:w="1470" w:type="dxa"/>
            <w:tcBorders>
              <w:top w:val="single" w:sz="6" w:space="0" w:color="auto"/>
            </w:tcBorders>
          </w:tcPr>
          <w:p w:rsidR="0090572B" w:rsidRPr="0058493F" w:rsidRDefault="0090572B" w:rsidP="00977B2F">
            <w:pPr>
              <w:pStyle w:val="TableCell"/>
              <w:jc w:val="center"/>
              <w:rPr>
                <w:sz w:val="16"/>
                <w:szCs w:val="16"/>
              </w:rPr>
            </w:pPr>
            <w:r>
              <w:rPr>
                <w:sz w:val="16"/>
                <w:szCs w:val="16"/>
              </w:rPr>
              <w:t>Donna Schmidt</w:t>
            </w:r>
          </w:p>
        </w:tc>
        <w:tc>
          <w:tcPr>
            <w:tcW w:w="5601" w:type="dxa"/>
            <w:tcBorders>
              <w:top w:val="single" w:sz="6" w:space="0" w:color="auto"/>
            </w:tcBorders>
          </w:tcPr>
          <w:p w:rsidR="0090572B" w:rsidRPr="0058493F" w:rsidRDefault="0090572B" w:rsidP="00977B2F">
            <w:pPr>
              <w:pStyle w:val="TableCell"/>
              <w:rPr>
                <w:sz w:val="16"/>
                <w:szCs w:val="16"/>
              </w:rPr>
            </w:pPr>
            <w:r>
              <w:rPr>
                <w:sz w:val="16"/>
                <w:szCs w:val="16"/>
              </w:rPr>
              <w:t>Baseline; submitted to for review  to eVal, DOTs and HR teams</w:t>
            </w:r>
          </w:p>
        </w:tc>
      </w:tr>
      <w:tr w:rsidR="00B10F7E" w:rsidRPr="00037425" w:rsidTr="00B10F7E">
        <w:trPr>
          <w:trHeight w:val="349"/>
        </w:trPr>
        <w:tc>
          <w:tcPr>
            <w:tcW w:w="1470" w:type="dxa"/>
            <w:tcBorders>
              <w:top w:val="single" w:sz="6" w:space="0" w:color="auto"/>
              <w:left w:val="single" w:sz="12" w:space="0" w:color="auto"/>
              <w:bottom w:val="single" w:sz="12" w:space="0" w:color="auto"/>
              <w:right w:val="single" w:sz="6" w:space="0" w:color="auto"/>
            </w:tcBorders>
          </w:tcPr>
          <w:p w:rsidR="00B10F7E" w:rsidRDefault="00B10F7E" w:rsidP="00B10F7E">
            <w:pPr>
              <w:pStyle w:val="TableCell"/>
              <w:jc w:val="center"/>
              <w:rPr>
                <w:sz w:val="16"/>
                <w:szCs w:val="16"/>
              </w:rPr>
            </w:pPr>
            <w:r>
              <w:rPr>
                <w:sz w:val="16"/>
                <w:szCs w:val="16"/>
              </w:rPr>
              <w:t>2</w:t>
            </w:r>
          </w:p>
        </w:tc>
        <w:tc>
          <w:tcPr>
            <w:tcW w:w="1573" w:type="dxa"/>
            <w:tcBorders>
              <w:top w:val="single" w:sz="6" w:space="0" w:color="auto"/>
              <w:left w:val="single" w:sz="6" w:space="0" w:color="auto"/>
              <w:bottom w:val="single" w:sz="12" w:space="0" w:color="auto"/>
              <w:right w:val="single" w:sz="6" w:space="0" w:color="auto"/>
            </w:tcBorders>
          </w:tcPr>
          <w:p w:rsidR="00B10F7E" w:rsidRDefault="00B10F7E" w:rsidP="00B10F7E">
            <w:pPr>
              <w:pStyle w:val="TableCell"/>
              <w:jc w:val="center"/>
              <w:rPr>
                <w:sz w:val="16"/>
                <w:szCs w:val="16"/>
              </w:rPr>
            </w:pPr>
            <w:r>
              <w:rPr>
                <w:sz w:val="16"/>
                <w:szCs w:val="16"/>
              </w:rPr>
              <w:t>11/19/14</w:t>
            </w:r>
          </w:p>
        </w:tc>
        <w:tc>
          <w:tcPr>
            <w:tcW w:w="1470" w:type="dxa"/>
            <w:tcBorders>
              <w:top w:val="single" w:sz="6" w:space="0" w:color="auto"/>
              <w:left w:val="single" w:sz="6" w:space="0" w:color="auto"/>
              <w:bottom w:val="single" w:sz="12" w:space="0" w:color="auto"/>
              <w:right w:val="single" w:sz="6" w:space="0" w:color="auto"/>
            </w:tcBorders>
          </w:tcPr>
          <w:p w:rsidR="00B10F7E" w:rsidRDefault="00B10F7E" w:rsidP="00B10F7E">
            <w:pPr>
              <w:pStyle w:val="TableCell"/>
              <w:jc w:val="center"/>
              <w:rPr>
                <w:sz w:val="16"/>
                <w:szCs w:val="16"/>
              </w:rPr>
            </w:pPr>
            <w:r>
              <w:rPr>
                <w:sz w:val="16"/>
                <w:szCs w:val="16"/>
              </w:rPr>
              <w:t>Donna Schmidt</w:t>
            </w:r>
          </w:p>
        </w:tc>
        <w:tc>
          <w:tcPr>
            <w:tcW w:w="5601" w:type="dxa"/>
            <w:tcBorders>
              <w:top w:val="single" w:sz="6" w:space="0" w:color="auto"/>
              <w:left w:val="single" w:sz="6" w:space="0" w:color="auto"/>
              <w:bottom w:val="single" w:sz="12" w:space="0" w:color="auto"/>
              <w:right w:val="single" w:sz="12" w:space="0" w:color="auto"/>
            </w:tcBorders>
          </w:tcPr>
          <w:p w:rsidR="00B10F7E" w:rsidRDefault="00B10F7E" w:rsidP="00B10F7E">
            <w:pPr>
              <w:pStyle w:val="TableCell"/>
              <w:rPr>
                <w:sz w:val="16"/>
                <w:szCs w:val="16"/>
              </w:rPr>
            </w:pPr>
            <w:r>
              <w:rPr>
                <w:sz w:val="16"/>
                <w:szCs w:val="16"/>
              </w:rPr>
              <w:t>Misc. word smithing per stakeholder review (no material  changes); updated Review/Approval table to reflect current status</w:t>
            </w:r>
          </w:p>
        </w:tc>
      </w:tr>
    </w:tbl>
    <w:p w:rsidR="0090572B" w:rsidRPr="00953067" w:rsidRDefault="0090572B" w:rsidP="0090572B">
      <w:pPr>
        <w:pStyle w:val="Body"/>
      </w:pPr>
    </w:p>
    <w:p w:rsidR="007F02A9" w:rsidRDefault="007F02A9" w:rsidP="0090572B">
      <w:pPr>
        <w:rPr>
          <w:lang w:val="en-GB"/>
        </w:rPr>
      </w:pPr>
    </w:p>
    <w:p w:rsidR="007A3966" w:rsidRDefault="007A3966" w:rsidP="007A3966">
      <w:pPr>
        <w:rPr>
          <w:lang w:val="en-GB"/>
        </w:rPr>
      </w:pPr>
    </w:p>
    <w:p w:rsidR="007A3966" w:rsidRDefault="007A3966" w:rsidP="007A3966">
      <w:pPr>
        <w:rPr>
          <w:lang w:val="en-GB"/>
        </w:rPr>
      </w:pPr>
    </w:p>
    <w:p w:rsidR="00881989" w:rsidRDefault="00881989">
      <w:pPr>
        <w:rPr>
          <w:lang w:val="en-GB"/>
        </w:rPr>
      </w:pPr>
      <w:r>
        <w:rPr>
          <w:lang w:val="en-GB"/>
        </w:rPr>
        <w:br w:type="page"/>
      </w:r>
    </w:p>
    <w:p w:rsidR="007A3966" w:rsidRDefault="007A3966" w:rsidP="007A3966">
      <w:pPr>
        <w:rPr>
          <w:lang w:val="en-GB"/>
        </w:rPr>
      </w:pPr>
    </w:p>
    <w:p w:rsidR="007A3966" w:rsidRDefault="007A3966" w:rsidP="007A3966">
      <w:pPr>
        <w:rPr>
          <w:lang w:val="en-GB"/>
        </w:rPr>
      </w:pPr>
    </w:p>
    <w:p w:rsidR="00125811" w:rsidRDefault="003D3B85" w:rsidP="00125811">
      <w:pPr>
        <w:pStyle w:val="Heading1"/>
        <w:numPr>
          <w:ilvl w:val="0"/>
          <w:numId w:val="3"/>
        </w:numPr>
      </w:pPr>
      <w:bookmarkStart w:id="2" w:name="_Toc401560843"/>
      <w:r>
        <w:rPr>
          <w:lang w:val="en-GB"/>
        </w:rPr>
        <w:t>High Level Requirement Description</w:t>
      </w:r>
      <w:bookmarkEnd w:id="2"/>
      <w:r>
        <w:rPr>
          <w:lang w:val="en-GB"/>
        </w:rPr>
        <w:t xml:space="preserve"> </w:t>
      </w:r>
    </w:p>
    <w:p w:rsidR="00EF3A5E" w:rsidRPr="00FB4817" w:rsidRDefault="00470638" w:rsidP="001F1BA5">
      <w:pPr>
        <w:ind w:left="360"/>
        <w:rPr>
          <w:rFonts w:cs="Arial"/>
        </w:rPr>
      </w:pPr>
      <w:r>
        <w:rPr>
          <w:rFonts w:cs="Arial"/>
        </w:rPr>
        <w:t>These requirements are related to changes being requested to reports (or report settings) within eVal.</w:t>
      </w:r>
    </w:p>
    <w:p w:rsidR="00252872" w:rsidRDefault="00252872" w:rsidP="00E50C90">
      <w:pPr>
        <w:pStyle w:val="Heading1"/>
        <w:numPr>
          <w:ilvl w:val="0"/>
          <w:numId w:val="3"/>
        </w:numPr>
        <w:rPr>
          <w:lang w:val="en-GB"/>
        </w:rPr>
      </w:pPr>
      <w:bookmarkStart w:id="3" w:name="_Toc401560844"/>
      <w:r>
        <w:rPr>
          <w:lang w:val="en-GB"/>
        </w:rPr>
        <w:t>Business Objective</w:t>
      </w:r>
      <w:bookmarkEnd w:id="3"/>
    </w:p>
    <w:p w:rsidR="00B64F6C" w:rsidRPr="00E50C90" w:rsidRDefault="00106F3B" w:rsidP="001F1BA5">
      <w:pPr>
        <w:ind w:left="360"/>
        <w:rPr>
          <w:lang w:val="en-GB"/>
        </w:rPr>
      </w:pPr>
      <w:r>
        <w:rPr>
          <w:lang w:val="en-GB"/>
        </w:rPr>
        <w:t>The requirements in this document will bring the eVal reports into compliance with District CBA language and spirit of District’s TPEP process</w:t>
      </w:r>
    </w:p>
    <w:p w:rsidR="00252872" w:rsidRDefault="00DA081A" w:rsidP="00B64F6C">
      <w:pPr>
        <w:pStyle w:val="Heading1"/>
        <w:numPr>
          <w:ilvl w:val="0"/>
          <w:numId w:val="3"/>
        </w:numPr>
        <w:rPr>
          <w:lang w:val="en-GB"/>
        </w:rPr>
      </w:pPr>
      <w:bookmarkStart w:id="4" w:name="_Toc100563404"/>
      <w:bookmarkStart w:id="5" w:name="_Toc100563406"/>
      <w:bookmarkStart w:id="6" w:name="_Toc401560845"/>
      <w:bookmarkEnd w:id="4"/>
      <w:bookmarkEnd w:id="5"/>
      <w:r>
        <w:rPr>
          <w:lang w:val="en-GB"/>
        </w:rPr>
        <w:t xml:space="preserve">Business </w:t>
      </w:r>
      <w:r w:rsidR="00252872">
        <w:rPr>
          <w:lang w:val="en-GB"/>
        </w:rPr>
        <w:t>p</w:t>
      </w:r>
      <w:r>
        <w:rPr>
          <w:lang w:val="en-GB"/>
        </w:rPr>
        <w:t>rocesses</w:t>
      </w:r>
      <w:r w:rsidR="00252872">
        <w:rPr>
          <w:lang w:val="en-GB"/>
        </w:rPr>
        <w:t xml:space="preserve"> impacted by the change</w:t>
      </w:r>
      <w:bookmarkEnd w:id="6"/>
    </w:p>
    <w:p w:rsidR="00B301DB" w:rsidRDefault="00A10655" w:rsidP="00DF622B">
      <w:pPr>
        <w:pStyle w:val="GuidanceText"/>
        <w:ind w:firstLine="360"/>
        <w:rPr>
          <w:i w:val="0"/>
          <w:color w:val="000000"/>
        </w:rPr>
      </w:pPr>
      <w:r>
        <w:rPr>
          <w:i w:val="0"/>
          <w:color w:val="000000"/>
        </w:rPr>
        <w:t xml:space="preserve">The TPEP processes related to observation and evaluation reports. </w:t>
      </w:r>
    </w:p>
    <w:p w:rsidR="00B64F6C" w:rsidRPr="00E50C90" w:rsidRDefault="00FD273C" w:rsidP="00B64F6C">
      <w:pPr>
        <w:pStyle w:val="Heading1"/>
        <w:numPr>
          <w:ilvl w:val="0"/>
          <w:numId w:val="3"/>
        </w:numPr>
        <w:rPr>
          <w:lang w:val="en-GB"/>
        </w:rPr>
      </w:pPr>
      <w:bookmarkStart w:id="7" w:name="_Toc100563408"/>
      <w:bookmarkStart w:id="8" w:name="_Toc401560846"/>
      <w:bookmarkEnd w:id="7"/>
      <w:r>
        <w:rPr>
          <w:lang w:val="en-GB"/>
        </w:rPr>
        <w:t>R</w:t>
      </w:r>
      <w:r w:rsidR="00DA081A">
        <w:rPr>
          <w:lang w:val="en-GB"/>
        </w:rPr>
        <w:t>equirement Details</w:t>
      </w:r>
      <w:bookmarkEnd w:id="8"/>
    </w:p>
    <w:tbl>
      <w:tblPr>
        <w:tblpPr w:leftFromText="180" w:rightFromText="180" w:vertAnchor="text" w:horzAnchor="margin" w:tblpY="723"/>
        <w:tblW w:w="10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88"/>
        <w:gridCol w:w="3103"/>
        <w:gridCol w:w="6077"/>
      </w:tblGrid>
      <w:tr w:rsidR="003C5A7D" w:rsidTr="009F6014">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9" w:name="_Toc75136613"/>
            <w:bookmarkStart w:id="10" w:name="_Toc75677719"/>
            <w:bookmarkStart w:id="11" w:name="_Toc76183422"/>
            <w:bookmarkStart w:id="12" w:name="_Toc106442830"/>
            <w:r>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470638">
            <w:pPr>
              <w:spacing w:line="276" w:lineRule="auto"/>
              <w:rPr>
                <w:rFonts w:cs="Arial"/>
                <w:color w:val="FFFFFF"/>
              </w:rPr>
            </w:pPr>
            <w:r>
              <w:rPr>
                <w:rFonts w:cs="Arial"/>
                <w:color w:val="FFFFFF"/>
              </w:rPr>
              <w:t>Requirement</w:t>
            </w:r>
          </w:p>
        </w:tc>
        <w:tc>
          <w:tcPr>
            <w:tcW w:w="607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9F6014">
        <w:tc>
          <w:tcPr>
            <w:tcW w:w="1188" w:type="dxa"/>
            <w:tcMar>
              <w:top w:w="0" w:type="dxa"/>
              <w:left w:w="108" w:type="dxa"/>
              <w:bottom w:w="0" w:type="dxa"/>
              <w:right w:w="108" w:type="dxa"/>
            </w:tcMar>
            <w:vAlign w:val="center"/>
          </w:tcPr>
          <w:p w:rsidR="003C5A7D" w:rsidRDefault="009E4705" w:rsidP="003C5A7D">
            <w:pPr>
              <w:jc w:val="center"/>
              <w:rPr>
                <w:rFonts w:ascii="Calibri" w:hAnsi="Calibri" w:cs="Arial"/>
                <w:szCs w:val="20"/>
              </w:rPr>
            </w:pPr>
            <w:r>
              <w:rPr>
                <w:rFonts w:ascii="Calibri" w:hAnsi="Calibri" w:cs="Arial"/>
                <w:szCs w:val="20"/>
              </w:rPr>
              <w:t>3.1</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D07828" w:rsidP="002D247C">
            <w:pPr>
              <w:spacing w:line="276" w:lineRule="auto"/>
            </w:pPr>
            <w:r>
              <w:t xml:space="preserve">Need the </w:t>
            </w:r>
            <w:proofErr w:type="spellStart"/>
            <w:r>
              <w:t>eval</w:t>
            </w:r>
            <w:proofErr w:type="spellEnd"/>
            <w:r>
              <w:t xml:space="preserve"> report titled “</w:t>
            </w:r>
            <w:r w:rsidR="002D247C">
              <w:t>Score Alignment Report</w:t>
            </w:r>
            <w:r>
              <w:t xml:space="preserve">” hidden or removed from the </w:t>
            </w:r>
            <w:r w:rsidR="002D247C">
              <w:t>Self Assessment module (ideally, as a District-wide configuration setting)</w:t>
            </w:r>
            <w:r w:rsidR="004E71C1">
              <w:t>.</w:t>
            </w:r>
          </w:p>
        </w:tc>
        <w:tc>
          <w:tcPr>
            <w:tcW w:w="6077" w:type="dxa"/>
            <w:tcMar>
              <w:top w:w="0" w:type="dxa"/>
              <w:left w:w="108" w:type="dxa"/>
              <w:bottom w:w="0" w:type="dxa"/>
              <w:right w:w="108" w:type="dxa"/>
            </w:tcMar>
          </w:tcPr>
          <w:p w:rsidR="00470638" w:rsidRDefault="00470638" w:rsidP="00DB576D">
            <w:pPr>
              <w:spacing w:line="276" w:lineRule="auto"/>
              <w:rPr>
                <w:rFonts w:cs="Arial"/>
                <w:color w:val="000000"/>
              </w:rPr>
            </w:pPr>
            <w:bookmarkStart w:id="13" w:name="_BR16"/>
            <w:bookmarkEnd w:id="13"/>
            <w:r>
              <w:rPr>
                <w:rFonts w:cs="Arial"/>
                <w:color w:val="000000"/>
              </w:rPr>
              <w:t xml:space="preserve">The District is concerned that the report infers an accountable connection </w:t>
            </w:r>
            <w:proofErr w:type="gramStart"/>
            <w:r>
              <w:rPr>
                <w:rFonts w:cs="Arial"/>
                <w:color w:val="000000"/>
              </w:rPr>
              <w:t>between  the</w:t>
            </w:r>
            <w:proofErr w:type="gramEnd"/>
            <w:r>
              <w:rPr>
                <w:rFonts w:cs="Arial"/>
                <w:color w:val="000000"/>
              </w:rPr>
              <w:t xml:space="preserve"> self assessment and the final evaluation which does not currently exist in the District CBA or TPEP processes.  Also, the District is concerned that the title of this report has a negative, compliance feel.</w:t>
            </w:r>
          </w:p>
          <w:p w:rsidR="00470638" w:rsidRDefault="00470638" w:rsidP="00DB576D">
            <w:pPr>
              <w:spacing w:line="276" w:lineRule="auto"/>
              <w:rPr>
                <w:rFonts w:cs="Arial"/>
                <w:color w:val="000000"/>
              </w:rPr>
            </w:pPr>
          </w:p>
          <w:p w:rsidR="009F6014" w:rsidRPr="0037499E" w:rsidRDefault="00470638" w:rsidP="00470638">
            <w:pPr>
              <w:spacing w:line="276" w:lineRule="auto"/>
              <w:rPr>
                <w:rFonts w:cs="Arial"/>
                <w:color w:val="000000"/>
              </w:rPr>
            </w:pPr>
            <w:r>
              <w:rPr>
                <w:rFonts w:cs="Arial"/>
                <w:color w:val="000000"/>
              </w:rPr>
              <w:t xml:space="preserve">Therefore, the ability to hide this report at a District level is requested.  </w:t>
            </w:r>
          </w:p>
        </w:tc>
      </w:tr>
      <w:tr w:rsidR="003C5A7D" w:rsidRPr="001D088E" w:rsidTr="009F6014">
        <w:tc>
          <w:tcPr>
            <w:tcW w:w="1188" w:type="dxa"/>
            <w:tcMar>
              <w:top w:w="0" w:type="dxa"/>
              <w:left w:w="108" w:type="dxa"/>
              <w:bottom w:w="0" w:type="dxa"/>
              <w:right w:w="108" w:type="dxa"/>
            </w:tcMar>
            <w:vAlign w:val="center"/>
          </w:tcPr>
          <w:p w:rsidR="00403C1C" w:rsidRDefault="009E4705" w:rsidP="00403C1C">
            <w:pPr>
              <w:jc w:val="center"/>
              <w:rPr>
                <w:rFonts w:ascii="Calibri" w:hAnsi="Calibri" w:cs="Arial"/>
                <w:szCs w:val="20"/>
              </w:rPr>
            </w:pPr>
            <w:r>
              <w:rPr>
                <w:rFonts w:ascii="Calibri" w:hAnsi="Calibri" w:cs="Arial"/>
                <w:szCs w:val="20"/>
              </w:rPr>
              <w:t>3.2</w:t>
            </w:r>
          </w:p>
          <w:p w:rsidR="00B04C41" w:rsidRDefault="00B04C41" w:rsidP="00B04C41">
            <w:pPr>
              <w:jc w:val="center"/>
              <w:rPr>
                <w:rFonts w:ascii="Calibri" w:hAnsi="Calibri" w:cs="Arial"/>
                <w:szCs w:val="20"/>
              </w:rPr>
            </w:pPr>
          </w:p>
          <w:p w:rsidR="003C5A7D" w:rsidRPr="001D088E" w:rsidRDefault="003C5A7D" w:rsidP="003C5A7D">
            <w:pPr>
              <w:spacing w:line="276" w:lineRule="auto"/>
              <w:jc w:val="center"/>
              <w:rPr>
                <w:rFonts w:cs="Arial"/>
              </w:rPr>
            </w:pPr>
          </w:p>
        </w:tc>
        <w:tc>
          <w:tcPr>
            <w:tcW w:w="3103" w:type="dxa"/>
            <w:tcMar>
              <w:top w:w="0" w:type="dxa"/>
              <w:left w:w="108" w:type="dxa"/>
              <w:bottom w:w="0" w:type="dxa"/>
              <w:right w:w="108" w:type="dxa"/>
            </w:tcMar>
            <w:vAlign w:val="center"/>
          </w:tcPr>
          <w:p w:rsidR="000540A6" w:rsidRPr="000540A6" w:rsidRDefault="005C7A84" w:rsidP="000540A6">
            <w:pPr>
              <w:shd w:val="clear" w:color="auto" w:fill="FFFFFF"/>
              <w:rPr>
                <w:rFonts w:cs="Arial"/>
              </w:rPr>
            </w:pPr>
            <w:proofErr w:type="spellStart"/>
            <w:r>
              <w:rPr>
                <w:rFonts w:cs="Arial"/>
              </w:rPr>
              <w:t>Obervation</w:t>
            </w:r>
            <w:proofErr w:type="spellEnd"/>
            <w:r>
              <w:rPr>
                <w:rFonts w:cs="Arial"/>
              </w:rPr>
              <w:t xml:space="preserve"> reports </w:t>
            </w:r>
            <w:r w:rsidR="004A3B2C">
              <w:rPr>
                <w:rFonts w:cs="Arial"/>
              </w:rPr>
              <w:t xml:space="preserve">and Evaluation reports </w:t>
            </w:r>
            <w:r>
              <w:rPr>
                <w:rFonts w:cs="Arial"/>
              </w:rPr>
              <w:t>should not make any reference to a data entry field if a value for that fiel</w:t>
            </w:r>
            <w:r w:rsidR="002A76A5">
              <w:rPr>
                <w:rFonts w:cs="Arial"/>
              </w:rPr>
              <w:t xml:space="preserve">d is not provided by the user, nor to a reporting section if that section </w:t>
            </w:r>
            <w:proofErr w:type="gramStart"/>
            <w:r w:rsidR="002A76A5">
              <w:rPr>
                <w:rFonts w:cs="Arial"/>
              </w:rPr>
              <w:t>was  not</w:t>
            </w:r>
            <w:proofErr w:type="gramEnd"/>
            <w:r w:rsidR="002A76A5">
              <w:rPr>
                <w:rFonts w:cs="Arial"/>
              </w:rPr>
              <w:t xml:space="preserve"> selected for the report.  Specifically, the report should not say “No information provide</w:t>
            </w:r>
            <w:r w:rsidR="000540A6">
              <w:rPr>
                <w:rFonts w:cs="Arial"/>
              </w:rPr>
              <w:t>d</w:t>
            </w:r>
            <w:r w:rsidR="002A76A5">
              <w:rPr>
                <w:rFonts w:cs="Arial"/>
              </w:rPr>
              <w:t>”</w:t>
            </w:r>
            <w:r w:rsidR="000540A6">
              <w:rPr>
                <w:rFonts w:cs="Arial"/>
              </w:rPr>
              <w:t xml:space="preserve"> for a missing field</w:t>
            </w:r>
            <w:r w:rsidR="002A76A5">
              <w:rPr>
                <w:rFonts w:cs="Arial"/>
              </w:rPr>
              <w:t>, nor</w:t>
            </w:r>
            <w:r w:rsidR="000540A6">
              <w:rPr>
                <w:rFonts w:cs="Arial"/>
              </w:rPr>
              <w:t xml:space="preserve"> say “</w:t>
            </w:r>
            <w:r w:rsidR="000540A6" w:rsidRPr="000540A6">
              <w:rPr>
                <w:rFonts w:cs="Arial"/>
              </w:rPr>
              <w:t>Session Recommendations</w:t>
            </w:r>
          </w:p>
          <w:p w:rsidR="000540A6" w:rsidRPr="000540A6" w:rsidRDefault="000540A6" w:rsidP="000540A6">
            <w:pPr>
              <w:shd w:val="clear" w:color="auto" w:fill="FFFFFF"/>
              <w:rPr>
                <w:rFonts w:cs="Arial"/>
              </w:rPr>
            </w:pPr>
            <w:r w:rsidRPr="000540A6">
              <w:rPr>
                <w:rFonts w:cs="Arial"/>
              </w:rPr>
              <w:t>No responses found</w:t>
            </w:r>
            <w:r>
              <w:rPr>
                <w:rFonts w:cs="Arial"/>
              </w:rPr>
              <w:t>” if the user has not chosen to include Session Recommendation, nor say “</w:t>
            </w:r>
            <w:r w:rsidRPr="000540A6">
              <w:rPr>
                <w:rFonts w:cs="Arial"/>
              </w:rPr>
              <w:t>Post-Conference Prompts</w:t>
            </w:r>
          </w:p>
          <w:p w:rsidR="003C5A7D" w:rsidRPr="001D088E" w:rsidRDefault="000540A6" w:rsidP="000540A6">
            <w:pPr>
              <w:spacing w:line="276" w:lineRule="auto"/>
              <w:rPr>
                <w:rFonts w:cs="Arial"/>
              </w:rPr>
            </w:pPr>
            <w:r w:rsidRPr="000540A6">
              <w:rPr>
                <w:rFonts w:cs="Arial"/>
              </w:rPr>
              <w:t>No prompts with responses found</w:t>
            </w:r>
            <w:r>
              <w:rPr>
                <w:rFonts w:cs="Arial"/>
              </w:rPr>
              <w:t xml:space="preserve">” if the user has not chosen any prompts, etc. </w:t>
            </w:r>
          </w:p>
        </w:tc>
        <w:tc>
          <w:tcPr>
            <w:tcW w:w="6077" w:type="dxa"/>
            <w:tcMar>
              <w:top w:w="0" w:type="dxa"/>
              <w:left w:w="108" w:type="dxa"/>
              <w:bottom w:w="0" w:type="dxa"/>
              <w:right w:w="108" w:type="dxa"/>
            </w:tcMar>
          </w:tcPr>
          <w:p w:rsidR="004A3B2C" w:rsidRDefault="004A3B2C" w:rsidP="00A86897">
            <w:pPr>
              <w:spacing w:line="276" w:lineRule="auto"/>
              <w:rPr>
                <w:rFonts w:cs="Arial"/>
                <w:color w:val="000000"/>
              </w:rPr>
            </w:pPr>
            <w:r>
              <w:rPr>
                <w:rFonts w:cs="Arial"/>
                <w:color w:val="000000"/>
              </w:rPr>
              <w:t>[Note: this requirement may not be needed if the report only refers to missing information if the user chose that information in Print Settings]</w:t>
            </w:r>
          </w:p>
          <w:p w:rsidR="004A3B2C" w:rsidRDefault="004A3B2C" w:rsidP="00A86897">
            <w:pPr>
              <w:spacing w:line="276" w:lineRule="auto"/>
              <w:rPr>
                <w:rFonts w:cs="Arial"/>
                <w:color w:val="000000"/>
              </w:rPr>
            </w:pPr>
          </w:p>
          <w:p w:rsidR="005C7A84" w:rsidRPr="005C7A84" w:rsidRDefault="005C7A84" w:rsidP="00A86897">
            <w:pPr>
              <w:spacing w:line="276" w:lineRule="auto"/>
              <w:rPr>
                <w:rFonts w:cs="Arial"/>
                <w:color w:val="000000"/>
              </w:rPr>
            </w:pPr>
            <w:r>
              <w:rPr>
                <w:rFonts w:cs="Arial"/>
                <w:color w:val="000000"/>
              </w:rPr>
              <w:t>Given the size of the District, many teachers will “learn” the TPEP process by using</w:t>
            </w:r>
            <w:r w:rsidR="0071093A">
              <w:rPr>
                <w:rFonts w:cs="Arial"/>
                <w:color w:val="000000"/>
              </w:rPr>
              <w:t xml:space="preserve"> </w:t>
            </w:r>
            <w:r>
              <w:rPr>
                <w:rFonts w:cs="Arial"/>
                <w:color w:val="000000"/>
              </w:rPr>
              <w:t>the eVal tool, despite the best efforts of the District to provide dedicated TPEP training.  Therefore, if a report displays a data entry field</w:t>
            </w:r>
            <w:proofErr w:type="gramStart"/>
            <w:r>
              <w:rPr>
                <w:rFonts w:cs="Arial"/>
                <w:color w:val="000000"/>
              </w:rPr>
              <w:t>,  and</w:t>
            </w:r>
            <w:proofErr w:type="gramEnd"/>
            <w:r>
              <w:rPr>
                <w:rFonts w:cs="Arial"/>
                <w:color w:val="000000"/>
              </w:rPr>
              <w:t xml:space="preserve"> the field has no value because it was not filled in by the user, many users will assume that they </w:t>
            </w:r>
            <w:r>
              <w:rPr>
                <w:rFonts w:cs="Arial"/>
                <w:i/>
                <w:color w:val="000000"/>
              </w:rPr>
              <w:t xml:space="preserve">should have </w:t>
            </w:r>
            <w:r>
              <w:rPr>
                <w:rFonts w:cs="Arial"/>
                <w:color w:val="000000"/>
              </w:rPr>
              <w:t xml:space="preserve">filled in that field and that the field is required by the District.  </w:t>
            </w:r>
            <w:r w:rsidR="00213251">
              <w:rPr>
                <w:rFonts w:cs="Arial"/>
                <w:color w:val="000000"/>
              </w:rPr>
              <w:t xml:space="preserve">The same goes for a section on the report.  If a user </w:t>
            </w:r>
            <w:proofErr w:type="spellStart"/>
            <w:r w:rsidR="00213251">
              <w:rPr>
                <w:rFonts w:cs="Arial"/>
                <w:color w:val="000000"/>
              </w:rPr>
              <w:t>choses</w:t>
            </w:r>
            <w:proofErr w:type="spellEnd"/>
            <w:r w:rsidR="00213251">
              <w:rPr>
                <w:rFonts w:cs="Arial"/>
                <w:color w:val="000000"/>
              </w:rPr>
              <w:t xml:space="preserve"> not to include Prompts in their process, for example</w:t>
            </w:r>
            <w:proofErr w:type="gramStart"/>
            <w:r w:rsidR="00213251">
              <w:rPr>
                <w:rFonts w:cs="Arial"/>
                <w:color w:val="000000"/>
              </w:rPr>
              <w:t>,  then</w:t>
            </w:r>
            <w:proofErr w:type="gramEnd"/>
            <w:r w:rsidR="00213251">
              <w:rPr>
                <w:rFonts w:cs="Arial"/>
                <w:color w:val="000000"/>
              </w:rPr>
              <w:t xml:space="preserve">  if the Observation Report says “No Prompts included”, then it is inferred that prompts </w:t>
            </w:r>
            <w:r w:rsidR="00213251">
              <w:rPr>
                <w:rFonts w:cs="Arial"/>
                <w:i/>
                <w:color w:val="000000"/>
              </w:rPr>
              <w:t xml:space="preserve">should have been </w:t>
            </w:r>
            <w:r w:rsidR="00213251">
              <w:rPr>
                <w:rFonts w:cs="Arial"/>
                <w:color w:val="000000"/>
              </w:rPr>
              <w:t xml:space="preserve">included.  </w:t>
            </w:r>
            <w:r>
              <w:rPr>
                <w:rFonts w:cs="Arial"/>
                <w:color w:val="000000"/>
              </w:rPr>
              <w:t xml:space="preserve">Furthermore, the District is trying to implement eVal in the simplest manner possible by not requiring the teacher to use any functionality but </w:t>
            </w:r>
            <w:r>
              <w:rPr>
                <w:rFonts w:cs="Arial"/>
                <w:color w:val="000000"/>
              </w:rPr>
              <w:lastRenderedPageBreak/>
              <w:t xml:space="preserve">that which is </w:t>
            </w:r>
            <w:proofErr w:type="gramStart"/>
            <w:r>
              <w:rPr>
                <w:rFonts w:cs="Arial"/>
                <w:color w:val="000000"/>
              </w:rPr>
              <w:t>critical  for</w:t>
            </w:r>
            <w:proofErr w:type="gramEnd"/>
            <w:r>
              <w:rPr>
                <w:rFonts w:cs="Arial"/>
                <w:color w:val="000000"/>
              </w:rPr>
              <w:t xml:space="preserve"> generating an evaluation report</w:t>
            </w:r>
            <w:r w:rsidR="00213251">
              <w:rPr>
                <w:rFonts w:cs="Arial"/>
                <w:color w:val="000000"/>
              </w:rPr>
              <w:t xml:space="preserve">. The </w:t>
            </w:r>
            <w:proofErr w:type="gramStart"/>
            <w:r w:rsidR="00213251">
              <w:rPr>
                <w:rFonts w:cs="Arial"/>
                <w:color w:val="000000"/>
              </w:rPr>
              <w:t>District  is</w:t>
            </w:r>
            <w:proofErr w:type="gramEnd"/>
            <w:r w:rsidR="00213251">
              <w:rPr>
                <w:rFonts w:cs="Arial"/>
                <w:color w:val="000000"/>
              </w:rPr>
              <w:t xml:space="preserve"> also trying to reduce administrative time for the evaluator.  </w:t>
            </w:r>
            <w:r>
              <w:rPr>
                <w:rFonts w:cs="Arial"/>
                <w:color w:val="000000"/>
              </w:rPr>
              <w:t>However</w:t>
            </w:r>
            <w:proofErr w:type="gramStart"/>
            <w:r>
              <w:rPr>
                <w:rFonts w:cs="Arial"/>
                <w:color w:val="000000"/>
              </w:rPr>
              <w:t>,  showing</w:t>
            </w:r>
            <w:proofErr w:type="gramEnd"/>
            <w:r>
              <w:rPr>
                <w:rFonts w:cs="Arial"/>
                <w:color w:val="000000"/>
              </w:rPr>
              <w:t xml:space="preserve"> the empty fields on the report will lead many teachers and evaluators who are trying to follow the rules to think they should go back and enter data into all  of those fields</w:t>
            </w:r>
            <w:r w:rsidR="00213251">
              <w:rPr>
                <w:rFonts w:cs="Arial"/>
                <w:color w:val="000000"/>
              </w:rPr>
              <w:t xml:space="preserve"> or include the missing sections.  </w:t>
            </w:r>
          </w:p>
          <w:p w:rsidR="005C7A84" w:rsidRDefault="005C7A84" w:rsidP="00A86897">
            <w:pPr>
              <w:spacing w:line="276" w:lineRule="auto"/>
              <w:rPr>
                <w:rFonts w:cs="Arial"/>
                <w:color w:val="000000"/>
              </w:rPr>
            </w:pPr>
          </w:p>
          <w:p w:rsidR="003C5A7D" w:rsidRPr="007E1CB7" w:rsidRDefault="005C7A84" w:rsidP="002B3868">
            <w:pPr>
              <w:spacing w:line="276" w:lineRule="auto"/>
              <w:rPr>
                <w:rFonts w:cs="Arial"/>
                <w:color w:val="000000"/>
              </w:rPr>
            </w:pPr>
            <w:r>
              <w:rPr>
                <w:rFonts w:cs="Arial"/>
                <w:color w:val="000000"/>
              </w:rPr>
              <w:t xml:space="preserve">Desired outcome: </w:t>
            </w:r>
            <w:r w:rsidR="00D07828">
              <w:rPr>
                <w:rFonts w:cs="Arial"/>
                <w:color w:val="000000"/>
              </w:rPr>
              <w:t xml:space="preserve">Online or paper printed reports will not contain </w:t>
            </w:r>
            <w:r>
              <w:rPr>
                <w:rFonts w:cs="Arial"/>
                <w:color w:val="000000"/>
              </w:rPr>
              <w:t>reference to fields that are not filled out by the user</w:t>
            </w:r>
            <w:r w:rsidR="002B3868">
              <w:rPr>
                <w:rFonts w:cs="Arial"/>
                <w:color w:val="000000"/>
              </w:rPr>
              <w:t xml:space="preserve"> or sections that were not selected for the report.  Nor will the absence of reference to these </w:t>
            </w:r>
            <w:proofErr w:type="gramStart"/>
            <w:r w:rsidR="002B3868">
              <w:rPr>
                <w:rFonts w:cs="Arial"/>
                <w:color w:val="000000"/>
              </w:rPr>
              <w:t>fields  or</w:t>
            </w:r>
            <w:proofErr w:type="gramEnd"/>
            <w:r w:rsidR="002B3868">
              <w:rPr>
                <w:rFonts w:cs="Arial"/>
                <w:color w:val="000000"/>
              </w:rPr>
              <w:t xml:space="preserve"> sections create </w:t>
            </w:r>
            <w:r>
              <w:rPr>
                <w:rFonts w:cs="Arial"/>
                <w:color w:val="000000"/>
              </w:rPr>
              <w:t xml:space="preserve">rows of empty space </w:t>
            </w:r>
            <w:r w:rsidR="002B3868">
              <w:rPr>
                <w:rFonts w:cs="Arial"/>
                <w:color w:val="000000"/>
              </w:rPr>
              <w:t xml:space="preserve">these references would otherwise have appeared. </w:t>
            </w:r>
          </w:p>
        </w:tc>
      </w:tr>
      <w:tr w:rsidR="003C5A7D" w:rsidRPr="001D088E" w:rsidTr="009F6014">
        <w:tc>
          <w:tcPr>
            <w:tcW w:w="1188" w:type="dxa"/>
            <w:tcMar>
              <w:top w:w="0" w:type="dxa"/>
              <w:left w:w="108" w:type="dxa"/>
              <w:bottom w:w="0" w:type="dxa"/>
              <w:right w:w="108" w:type="dxa"/>
            </w:tcMar>
            <w:vAlign w:val="center"/>
          </w:tcPr>
          <w:p w:rsidR="00403C1C" w:rsidRDefault="009E4705" w:rsidP="00403C1C">
            <w:pPr>
              <w:jc w:val="center"/>
              <w:rPr>
                <w:rFonts w:ascii="Calibri" w:hAnsi="Calibri" w:cs="Arial"/>
                <w:szCs w:val="20"/>
              </w:rPr>
            </w:pPr>
            <w:r>
              <w:rPr>
                <w:rFonts w:ascii="Calibri" w:hAnsi="Calibri" w:cs="Arial"/>
                <w:szCs w:val="20"/>
              </w:rPr>
              <w:lastRenderedPageBreak/>
              <w:t>3.3</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BC5CEC" w:rsidP="00BC5CEC">
            <w:pPr>
              <w:spacing w:line="276" w:lineRule="auto"/>
            </w:pPr>
            <w:r>
              <w:t>The Observation report should have a default print setting selected District-</w:t>
            </w:r>
            <w:proofErr w:type="gramStart"/>
            <w:r>
              <w:t>wide  by</w:t>
            </w:r>
            <w:proofErr w:type="gramEnd"/>
            <w:r>
              <w:t xml:space="preserve"> the District.  </w:t>
            </w:r>
          </w:p>
        </w:tc>
        <w:tc>
          <w:tcPr>
            <w:tcW w:w="6077" w:type="dxa"/>
            <w:tcMar>
              <w:top w:w="0" w:type="dxa"/>
              <w:left w:w="108" w:type="dxa"/>
              <w:bottom w:w="0" w:type="dxa"/>
              <w:right w:w="108" w:type="dxa"/>
            </w:tcMar>
          </w:tcPr>
          <w:p w:rsidR="0028562F" w:rsidRDefault="0028562F" w:rsidP="003C5A7D">
            <w:pPr>
              <w:spacing w:line="276" w:lineRule="auto"/>
              <w:rPr>
                <w:rFonts w:cs="Arial"/>
                <w:color w:val="000000"/>
              </w:rPr>
            </w:pPr>
            <w:r>
              <w:rPr>
                <w:rFonts w:cs="Arial"/>
                <w:color w:val="000000"/>
              </w:rPr>
              <w:t xml:space="preserve">The tool currently allows a user to select a variety of </w:t>
            </w:r>
            <w:r w:rsidR="003E16D9">
              <w:rPr>
                <w:rFonts w:cs="Arial"/>
                <w:color w:val="000000"/>
              </w:rPr>
              <w:t xml:space="preserve">content, making the resulting report short or long.  The District is concerned that users </w:t>
            </w:r>
            <w:proofErr w:type="gramStart"/>
            <w:r w:rsidR="003E16D9">
              <w:rPr>
                <w:rFonts w:cs="Arial"/>
                <w:color w:val="000000"/>
              </w:rPr>
              <w:t>will  find</w:t>
            </w:r>
            <w:proofErr w:type="gramEnd"/>
            <w:r w:rsidR="003E16D9">
              <w:rPr>
                <w:rFonts w:cs="Arial"/>
                <w:color w:val="000000"/>
              </w:rPr>
              <w:t xml:space="preserve"> this confusing,  as the choice implies that “more is better” when that may not be the case.</w:t>
            </w:r>
          </w:p>
          <w:p w:rsidR="0028562F" w:rsidRDefault="0028562F" w:rsidP="003C5A7D">
            <w:pPr>
              <w:spacing w:line="276" w:lineRule="auto"/>
              <w:rPr>
                <w:rFonts w:cs="Arial"/>
                <w:color w:val="000000"/>
              </w:rPr>
            </w:pPr>
          </w:p>
          <w:p w:rsidR="003E16D9" w:rsidRPr="002A76A5" w:rsidRDefault="003E16D9" w:rsidP="003C5A7D">
            <w:pPr>
              <w:spacing w:line="276" w:lineRule="auto"/>
              <w:rPr>
                <w:rFonts w:cs="Arial"/>
                <w:color w:val="000000"/>
              </w:rPr>
            </w:pPr>
            <w:r>
              <w:rPr>
                <w:rFonts w:cs="Arial"/>
                <w:color w:val="000000"/>
              </w:rPr>
              <w:t xml:space="preserve">Consequently, the District will be able to set </w:t>
            </w:r>
            <w:proofErr w:type="gramStart"/>
            <w:r>
              <w:rPr>
                <w:rFonts w:cs="Arial"/>
                <w:color w:val="000000"/>
              </w:rPr>
              <w:t>as  a</w:t>
            </w:r>
            <w:proofErr w:type="gramEnd"/>
            <w:r>
              <w:rPr>
                <w:rFonts w:cs="Arial"/>
                <w:color w:val="000000"/>
              </w:rPr>
              <w:t xml:space="preserve"> District-wide setting those specific items which should always appear on the report.  The user can then, at their discretion, add additional items should they choose to do so.</w:t>
            </w:r>
          </w:p>
          <w:p w:rsidR="00952171" w:rsidRPr="001D088E" w:rsidRDefault="00952171" w:rsidP="003C5A7D">
            <w:pPr>
              <w:spacing w:line="276" w:lineRule="auto"/>
              <w:rPr>
                <w:rFonts w:cs="Arial"/>
                <w:color w:val="000000"/>
              </w:rPr>
            </w:pPr>
          </w:p>
        </w:tc>
      </w:tr>
      <w:tr w:rsidR="003C5A7D" w:rsidRPr="001D088E" w:rsidTr="009F6014">
        <w:tc>
          <w:tcPr>
            <w:tcW w:w="1188" w:type="dxa"/>
            <w:tcMar>
              <w:top w:w="0" w:type="dxa"/>
              <w:left w:w="108" w:type="dxa"/>
              <w:bottom w:w="0" w:type="dxa"/>
              <w:right w:w="108" w:type="dxa"/>
            </w:tcMar>
            <w:vAlign w:val="center"/>
          </w:tcPr>
          <w:p w:rsidR="00403C1C" w:rsidRDefault="009E4705" w:rsidP="00403C1C">
            <w:pPr>
              <w:jc w:val="center"/>
              <w:rPr>
                <w:rFonts w:ascii="Calibri" w:hAnsi="Calibri" w:cs="Arial"/>
                <w:szCs w:val="20"/>
              </w:rPr>
            </w:pPr>
            <w:r>
              <w:rPr>
                <w:rFonts w:ascii="Calibri" w:hAnsi="Calibri" w:cs="Arial"/>
                <w:szCs w:val="20"/>
              </w:rPr>
              <w:t>3.4</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28562F" w:rsidP="002A76A5">
            <w:pPr>
              <w:spacing w:line="276" w:lineRule="auto"/>
            </w:pPr>
            <w:r>
              <w:t xml:space="preserve">Wherever the </w:t>
            </w:r>
            <w:r w:rsidR="007D4B20">
              <w:t xml:space="preserve">pencil and scissors </w:t>
            </w:r>
            <w:r>
              <w:t>icons currently appear</w:t>
            </w:r>
            <w:r w:rsidR="002A76A5">
              <w:t xml:space="preserve"> throughout the Observation UI or Observation report</w:t>
            </w:r>
            <w:r>
              <w:t xml:space="preserve">, they should be </w:t>
            </w:r>
            <w:proofErr w:type="gramStart"/>
            <w:r>
              <w:t>replaced  with</w:t>
            </w:r>
            <w:proofErr w:type="gramEnd"/>
            <w:r>
              <w:t xml:space="preserve"> descriptive text</w:t>
            </w:r>
            <w:r w:rsidR="002A76A5">
              <w:t xml:space="preserve">. </w:t>
            </w:r>
          </w:p>
        </w:tc>
        <w:tc>
          <w:tcPr>
            <w:tcW w:w="6077" w:type="dxa"/>
            <w:tcMar>
              <w:top w:w="0" w:type="dxa"/>
              <w:left w:w="108" w:type="dxa"/>
              <w:bottom w:w="0" w:type="dxa"/>
              <w:right w:w="108" w:type="dxa"/>
            </w:tcMar>
          </w:tcPr>
          <w:p w:rsidR="003C5A7D" w:rsidRDefault="003F0FB8" w:rsidP="003F0FB8">
            <w:pPr>
              <w:spacing w:line="276" w:lineRule="auto"/>
              <w:rPr>
                <w:rFonts w:cs="Arial"/>
                <w:color w:val="000000"/>
              </w:rPr>
            </w:pPr>
            <w:r>
              <w:rPr>
                <w:rFonts w:cs="Arial"/>
                <w:color w:val="000000"/>
              </w:rPr>
              <w:t>The District has received feedback from pilot users tha</w:t>
            </w:r>
            <w:r w:rsidR="002A76A5">
              <w:rPr>
                <w:rFonts w:cs="Arial"/>
                <w:color w:val="000000"/>
              </w:rPr>
              <w:t xml:space="preserve">t the icons are not intuitive. </w:t>
            </w:r>
            <w:r w:rsidR="00491D0D">
              <w:rPr>
                <w:rFonts w:cs="Arial"/>
                <w:color w:val="000000"/>
              </w:rPr>
              <w:t xml:space="preserve"> (</w:t>
            </w:r>
            <w:r w:rsidR="00491D0D">
              <w:rPr>
                <w:i/>
              </w:rPr>
              <w:t>Ideally, these would be replaced on the UI and the reports, but if removing it from the UI is too great a work effort, than at least removing it from the Observation and Evaluation reports.)</w:t>
            </w:r>
          </w:p>
          <w:p w:rsidR="0077069E" w:rsidRDefault="0077069E" w:rsidP="003F0FB8">
            <w:pPr>
              <w:spacing w:line="276" w:lineRule="auto"/>
              <w:rPr>
                <w:rFonts w:cs="Arial"/>
                <w:color w:val="000000"/>
              </w:rPr>
            </w:pPr>
          </w:p>
          <w:p w:rsidR="0077069E" w:rsidRPr="002A76A5" w:rsidRDefault="002A76A5" w:rsidP="0077069E">
            <w:pPr>
              <w:spacing w:line="276" w:lineRule="auto"/>
              <w:rPr>
                <w:rFonts w:cs="Arial"/>
                <w:i/>
                <w:color w:val="000000"/>
              </w:rPr>
            </w:pPr>
            <w:r w:rsidRPr="002A76A5">
              <w:rPr>
                <w:rFonts w:cs="Arial"/>
                <w:i/>
                <w:color w:val="000000"/>
              </w:rPr>
              <w:t>[</w:t>
            </w:r>
            <w:r w:rsidR="0077069E" w:rsidRPr="002A76A5">
              <w:rPr>
                <w:rFonts w:cs="Arial"/>
                <w:i/>
                <w:color w:val="000000"/>
              </w:rPr>
              <w:t>Exact descriptive text to be defined by further discussion between State and District</w:t>
            </w:r>
            <w:r w:rsidRPr="002A76A5">
              <w:rPr>
                <w:rFonts w:cs="Arial"/>
                <w:i/>
                <w:color w:val="000000"/>
              </w:rPr>
              <w:t>…. Donna]</w:t>
            </w:r>
          </w:p>
        </w:tc>
      </w:tr>
      <w:tr w:rsidR="002A76A5" w:rsidRPr="001D088E" w:rsidTr="009F6014">
        <w:tc>
          <w:tcPr>
            <w:tcW w:w="1188" w:type="dxa"/>
            <w:tcMar>
              <w:top w:w="0" w:type="dxa"/>
              <w:left w:w="108" w:type="dxa"/>
              <w:bottom w:w="0" w:type="dxa"/>
              <w:right w:w="108" w:type="dxa"/>
            </w:tcMar>
            <w:vAlign w:val="center"/>
          </w:tcPr>
          <w:p w:rsidR="002A76A5" w:rsidRDefault="009E4705" w:rsidP="002A76A5">
            <w:pPr>
              <w:jc w:val="center"/>
              <w:rPr>
                <w:rFonts w:ascii="Calibri" w:hAnsi="Calibri" w:cs="Arial"/>
                <w:szCs w:val="20"/>
              </w:rPr>
            </w:pPr>
            <w:r>
              <w:rPr>
                <w:rFonts w:ascii="Calibri" w:hAnsi="Calibri" w:cs="Arial"/>
                <w:szCs w:val="20"/>
              </w:rPr>
              <w:t>3.5</w:t>
            </w:r>
          </w:p>
          <w:p w:rsidR="002A76A5" w:rsidRDefault="002A76A5" w:rsidP="002A76A5">
            <w:pPr>
              <w:jc w:val="center"/>
              <w:rPr>
                <w:rFonts w:ascii="Calibri" w:hAnsi="Calibri" w:cs="Arial"/>
                <w:szCs w:val="20"/>
              </w:rPr>
            </w:pPr>
          </w:p>
        </w:tc>
        <w:tc>
          <w:tcPr>
            <w:tcW w:w="3103" w:type="dxa"/>
            <w:tcMar>
              <w:top w:w="0" w:type="dxa"/>
              <w:left w:w="108" w:type="dxa"/>
              <w:bottom w:w="0" w:type="dxa"/>
              <w:right w:w="108" w:type="dxa"/>
            </w:tcMar>
            <w:vAlign w:val="center"/>
          </w:tcPr>
          <w:p w:rsidR="002A76A5" w:rsidRPr="002A76A5" w:rsidRDefault="002A76A5" w:rsidP="00BC5CEC">
            <w:pPr>
              <w:spacing w:line="276" w:lineRule="auto"/>
            </w:pPr>
            <w:r>
              <w:t xml:space="preserve">The Evaluation report should have a default </w:t>
            </w:r>
            <w:r w:rsidR="00BC5CEC">
              <w:t xml:space="preserve">print </w:t>
            </w:r>
            <w:r>
              <w:t>setting</w:t>
            </w:r>
            <w:r w:rsidR="00BC5CEC">
              <w:t xml:space="preserve"> selected</w:t>
            </w:r>
            <w:r>
              <w:t xml:space="preserve"> </w:t>
            </w:r>
            <w:r w:rsidR="00BC5CEC">
              <w:t>District-</w:t>
            </w:r>
            <w:proofErr w:type="gramStart"/>
            <w:r w:rsidR="00BC5CEC">
              <w:t>wide  by</w:t>
            </w:r>
            <w:proofErr w:type="gramEnd"/>
            <w:r w:rsidR="00BC5CEC">
              <w:t xml:space="preserve"> the </w:t>
            </w:r>
            <w:r>
              <w:t>District</w:t>
            </w:r>
            <w:r w:rsidR="00BC5CEC">
              <w:t xml:space="preserve">.  </w:t>
            </w:r>
          </w:p>
        </w:tc>
        <w:tc>
          <w:tcPr>
            <w:tcW w:w="6077" w:type="dxa"/>
            <w:tcMar>
              <w:top w:w="0" w:type="dxa"/>
              <w:left w:w="108" w:type="dxa"/>
              <w:bottom w:w="0" w:type="dxa"/>
              <w:right w:w="108" w:type="dxa"/>
            </w:tcMar>
          </w:tcPr>
          <w:p w:rsidR="002A76A5" w:rsidRDefault="00BC5CEC" w:rsidP="002A76A5">
            <w:pPr>
              <w:spacing w:line="276" w:lineRule="auto"/>
              <w:rPr>
                <w:rFonts w:cs="Arial"/>
                <w:color w:val="000000"/>
              </w:rPr>
            </w:pPr>
            <w:r>
              <w:rPr>
                <w:rFonts w:cs="Arial"/>
                <w:color w:val="000000"/>
              </w:rPr>
              <w:t>Same as 3.4 (but for the Evaluation report)</w:t>
            </w:r>
          </w:p>
          <w:p w:rsidR="00A10655" w:rsidRDefault="00A10655" w:rsidP="002A76A5">
            <w:pPr>
              <w:spacing w:line="276" w:lineRule="auto"/>
              <w:rPr>
                <w:rFonts w:cs="Arial"/>
                <w:color w:val="000000"/>
              </w:rPr>
            </w:pPr>
          </w:p>
          <w:p w:rsidR="00A10655" w:rsidRPr="00886421" w:rsidRDefault="00A10655" w:rsidP="002A76A5">
            <w:pPr>
              <w:spacing w:line="276" w:lineRule="auto"/>
              <w:rPr>
                <w:rFonts w:cs="Arial"/>
                <w:color w:val="000000"/>
              </w:rPr>
            </w:pPr>
            <w:r>
              <w:t xml:space="preserve">The setting </w:t>
            </w:r>
            <w:r w:rsidR="00BC5CEC">
              <w:t xml:space="preserve">for the Evaluation report </w:t>
            </w:r>
            <w:r>
              <w:t xml:space="preserve">should allow the District the ability to select </w:t>
            </w:r>
            <w:r>
              <w:rPr>
                <w:i/>
              </w:rPr>
              <w:t>no settings at all</w:t>
            </w:r>
            <w:r>
              <w:t xml:space="preserve"> so that the default report contains State Criteria and Student Growth scores only and no other content.</w:t>
            </w:r>
          </w:p>
        </w:tc>
      </w:tr>
      <w:tr w:rsidR="002A76A5" w:rsidRPr="001D088E" w:rsidTr="002A76A5">
        <w:tc>
          <w:tcPr>
            <w:tcW w:w="1188" w:type="dxa"/>
            <w:tcMar>
              <w:top w:w="0" w:type="dxa"/>
              <w:left w:w="108" w:type="dxa"/>
              <w:bottom w:w="0" w:type="dxa"/>
              <w:right w:w="108" w:type="dxa"/>
            </w:tcMar>
            <w:vAlign w:val="center"/>
          </w:tcPr>
          <w:p w:rsidR="002A76A5" w:rsidRDefault="009E4705" w:rsidP="002A76A5">
            <w:pPr>
              <w:jc w:val="center"/>
              <w:rPr>
                <w:rFonts w:ascii="Calibri" w:hAnsi="Calibri" w:cs="Arial"/>
                <w:szCs w:val="20"/>
              </w:rPr>
            </w:pPr>
            <w:r>
              <w:rPr>
                <w:rFonts w:ascii="Calibri" w:hAnsi="Calibri" w:cs="Arial"/>
                <w:szCs w:val="20"/>
              </w:rPr>
              <w:t>3.6</w:t>
            </w:r>
          </w:p>
          <w:p w:rsidR="002A76A5" w:rsidRPr="001D088E" w:rsidRDefault="002A76A5" w:rsidP="002A76A5">
            <w:pPr>
              <w:spacing w:line="276" w:lineRule="auto"/>
              <w:jc w:val="center"/>
            </w:pPr>
          </w:p>
        </w:tc>
        <w:tc>
          <w:tcPr>
            <w:tcW w:w="3103" w:type="dxa"/>
            <w:tcMar>
              <w:top w:w="0" w:type="dxa"/>
              <w:left w:w="108" w:type="dxa"/>
              <w:bottom w:w="0" w:type="dxa"/>
              <w:right w:w="108" w:type="dxa"/>
            </w:tcMar>
            <w:vAlign w:val="center"/>
          </w:tcPr>
          <w:p w:rsidR="002A76A5" w:rsidRPr="001D088E" w:rsidRDefault="002A76A5" w:rsidP="002A76A5">
            <w:pPr>
              <w:spacing w:line="276" w:lineRule="auto"/>
            </w:pPr>
            <w:r>
              <w:t xml:space="preserve">The pencil and scissors icons should be </w:t>
            </w:r>
            <w:proofErr w:type="gramStart"/>
            <w:r>
              <w:t>removed  from</w:t>
            </w:r>
            <w:proofErr w:type="gramEnd"/>
            <w:r>
              <w:t xml:space="preserve"> the Evaluation report and replaced  with descriptive text.  </w:t>
            </w:r>
          </w:p>
        </w:tc>
        <w:tc>
          <w:tcPr>
            <w:tcW w:w="6077" w:type="dxa"/>
            <w:tcMar>
              <w:top w:w="0" w:type="dxa"/>
              <w:left w:w="108" w:type="dxa"/>
              <w:bottom w:w="0" w:type="dxa"/>
              <w:right w:w="108" w:type="dxa"/>
            </w:tcMar>
          </w:tcPr>
          <w:p w:rsidR="002A76A5" w:rsidRDefault="002A76A5" w:rsidP="002A76A5">
            <w:pPr>
              <w:spacing w:line="276" w:lineRule="auto"/>
              <w:rPr>
                <w:rFonts w:cs="Arial"/>
                <w:color w:val="000000"/>
              </w:rPr>
            </w:pPr>
            <w:r>
              <w:rPr>
                <w:rFonts w:cs="Arial"/>
                <w:color w:val="000000"/>
              </w:rPr>
              <w:t xml:space="preserve">The District has received feedback from </w:t>
            </w:r>
            <w:proofErr w:type="gramStart"/>
            <w:r>
              <w:rPr>
                <w:rFonts w:cs="Arial"/>
                <w:color w:val="000000"/>
              </w:rPr>
              <w:t>pilot  users</w:t>
            </w:r>
            <w:proofErr w:type="gramEnd"/>
            <w:r>
              <w:rPr>
                <w:rFonts w:cs="Arial"/>
                <w:color w:val="000000"/>
              </w:rPr>
              <w:t xml:space="preserve"> that the icons are not intuitive.  Additionally, as the final evaluation report is an official, formal document for the teacher and becomes part of the personnel file, and in cases of dispute would be provided to the court, the District would prefer a less informal look and feel.</w:t>
            </w:r>
          </w:p>
          <w:p w:rsidR="002A76A5" w:rsidRDefault="002A76A5" w:rsidP="002A76A5">
            <w:pPr>
              <w:spacing w:line="276" w:lineRule="auto"/>
              <w:rPr>
                <w:rFonts w:cs="Arial"/>
                <w:color w:val="000000"/>
              </w:rPr>
            </w:pPr>
          </w:p>
          <w:p w:rsidR="002A76A5" w:rsidRPr="00886421" w:rsidRDefault="002A76A5" w:rsidP="002A76A5">
            <w:pPr>
              <w:spacing w:line="276" w:lineRule="auto"/>
              <w:rPr>
                <w:rFonts w:cs="Arial"/>
                <w:color w:val="000000"/>
              </w:rPr>
            </w:pPr>
            <w:r>
              <w:rPr>
                <w:rFonts w:cs="Arial"/>
                <w:color w:val="000000"/>
              </w:rPr>
              <w:t xml:space="preserve">Exact descriptive text to be defined by further discussion between </w:t>
            </w:r>
            <w:r>
              <w:rPr>
                <w:rFonts w:cs="Arial"/>
                <w:color w:val="000000"/>
              </w:rPr>
              <w:lastRenderedPageBreak/>
              <w:t>State and District.</w:t>
            </w:r>
          </w:p>
        </w:tc>
      </w:tr>
      <w:bookmarkEnd w:id="9"/>
      <w:bookmarkEnd w:id="10"/>
      <w:bookmarkEnd w:id="11"/>
      <w:bookmarkEnd w:id="12"/>
    </w:tbl>
    <w:p w:rsidR="001E698E" w:rsidRDefault="001E698E" w:rsidP="00B64F6C">
      <w:pPr>
        <w:pStyle w:val="GuidanceText"/>
        <w:ind w:left="720"/>
      </w:pPr>
    </w:p>
    <w:p w:rsidR="009679DA" w:rsidRDefault="009679DA" w:rsidP="006A1887">
      <w:bookmarkStart w:id="14" w:name="_Toc100563439"/>
      <w:bookmarkEnd w:id="14"/>
    </w:p>
    <w:p w:rsidR="005849C0" w:rsidRDefault="005849C0" w:rsidP="006A1887">
      <w:pPr>
        <w:rPr>
          <w:b/>
          <w:u w:val="single"/>
        </w:rPr>
      </w:pPr>
    </w:p>
    <w:p w:rsidR="00763BEA" w:rsidRDefault="00763BEA" w:rsidP="006A1887">
      <w:pPr>
        <w:rPr>
          <w:b/>
          <w:u w:val="single"/>
        </w:rPr>
      </w:pPr>
    </w:p>
    <w:p w:rsidR="00763BEA" w:rsidRDefault="00763BEA" w:rsidP="006A1887">
      <w:pPr>
        <w:rPr>
          <w:b/>
          <w:u w:val="single"/>
        </w:rPr>
      </w:pPr>
    </w:p>
    <w:p w:rsidR="00BE4B37" w:rsidRDefault="00BE4B37" w:rsidP="006A1887">
      <w:pPr>
        <w:rPr>
          <w:b/>
          <w:u w:val="single"/>
        </w:rPr>
      </w:pPr>
    </w:p>
    <w:p w:rsidR="00B4743A" w:rsidRDefault="00881989" w:rsidP="00881989">
      <w:bookmarkStart w:id="15" w:name="_Toc401560847"/>
      <w:r w:rsidRPr="0058173C">
        <w:rPr>
          <w:rFonts w:cs="Arial"/>
          <w:b/>
          <w:bCs/>
          <w:kern w:val="32"/>
          <w:sz w:val="32"/>
          <w:szCs w:val="32"/>
          <w:lang w:val="en-GB"/>
        </w:rPr>
        <w:t>ILLUSTRATION</w:t>
      </w:r>
      <w:r w:rsidR="00BE4B37" w:rsidRPr="0058173C">
        <w:rPr>
          <w:rFonts w:cs="Arial"/>
          <w:b/>
          <w:bCs/>
          <w:kern w:val="32"/>
          <w:sz w:val="32"/>
          <w:szCs w:val="32"/>
          <w:lang w:val="en-GB"/>
        </w:rPr>
        <w:t xml:space="preserve">– </w:t>
      </w:r>
      <w:bookmarkEnd w:id="15"/>
      <w:r w:rsidR="009E4705">
        <w:rPr>
          <w:rFonts w:cs="Arial"/>
          <w:b/>
          <w:bCs/>
          <w:kern w:val="32"/>
          <w:sz w:val="32"/>
          <w:szCs w:val="32"/>
          <w:lang w:val="en-GB"/>
        </w:rPr>
        <w:t>3.1</w:t>
      </w:r>
    </w:p>
    <w:p w:rsidR="00CE4B80" w:rsidRDefault="00CE4B80" w:rsidP="006A1887"/>
    <w:p w:rsidR="001B71C6" w:rsidRPr="001D317C" w:rsidRDefault="002D247C" w:rsidP="006A1887">
      <w:pPr>
        <w:rPr>
          <w:i/>
        </w:rPr>
      </w:pPr>
      <w:proofErr w:type="gramStart"/>
      <w:r>
        <w:rPr>
          <w:i/>
        </w:rPr>
        <w:t>Ability to remove or hide the Score Alignment Report.</w:t>
      </w:r>
      <w:proofErr w:type="gramEnd"/>
    </w:p>
    <w:p w:rsidR="00A056D9" w:rsidRDefault="00A056D9" w:rsidP="006A1887">
      <w:r>
        <w:rPr>
          <w:noProof/>
        </w:rPr>
        <w:drawing>
          <wp:inline distT="0" distB="0" distL="0" distR="0">
            <wp:extent cx="5943600" cy="32753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275330"/>
                    </a:xfrm>
                    <a:prstGeom prst="rect">
                      <a:avLst/>
                    </a:prstGeom>
                  </pic:spPr>
                </pic:pic>
              </a:graphicData>
            </a:graphic>
          </wp:inline>
        </w:drawing>
      </w:r>
    </w:p>
    <w:p w:rsidR="00A056D9" w:rsidRDefault="00A056D9" w:rsidP="006A1887"/>
    <w:p w:rsidR="006C533C" w:rsidRDefault="006C533C" w:rsidP="006A1887"/>
    <w:p w:rsidR="003E35D2" w:rsidRPr="0058173C" w:rsidRDefault="00881989" w:rsidP="002D247C">
      <w:pPr>
        <w:keepNext/>
        <w:rPr>
          <w:rFonts w:cs="Arial"/>
          <w:b/>
          <w:bCs/>
          <w:kern w:val="32"/>
          <w:sz w:val="32"/>
          <w:szCs w:val="32"/>
          <w:lang w:val="en-GB"/>
        </w:rPr>
      </w:pPr>
      <w:bookmarkStart w:id="16" w:name="_Toc401560848"/>
      <w:r w:rsidRPr="0058173C">
        <w:rPr>
          <w:rFonts w:cs="Arial"/>
          <w:b/>
          <w:bCs/>
          <w:kern w:val="32"/>
          <w:sz w:val="32"/>
          <w:szCs w:val="32"/>
          <w:lang w:val="en-GB"/>
        </w:rPr>
        <w:lastRenderedPageBreak/>
        <w:t xml:space="preserve">ILLUSTRATION </w:t>
      </w:r>
      <w:r w:rsidR="009E4705">
        <w:rPr>
          <w:rFonts w:cs="Arial"/>
          <w:b/>
          <w:bCs/>
          <w:kern w:val="32"/>
          <w:sz w:val="32"/>
          <w:szCs w:val="32"/>
          <w:lang w:val="en-GB"/>
        </w:rPr>
        <w:t xml:space="preserve">– </w:t>
      </w:r>
      <w:r w:rsidR="003E35D2" w:rsidRPr="0058173C">
        <w:rPr>
          <w:rFonts w:cs="Arial"/>
          <w:b/>
          <w:bCs/>
          <w:kern w:val="32"/>
          <w:sz w:val="32"/>
          <w:szCs w:val="32"/>
          <w:lang w:val="en-GB"/>
        </w:rPr>
        <w:t>3.</w:t>
      </w:r>
      <w:r w:rsidR="000701B4" w:rsidRPr="0058173C">
        <w:rPr>
          <w:rFonts w:cs="Arial"/>
          <w:b/>
          <w:bCs/>
          <w:kern w:val="32"/>
          <w:sz w:val="32"/>
          <w:szCs w:val="32"/>
          <w:lang w:val="en-GB"/>
        </w:rPr>
        <w:t>2</w:t>
      </w:r>
      <w:bookmarkEnd w:id="16"/>
    </w:p>
    <w:p w:rsidR="003E35D2" w:rsidRPr="004A3B2C" w:rsidRDefault="004A3B2C" w:rsidP="002D247C">
      <w:pPr>
        <w:keepNext/>
        <w:rPr>
          <w:i/>
        </w:rPr>
      </w:pPr>
      <w:r>
        <w:rPr>
          <w:i/>
        </w:rPr>
        <w:t>If a user does not select a section for their report</w:t>
      </w:r>
      <w:proofErr w:type="gramStart"/>
      <w:r>
        <w:rPr>
          <w:i/>
        </w:rPr>
        <w:t>,  there</w:t>
      </w:r>
      <w:proofErr w:type="gramEnd"/>
      <w:r>
        <w:rPr>
          <w:i/>
        </w:rPr>
        <w:t xml:space="preserve"> should be no reference to it.  If a user does not fill in a data entry field, there should be no reference to it on the report.</w:t>
      </w:r>
    </w:p>
    <w:p w:rsidR="003E35D2" w:rsidRDefault="0058173C" w:rsidP="006A1887">
      <w:r>
        <w:rPr>
          <w:noProof/>
        </w:rPr>
        <w:drawing>
          <wp:inline distT="0" distB="0" distL="0" distR="0">
            <wp:extent cx="4107180" cy="4061460"/>
            <wp:effectExtent l="19050" t="19050" r="26670" b="152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107180" cy="4061460"/>
                    </a:xfrm>
                    <a:prstGeom prst="rect">
                      <a:avLst/>
                    </a:prstGeom>
                    <a:noFill/>
                    <a:ln w="9525">
                      <a:solidFill>
                        <a:schemeClr val="accent1"/>
                      </a:solidFill>
                      <a:miter lim="800000"/>
                      <a:headEnd/>
                      <a:tailEnd/>
                    </a:ln>
                  </pic:spPr>
                </pic:pic>
              </a:graphicData>
            </a:graphic>
          </wp:inline>
        </w:drawing>
      </w:r>
    </w:p>
    <w:p w:rsidR="0058173C" w:rsidRDefault="0058173C" w:rsidP="006A1887"/>
    <w:p w:rsidR="003E35D2" w:rsidRDefault="00881989" w:rsidP="00490D76">
      <w:pPr>
        <w:keepNext/>
        <w:rPr>
          <w:rFonts w:cs="Arial"/>
          <w:b/>
          <w:bCs/>
          <w:kern w:val="32"/>
          <w:sz w:val="32"/>
          <w:szCs w:val="32"/>
          <w:lang w:val="en-GB"/>
        </w:rPr>
      </w:pPr>
      <w:bookmarkStart w:id="17" w:name="_Toc401560849"/>
      <w:r w:rsidRPr="0058173C">
        <w:rPr>
          <w:rFonts w:cs="Arial"/>
          <w:b/>
          <w:bCs/>
          <w:kern w:val="32"/>
          <w:sz w:val="32"/>
          <w:szCs w:val="32"/>
          <w:lang w:val="en-GB"/>
        </w:rPr>
        <w:lastRenderedPageBreak/>
        <w:t>ILLUSTRATION</w:t>
      </w:r>
      <w:r w:rsidR="003E35D2" w:rsidRPr="0058173C">
        <w:rPr>
          <w:rFonts w:cs="Arial"/>
          <w:b/>
          <w:bCs/>
          <w:kern w:val="32"/>
          <w:sz w:val="32"/>
          <w:szCs w:val="32"/>
          <w:lang w:val="en-GB"/>
        </w:rPr>
        <w:t xml:space="preserve"> – </w:t>
      </w:r>
      <w:bookmarkEnd w:id="17"/>
      <w:r w:rsidR="009E4705">
        <w:rPr>
          <w:rFonts w:cs="Arial"/>
          <w:b/>
          <w:bCs/>
          <w:kern w:val="32"/>
          <w:sz w:val="32"/>
          <w:szCs w:val="32"/>
          <w:lang w:val="en-GB"/>
        </w:rPr>
        <w:t>3.3</w:t>
      </w:r>
    </w:p>
    <w:p w:rsidR="00491D0D" w:rsidRPr="0058173C" w:rsidRDefault="00491D0D" w:rsidP="00490D76">
      <w:pPr>
        <w:keepNext/>
        <w:rPr>
          <w:rFonts w:cs="Arial"/>
          <w:b/>
          <w:bCs/>
          <w:kern w:val="32"/>
          <w:sz w:val="32"/>
          <w:szCs w:val="32"/>
          <w:lang w:val="en-GB"/>
        </w:rPr>
      </w:pPr>
      <w:r>
        <w:t>The Observation report should have a default print setting selected District-</w:t>
      </w:r>
      <w:proofErr w:type="gramStart"/>
      <w:r>
        <w:t>wide  by</w:t>
      </w:r>
      <w:proofErr w:type="gramEnd"/>
      <w:r>
        <w:t xml:space="preserve"> the District.  </w:t>
      </w:r>
    </w:p>
    <w:p w:rsidR="00952171" w:rsidRDefault="001D317C" w:rsidP="006A1887">
      <w:r>
        <w:rPr>
          <w:noProof/>
        </w:rPr>
        <w:drawing>
          <wp:inline distT="0" distB="0" distL="0" distR="0">
            <wp:extent cx="4987636" cy="3854228"/>
            <wp:effectExtent l="19050" t="0" r="346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987824" cy="3854373"/>
                    </a:xfrm>
                    <a:prstGeom prst="rect">
                      <a:avLst/>
                    </a:prstGeom>
                  </pic:spPr>
                </pic:pic>
              </a:graphicData>
            </a:graphic>
          </wp:inline>
        </w:drawing>
      </w:r>
    </w:p>
    <w:p w:rsidR="00491D0D" w:rsidRDefault="00491D0D" w:rsidP="00881989">
      <w:pPr>
        <w:rPr>
          <w:rFonts w:cs="Arial"/>
          <w:b/>
          <w:bCs/>
          <w:kern w:val="32"/>
          <w:sz w:val="32"/>
          <w:szCs w:val="32"/>
          <w:lang w:val="en-GB"/>
        </w:rPr>
      </w:pPr>
      <w:bookmarkStart w:id="18" w:name="_Toc401560850"/>
    </w:p>
    <w:p w:rsidR="006C533C" w:rsidRPr="0058173C" w:rsidRDefault="00881989" w:rsidP="00881989">
      <w:pPr>
        <w:rPr>
          <w:rFonts w:cs="Arial"/>
          <w:b/>
          <w:bCs/>
          <w:kern w:val="32"/>
          <w:sz w:val="32"/>
          <w:szCs w:val="32"/>
          <w:lang w:val="en-GB"/>
        </w:rPr>
      </w:pPr>
      <w:r w:rsidRPr="0058173C">
        <w:rPr>
          <w:rFonts w:cs="Arial"/>
          <w:b/>
          <w:bCs/>
          <w:kern w:val="32"/>
          <w:sz w:val="32"/>
          <w:szCs w:val="32"/>
          <w:lang w:val="en-GB"/>
        </w:rPr>
        <w:t>ILLUSTRATION</w:t>
      </w:r>
      <w:r w:rsidR="006C533C" w:rsidRPr="0058173C">
        <w:rPr>
          <w:rFonts w:cs="Arial"/>
          <w:b/>
          <w:bCs/>
          <w:kern w:val="32"/>
          <w:sz w:val="32"/>
          <w:szCs w:val="32"/>
          <w:lang w:val="en-GB"/>
        </w:rPr>
        <w:t xml:space="preserve"> – </w:t>
      </w:r>
      <w:bookmarkEnd w:id="18"/>
      <w:r w:rsidR="009E4705">
        <w:rPr>
          <w:rFonts w:cs="Arial"/>
          <w:b/>
          <w:bCs/>
          <w:kern w:val="32"/>
          <w:sz w:val="32"/>
          <w:szCs w:val="32"/>
          <w:lang w:val="en-GB"/>
        </w:rPr>
        <w:t>3.4</w:t>
      </w:r>
    </w:p>
    <w:p w:rsidR="00490D76" w:rsidRPr="00490D76" w:rsidRDefault="00490D76" w:rsidP="006A1887">
      <w:pPr>
        <w:rPr>
          <w:i/>
        </w:rPr>
      </w:pPr>
      <w:r>
        <w:rPr>
          <w:i/>
        </w:rPr>
        <w:t>The Pencil and scissors icons should be replaced with descriptive text</w:t>
      </w:r>
      <w:r w:rsidR="00491D0D">
        <w:rPr>
          <w:i/>
        </w:rPr>
        <w:t xml:space="preserve">.  Ideally, these would be replaced on the UI and the reports, but if removing it from the UI is too great a work effort, than at least removing it from the Observation and Evaluation reports. </w:t>
      </w:r>
    </w:p>
    <w:p w:rsidR="004A3B2C" w:rsidRDefault="004A3B2C" w:rsidP="006A1887"/>
    <w:p w:rsidR="003E35D2" w:rsidRDefault="00115E2A" w:rsidP="006A1887">
      <w:r>
        <w:rPr>
          <w:noProof/>
        </w:rPr>
        <w:drawing>
          <wp:inline distT="0" distB="0" distL="0" distR="0">
            <wp:extent cx="5943600" cy="155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1551305"/>
                    </a:xfrm>
                    <a:prstGeom prst="rect">
                      <a:avLst/>
                    </a:prstGeom>
                  </pic:spPr>
                </pic:pic>
              </a:graphicData>
            </a:graphic>
          </wp:inline>
        </w:drawing>
      </w:r>
    </w:p>
    <w:p w:rsidR="003E35D2" w:rsidRDefault="003E35D2" w:rsidP="006A1887"/>
    <w:p w:rsidR="00613375" w:rsidRPr="0058173C" w:rsidRDefault="009E4705" w:rsidP="00BA72EA">
      <w:pPr>
        <w:keepNext/>
        <w:rPr>
          <w:rFonts w:cs="Arial"/>
          <w:b/>
          <w:bCs/>
          <w:kern w:val="32"/>
          <w:sz w:val="32"/>
          <w:szCs w:val="32"/>
          <w:lang w:val="en-GB"/>
        </w:rPr>
      </w:pPr>
      <w:r>
        <w:rPr>
          <w:rFonts w:cs="Arial"/>
          <w:b/>
          <w:bCs/>
          <w:kern w:val="32"/>
          <w:sz w:val="32"/>
          <w:szCs w:val="32"/>
          <w:lang w:val="en-GB"/>
        </w:rPr>
        <w:lastRenderedPageBreak/>
        <w:t>ILLUSTRATION – 3.5</w:t>
      </w:r>
    </w:p>
    <w:p w:rsidR="006C533C" w:rsidRDefault="00BA72EA" w:rsidP="006A1887">
      <w:r>
        <w:t xml:space="preserve">The </w:t>
      </w:r>
      <w:proofErr w:type="spellStart"/>
      <w:r>
        <w:t>Evauation</w:t>
      </w:r>
      <w:proofErr w:type="spellEnd"/>
      <w:r>
        <w:t xml:space="preserve"> report should have a default print setting selected District-</w:t>
      </w:r>
      <w:proofErr w:type="gramStart"/>
      <w:r>
        <w:t>wide  by</w:t>
      </w:r>
      <w:proofErr w:type="gramEnd"/>
      <w:r>
        <w:t xml:space="preserve"> the District.  </w:t>
      </w:r>
    </w:p>
    <w:p w:rsidR="00221419" w:rsidRDefault="00221419" w:rsidP="00221419">
      <w:pPr>
        <w:rPr>
          <w:lang w:val="en-GB"/>
        </w:rPr>
      </w:pPr>
    </w:p>
    <w:p w:rsidR="00613375" w:rsidRDefault="00613375" w:rsidP="00221419">
      <w:pPr>
        <w:rPr>
          <w:lang w:val="en-GB"/>
        </w:rPr>
      </w:pPr>
      <w:r w:rsidRPr="00613375">
        <w:rPr>
          <w:noProof/>
        </w:rPr>
        <w:drawing>
          <wp:inline distT="0" distB="0" distL="0" distR="0">
            <wp:extent cx="3609340" cy="3574415"/>
            <wp:effectExtent l="19050" t="19050" r="10160" b="260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609340" cy="3574415"/>
                    </a:xfrm>
                    <a:prstGeom prst="rect">
                      <a:avLst/>
                    </a:prstGeom>
                    <a:noFill/>
                    <a:ln w="9525">
                      <a:solidFill>
                        <a:schemeClr val="accent1"/>
                      </a:solidFill>
                      <a:miter lim="800000"/>
                      <a:headEnd/>
                      <a:tailEnd/>
                    </a:ln>
                  </pic:spPr>
                </pic:pic>
              </a:graphicData>
            </a:graphic>
          </wp:inline>
        </w:drawing>
      </w:r>
    </w:p>
    <w:p w:rsidR="00613375" w:rsidRPr="00221419" w:rsidRDefault="00613375" w:rsidP="00221419">
      <w:pPr>
        <w:rPr>
          <w:lang w:val="en-GB"/>
        </w:rPr>
      </w:pPr>
    </w:p>
    <w:p w:rsidR="00252872" w:rsidRPr="00E50C90" w:rsidRDefault="00BA58D9" w:rsidP="00252872">
      <w:pPr>
        <w:pStyle w:val="Heading1"/>
        <w:numPr>
          <w:ilvl w:val="0"/>
          <w:numId w:val="3"/>
        </w:numPr>
        <w:rPr>
          <w:lang w:val="en-GB"/>
        </w:rPr>
      </w:pPr>
      <w:bookmarkStart w:id="19" w:name="_Toc401560852"/>
      <w:r>
        <w:rPr>
          <w:lang w:val="en-GB"/>
        </w:rPr>
        <w:t xml:space="preserve">Review and </w:t>
      </w:r>
      <w:bookmarkEnd w:id="19"/>
      <w:r w:rsidR="00115279">
        <w:rPr>
          <w:lang w:val="en-GB"/>
        </w:rPr>
        <w:t>Approval</w:t>
      </w:r>
    </w:p>
    <w:p w:rsidR="00115279" w:rsidRDefault="00115279" w:rsidP="00115279">
      <w:pPr>
        <w:pStyle w:val="Body"/>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418"/>
        <w:gridCol w:w="3356"/>
        <w:gridCol w:w="2430"/>
        <w:gridCol w:w="1662"/>
      </w:tblGrid>
      <w:tr w:rsidR="00115279" w:rsidTr="00115279">
        <w:trPr>
          <w:tblHeader/>
        </w:trPr>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115279" w:rsidRDefault="00115279">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115279" w:rsidRDefault="00115279">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115279" w:rsidRDefault="00115279">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115279" w:rsidRDefault="00115279">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115279" w:rsidRDefault="00115279">
            <w:pPr>
              <w:pStyle w:val="TableHeading"/>
              <w:rPr>
                <w:sz w:val="16"/>
                <w:szCs w:val="16"/>
              </w:rPr>
            </w:pPr>
            <w:r>
              <w:rPr>
                <w:sz w:val="16"/>
                <w:szCs w:val="16"/>
              </w:rPr>
              <w:t>Date review/approval received</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11/5/14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11/19/14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11/14/14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11/14/14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11/14/14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11/6/14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11/6/14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lastRenderedPageBreak/>
              <w:t>DOTs</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11/14/14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11/7/14</w:t>
            </w:r>
          </w:p>
        </w:tc>
      </w:tr>
      <w:tr w:rsidR="00115279" w:rsidTr="00115279">
        <w:tc>
          <w:tcPr>
            <w:tcW w:w="58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115279" w:rsidRDefault="00115279">
            <w:pPr>
              <w:pStyle w:val="TableCell"/>
              <w:rPr>
                <w:sz w:val="16"/>
                <w:szCs w:val="16"/>
              </w:rPr>
            </w:pPr>
            <w:r>
              <w:rPr>
                <w:sz w:val="16"/>
                <w:szCs w:val="16"/>
              </w:rPr>
              <w:t>11/7/14</w:t>
            </w:r>
          </w:p>
        </w:tc>
      </w:tr>
    </w:tbl>
    <w:p w:rsidR="00115279" w:rsidRDefault="00115279" w:rsidP="00115279">
      <w:pPr>
        <w:rPr>
          <w:lang w:val="en-GB"/>
        </w:rPr>
      </w:pPr>
    </w:p>
    <w:sectPr w:rsidR="00115279" w:rsidSect="008F18A5">
      <w:headerReference w:type="default" r:id="rId17"/>
      <w:footerReference w:type="default" r:id="rId18"/>
      <w:headerReference w:type="first" r:id="rId19"/>
      <w:footerReference w:type="first" r:id="rId20"/>
      <w:pgSz w:w="12240" w:h="15840"/>
      <w:pgMar w:top="1440" w:right="1080" w:bottom="1440" w:left="1080" w:header="720" w:footer="720" w:gutter="245"/>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C1A" w:rsidRDefault="00D60C1A">
      <w:r>
        <w:separator/>
      </w:r>
    </w:p>
  </w:endnote>
  <w:endnote w:type="continuationSeparator" w:id="0">
    <w:p w:rsidR="00D60C1A" w:rsidRDefault="00D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B11" w:rsidRDefault="00074385" w:rsidP="00570B11">
    <w:pPr>
      <w:pStyle w:val="Footer"/>
      <w:tabs>
        <w:tab w:val="clear" w:pos="8640"/>
        <w:tab w:val="right" w:pos="9720"/>
      </w:tabs>
    </w:pPr>
    <w:r>
      <w:fldChar w:fldCharType="begin"/>
    </w:r>
    <w:r>
      <w:instrText xml:space="preserve"> FILENAME  \* Lower  \* MERGEFORMAT </w:instrText>
    </w:r>
    <w:r>
      <w:fldChar w:fldCharType="separate"/>
    </w:r>
    <w:r>
      <w:rPr>
        <w:noProof/>
      </w:rPr>
      <w:t>eval brd-no_3_reports v2</w:t>
    </w:r>
    <w:r>
      <w:rPr>
        <w:noProof/>
      </w:rPr>
      <w:fldChar w:fldCharType="end"/>
    </w:r>
    <w:r w:rsidR="00570B11">
      <w:tab/>
    </w:r>
    <w:r w:rsidR="00570B11">
      <w:tab/>
      <w:t xml:space="preserve"> Page </w:t>
    </w:r>
    <w:sdt>
      <w:sdtPr>
        <w:rPr>
          <w:noProof/>
        </w:rPr>
        <w:id w:val="4353943"/>
        <w:docPartObj>
          <w:docPartGallery w:val="Page Numbers (Bottom of Page)"/>
          <w:docPartUnique/>
        </w:docPartObj>
      </w:sdtPr>
      <w:sdtEndPr/>
      <w:sdtContent>
        <w:r w:rsidR="00B62A6B">
          <w:fldChar w:fldCharType="begin"/>
        </w:r>
        <w:r w:rsidR="009E4705">
          <w:instrText xml:space="preserve"> PAGE   \* MERGEFORMAT </w:instrText>
        </w:r>
        <w:r w:rsidR="00B62A6B">
          <w:fldChar w:fldCharType="separate"/>
        </w:r>
        <w:r>
          <w:rPr>
            <w:noProof/>
          </w:rPr>
          <w:t>9</w:t>
        </w:r>
        <w:r w:rsidR="00B62A6B">
          <w:rPr>
            <w:noProof/>
          </w:rPr>
          <w:fldChar w:fldCharType="end"/>
        </w:r>
        <w:r w:rsidR="00570B11">
          <w:rPr>
            <w:noProof/>
          </w:rPr>
          <w:t xml:space="preserve"> of </w:t>
        </w:r>
        <w:r>
          <w:fldChar w:fldCharType="begin"/>
        </w:r>
        <w:r>
          <w:instrText xml:space="preserve"> NUMPAGES   \* MERGEFORMAT </w:instrText>
        </w:r>
        <w:r>
          <w:fldChar w:fldCharType="separate"/>
        </w:r>
        <w:r>
          <w:rPr>
            <w:noProof/>
          </w:rPr>
          <w:t>9</w:t>
        </w:r>
        <w:r>
          <w:rPr>
            <w:noProof/>
          </w:rPr>
          <w:fldChar w:fldCharType="end"/>
        </w:r>
      </w:sdtContent>
    </w:sdt>
  </w:p>
  <w:p w:rsidR="008F18A5" w:rsidRDefault="008F18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430" w:rsidRDefault="00074385" w:rsidP="00331430">
    <w:pPr>
      <w:pStyle w:val="Footer"/>
      <w:tabs>
        <w:tab w:val="clear" w:pos="8640"/>
        <w:tab w:val="right" w:pos="9720"/>
      </w:tabs>
    </w:pPr>
    <w:r>
      <w:fldChar w:fldCharType="begin"/>
    </w:r>
    <w:r>
      <w:instrText xml:space="preserve"> FILENAME   \* MERGEFORMAT </w:instrText>
    </w:r>
    <w:r>
      <w:fldChar w:fldCharType="separate"/>
    </w:r>
    <w:r>
      <w:rPr>
        <w:noProof/>
      </w:rPr>
      <w:t>eVal BRD-No_3_Reports v2</w:t>
    </w:r>
    <w:r>
      <w:rPr>
        <w:noProof/>
      </w:rPr>
      <w:fldChar w:fldCharType="end"/>
    </w:r>
    <w:r w:rsidR="00331430">
      <w:tab/>
    </w:r>
    <w:r w:rsidR="00331430">
      <w:tab/>
      <w:t xml:space="preserve"> Page </w:t>
    </w:r>
    <w:sdt>
      <w:sdtPr>
        <w:rPr>
          <w:noProof/>
        </w:rPr>
        <w:id w:val="1563987487"/>
        <w:docPartObj>
          <w:docPartGallery w:val="Page Numbers (Bottom of Page)"/>
          <w:docPartUnique/>
        </w:docPartObj>
      </w:sdtPr>
      <w:sdtEndPr/>
      <w:sdtContent>
        <w:r w:rsidR="00B62A6B">
          <w:fldChar w:fldCharType="begin"/>
        </w:r>
        <w:r w:rsidR="009E4705">
          <w:instrText xml:space="preserve"> PAGE   \* MERGEFORMAT </w:instrText>
        </w:r>
        <w:r w:rsidR="00B62A6B">
          <w:fldChar w:fldCharType="separate"/>
        </w:r>
        <w:r>
          <w:rPr>
            <w:noProof/>
          </w:rPr>
          <w:t>1</w:t>
        </w:r>
        <w:r w:rsidR="00B62A6B">
          <w:rPr>
            <w:noProof/>
          </w:rPr>
          <w:fldChar w:fldCharType="end"/>
        </w:r>
        <w:r w:rsidR="00331430">
          <w:rPr>
            <w:noProof/>
          </w:rPr>
          <w:t xml:space="preserve"> of </w:t>
        </w:r>
        <w:r>
          <w:fldChar w:fldCharType="begin"/>
        </w:r>
        <w:r>
          <w:instrText xml:space="preserve"> NUMPAGES   \* MERGEFORMAT </w:instrText>
        </w:r>
        <w:r>
          <w:fldChar w:fldCharType="separate"/>
        </w:r>
        <w:r>
          <w:rPr>
            <w:noProof/>
          </w:rPr>
          <w:t>9</w:t>
        </w:r>
        <w:r>
          <w:rPr>
            <w:noProof/>
          </w:rPr>
          <w:fldChar w:fldCharType="end"/>
        </w:r>
      </w:sdtContent>
    </w:sdt>
  </w:p>
  <w:p w:rsidR="00570B11" w:rsidRDefault="00570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C1A" w:rsidRDefault="00D60C1A">
      <w:r>
        <w:separator/>
      </w:r>
    </w:p>
  </w:footnote>
  <w:footnote w:type="continuationSeparator" w:id="0">
    <w:p w:rsidR="00D60C1A" w:rsidRDefault="00D60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3C" w:rsidRDefault="0058173C" w:rsidP="007F02A9">
    <w:pPr>
      <w:pStyle w:val="Header"/>
    </w:pPr>
    <w:r w:rsidRPr="00881989">
      <w:rPr>
        <w:noProof/>
      </w:rPr>
      <w:drawing>
        <wp:inline distT="0" distB="0" distL="0" distR="0">
          <wp:extent cx="714376" cy="1057275"/>
          <wp:effectExtent l="19050" t="0" r="9524" b="0"/>
          <wp:docPr id="8"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8173C" w:rsidRDefault="0058173C" w:rsidP="007F02A9">
    <w:pPr>
      <w:pStyle w:val="Header"/>
    </w:pPr>
  </w:p>
  <w:p w:rsidR="0058173C" w:rsidRPr="007F02A9" w:rsidRDefault="0058173C" w:rsidP="007F02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199" w:rsidRDefault="00D02199">
    <w:pPr>
      <w:pStyle w:val="Header"/>
    </w:pPr>
    <w:r w:rsidRPr="00D02199">
      <w:rPr>
        <w:noProof/>
      </w:rPr>
      <w:drawing>
        <wp:inline distT="0" distB="0" distL="0" distR="0">
          <wp:extent cx="714376" cy="1057275"/>
          <wp:effectExtent l="19050" t="0" r="9524" b="0"/>
          <wp:docPr id="3"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D02199" w:rsidRDefault="00D021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4">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1"/>
  </w:num>
  <w:num w:numId="3">
    <w:abstractNumId w:val="16"/>
  </w:num>
  <w:num w:numId="4">
    <w:abstractNumId w:val="20"/>
  </w:num>
  <w:num w:numId="5">
    <w:abstractNumId w:val="4"/>
  </w:num>
  <w:num w:numId="6">
    <w:abstractNumId w:val="5"/>
  </w:num>
  <w:num w:numId="7">
    <w:abstractNumId w:val="24"/>
  </w:num>
  <w:num w:numId="8">
    <w:abstractNumId w:val="34"/>
  </w:num>
  <w:num w:numId="9">
    <w:abstractNumId w:val="26"/>
  </w:num>
  <w:num w:numId="10">
    <w:abstractNumId w:val="28"/>
  </w:num>
  <w:num w:numId="11">
    <w:abstractNumId w:val="17"/>
  </w:num>
  <w:num w:numId="12">
    <w:abstractNumId w:val="2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9"/>
  </w:num>
  <w:num w:numId="20">
    <w:abstractNumId w:val="3"/>
  </w:num>
  <w:num w:numId="21">
    <w:abstractNumId w:val="11"/>
  </w:num>
  <w:num w:numId="22">
    <w:abstractNumId w:val="36"/>
  </w:num>
  <w:num w:numId="23">
    <w:abstractNumId w:val="1"/>
  </w:num>
  <w:num w:numId="24">
    <w:abstractNumId w:val="8"/>
  </w:num>
  <w:num w:numId="25">
    <w:abstractNumId w:val="32"/>
  </w:num>
  <w:num w:numId="26">
    <w:abstractNumId w:val="9"/>
  </w:num>
  <w:num w:numId="27">
    <w:abstractNumId w:val="30"/>
  </w:num>
  <w:num w:numId="28">
    <w:abstractNumId w:val="33"/>
  </w:num>
  <w:num w:numId="29">
    <w:abstractNumId w:val="14"/>
  </w:num>
  <w:num w:numId="30">
    <w:abstractNumId w:val="13"/>
  </w:num>
  <w:num w:numId="31">
    <w:abstractNumId w:val="7"/>
  </w:num>
  <w:num w:numId="32">
    <w:abstractNumId w:val="27"/>
  </w:num>
  <w:num w:numId="33">
    <w:abstractNumId w:val="22"/>
  </w:num>
  <w:num w:numId="34">
    <w:abstractNumId w:val="18"/>
  </w:num>
  <w:num w:numId="35">
    <w:abstractNumId w:val="10"/>
  </w:num>
  <w:num w:numId="36">
    <w:abstractNumId w:val="19"/>
  </w:num>
  <w:num w:numId="37">
    <w:abstractNumId w:val="15"/>
  </w:num>
  <w:num w:numId="38">
    <w:abstractNumId w:val="12"/>
  </w:num>
  <w:num w:numId="39">
    <w:abstractNumId w:val="31"/>
  </w:num>
  <w:num w:numId="40">
    <w:abstractNumId w:val="25"/>
  </w:num>
  <w:num w:numId="41">
    <w:abstractNumId w:val="2"/>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B64F6C"/>
    <w:rsid w:val="0000608F"/>
    <w:rsid w:val="0001165A"/>
    <w:rsid w:val="000137E0"/>
    <w:rsid w:val="000142B6"/>
    <w:rsid w:val="00014C26"/>
    <w:rsid w:val="000162BF"/>
    <w:rsid w:val="0001737E"/>
    <w:rsid w:val="00021133"/>
    <w:rsid w:val="00032E52"/>
    <w:rsid w:val="000345E8"/>
    <w:rsid w:val="00040B3D"/>
    <w:rsid w:val="00040DD8"/>
    <w:rsid w:val="00046B07"/>
    <w:rsid w:val="000539FE"/>
    <w:rsid w:val="000540A6"/>
    <w:rsid w:val="0005790D"/>
    <w:rsid w:val="00060766"/>
    <w:rsid w:val="000646A1"/>
    <w:rsid w:val="000701B4"/>
    <w:rsid w:val="00074385"/>
    <w:rsid w:val="00074C87"/>
    <w:rsid w:val="00077144"/>
    <w:rsid w:val="00081606"/>
    <w:rsid w:val="000907BB"/>
    <w:rsid w:val="000923BE"/>
    <w:rsid w:val="0009418E"/>
    <w:rsid w:val="00095FF0"/>
    <w:rsid w:val="00096936"/>
    <w:rsid w:val="000A1E9E"/>
    <w:rsid w:val="000A4AB9"/>
    <w:rsid w:val="000B524B"/>
    <w:rsid w:val="000C1763"/>
    <w:rsid w:val="000D35C5"/>
    <w:rsid w:val="000E245D"/>
    <w:rsid w:val="000E57A9"/>
    <w:rsid w:val="000E5904"/>
    <w:rsid w:val="000F2D78"/>
    <w:rsid w:val="001003ED"/>
    <w:rsid w:val="00106517"/>
    <w:rsid w:val="00106F3B"/>
    <w:rsid w:val="001072C9"/>
    <w:rsid w:val="001077F5"/>
    <w:rsid w:val="0011022F"/>
    <w:rsid w:val="0011201C"/>
    <w:rsid w:val="00115279"/>
    <w:rsid w:val="00115E2A"/>
    <w:rsid w:val="00117FBD"/>
    <w:rsid w:val="00124F2C"/>
    <w:rsid w:val="00125811"/>
    <w:rsid w:val="00130003"/>
    <w:rsid w:val="0013392F"/>
    <w:rsid w:val="00141919"/>
    <w:rsid w:val="00144DD7"/>
    <w:rsid w:val="00154321"/>
    <w:rsid w:val="00155FEB"/>
    <w:rsid w:val="00161707"/>
    <w:rsid w:val="00171ED4"/>
    <w:rsid w:val="00184714"/>
    <w:rsid w:val="001851D9"/>
    <w:rsid w:val="00186C86"/>
    <w:rsid w:val="00190A5C"/>
    <w:rsid w:val="00191F18"/>
    <w:rsid w:val="00193100"/>
    <w:rsid w:val="001A2D48"/>
    <w:rsid w:val="001B63C1"/>
    <w:rsid w:val="001B71C6"/>
    <w:rsid w:val="001B795F"/>
    <w:rsid w:val="001C3815"/>
    <w:rsid w:val="001D202B"/>
    <w:rsid w:val="001D317C"/>
    <w:rsid w:val="001D5B8F"/>
    <w:rsid w:val="001D76D1"/>
    <w:rsid w:val="001E3D42"/>
    <w:rsid w:val="001E698E"/>
    <w:rsid w:val="001F1BA5"/>
    <w:rsid w:val="001F1DC2"/>
    <w:rsid w:val="00204AB0"/>
    <w:rsid w:val="00206A62"/>
    <w:rsid w:val="00212A32"/>
    <w:rsid w:val="00213251"/>
    <w:rsid w:val="00216038"/>
    <w:rsid w:val="00216C92"/>
    <w:rsid w:val="00217600"/>
    <w:rsid w:val="00220A3F"/>
    <w:rsid w:val="00221093"/>
    <w:rsid w:val="00221419"/>
    <w:rsid w:val="00224CBA"/>
    <w:rsid w:val="002317F8"/>
    <w:rsid w:val="002419AA"/>
    <w:rsid w:val="00252872"/>
    <w:rsid w:val="0025362B"/>
    <w:rsid w:val="002539AB"/>
    <w:rsid w:val="0026110A"/>
    <w:rsid w:val="002613C1"/>
    <w:rsid w:val="00263C74"/>
    <w:rsid w:val="00265CA6"/>
    <w:rsid w:val="0027111E"/>
    <w:rsid w:val="00276606"/>
    <w:rsid w:val="00276AF8"/>
    <w:rsid w:val="00276F94"/>
    <w:rsid w:val="00281907"/>
    <w:rsid w:val="00281DB8"/>
    <w:rsid w:val="0028562F"/>
    <w:rsid w:val="002862ED"/>
    <w:rsid w:val="002868C5"/>
    <w:rsid w:val="00295777"/>
    <w:rsid w:val="00297848"/>
    <w:rsid w:val="002A76A5"/>
    <w:rsid w:val="002B187C"/>
    <w:rsid w:val="002B3868"/>
    <w:rsid w:val="002D239C"/>
    <w:rsid w:val="002D247C"/>
    <w:rsid w:val="002D6814"/>
    <w:rsid w:val="002D68EA"/>
    <w:rsid w:val="002E0AED"/>
    <w:rsid w:val="002F1D55"/>
    <w:rsid w:val="002F1DF0"/>
    <w:rsid w:val="002F39EE"/>
    <w:rsid w:val="00321235"/>
    <w:rsid w:val="00331430"/>
    <w:rsid w:val="00333FFC"/>
    <w:rsid w:val="00335D2B"/>
    <w:rsid w:val="00340A60"/>
    <w:rsid w:val="00350859"/>
    <w:rsid w:val="003630E6"/>
    <w:rsid w:val="00364444"/>
    <w:rsid w:val="00364DF0"/>
    <w:rsid w:val="0037499E"/>
    <w:rsid w:val="00376D55"/>
    <w:rsid w:val="00377046"/>
    <w:rsid w:val="00377E0E"/>
    <w:rsid w:val="003947A5"/>
    <w:rsid w:val="003A2C69"/>
    <w:rsid w:val="003A3FCA"/>
    <w:rsid w:val="003A511E"/>
    <w:rsid w:val="003A7ACA"/>
    <w:rsid w:val="003A7E6E"/>
    <w:rsid w:val="003B162F"/>
    <w:rsid w:val="003B338E"/>
    <w:rsid w:val="003B3731"/>
    <w:rsid w:val="003C0928"/>
    <w:rsid w:val="003C1B7E"/>
    <w:rsid w:val="003C5A7D"/>
    <w:rsid w:val="003C712F"/>
    <w:rsid w:val="003D3B85"/>
    <w:rsid w:val="003D6588"/>
    <w:rsid w:val="003E16D9"/>
    <w:rsid w:val="003E35D2"/>
    <w:rsid w:val="003F0FB8"/>
    <w:rsid w:val="003F6D9F"/>
    <w:rsid w:val="004025AF"/>
    <w:rsid w:val="00403C1C"/>
    <w:rsid w:val="004067E2"/>
    <w:rsid w:val="0041152F"/>
    <w:rsid w:val="00416D46"/>
    <w:rsid w:val="004265AC"/>
    <w:rsid w:val="004319CA"/>
    <w:rsid w:val="00431F6C"/>
    <w:rsid w:val="004434D0"/>
    <w:rsid w:val="0044505A"/>
    <w:rsid w:val="00454A47"/>
    <w:rsid w:val="0046454A"/>
    <w:rsid w:val="00470638"/>
    <w:rsid w:val="004741F9"/>
    <w:rsid w:val="00477395"/>
    <w:rsid w:val="004776CA"/>
    <w:rsid w:val="00480144"/>
    <w:rsid w:val="00490D76"/>
    <w:rsid w:val="00491D0D"/>
    <w:rsid w:val="004A3B2C"/>
    <w:rsid w:val="004B0110"/>
    <w:rsid w:val="004B6EBA"/>
    <w:rsid w:val="004B74A9"/>
    <w:rsid w:val="004B7BDA"/>
    <w:rsid w:val="004B7ECF"/>
    <w:rsid w:val="004D1968"/>
    <w:rsid w:val="004D74A6"/>
    <w:rsid w:val="004E12CC"/>
    <w:rsid w:val="004E4BBA"/>
    <w:rsid w:val="004E71C1"/>
    <w:rsid w:val="004F7E1C"/>
    <w:rsid w:val="00501101"/>
    <w:rsid w:val="00502E43"/>
    <w:rsid w:val="00504479"/>
    <w:rsid w:val="00505E22"/>
    <w:rsid w:val="0052090D"/>
    <w:rsid w:val="00520CD7"/>
    <w:rsid w:val="005241EC"/>
    <w:rsid w:val="00527C0D"/>
    <w:rsid w:val="00534F7F"/>
    <w:rsid w:val="00554686"/>
    <w:rsid w:val="005620E6"/>
    <w:rsid w:val="00564EF1"/>
    <w:rsid w:val="00570B11"/>
    <w:rsid w:val="00572F2D"/>
    <w:rsid w:val="0058173C"/>
    <w:rsid w:val="00582750"/>
    <w:rsid w:val="005849C0"/>
    <w:rsid w:val="00590A80"/>
    <w:rsid w:val="00590CC4"/>
    <w:rsid w:val="005A7619"/>
    <w:rsid w:val="005A7E47"/>
    <w:rsid w:val="005B14C4"/>
    <w:rsid w:val="005B2EDD"/>
    <w:rsid w:val="005B311A"/>
    <w:rsid w:val="005C32BD"/>
    <w:rsid w:val="005C6559"/>
    <w:rsid w:val="005C7A84"/>
    <w:rsid w:val="005D262F"/>
    <w:rsid w:val="005E1B3F"/>
    <w:rsid w:val="005E2AF7"/>
    <w:rsid w:val="005E3C1A"/>
    <w:rsid w:val="005E5669"/>
    <w:rsid w:val="005F20B9"/>
    <w:rsid w:val="005F22E3"/>
    <w:rsid w:val="005F6C27"/>
    <w:rsid w:val="005F7B95"/>
    <w:rsid w:val="006131A3"/>
    <w:rsid w:val="00613375"/>
    <w:rsid w:val="00613C17"/>
    <w:rsid w:val="006210B9"/>
    <w:rsid w:val="00626E96"/>
    <w:rsid w:val="00627908"/>
    <w:rsid w:val="00635713"/>
    <w:rsid w:val="006418DA"/>
    <w:rsid w:val="00652428"/>
    <w:rsid w:val="00652816"/>
    <w:rsid w:val="0066458F"/>
    <w:rsid w:val="00670C74"/>
    <w:rsid w:val="00675C57"/>
    <w:rsid w:val="00677FDD"/>
    <w:rsid w:val="006814E5"/>
    <w:rsid w:val="00685614"/>
    <w:rsid w:val="00687779"/>
    <w:rsid w:val="00692A27"/>
    <w:rsid w:val="0069330C"/>
    <w:rsid w:val="00693832"/>
    <w:rsid w:val="006A1887"/>
    <w:rsid w:val="006A4035"/>
    <w:rsid w:val="006A4C93"/>
    <w:rsid w:val="006A6245"/>
    <w:rsid w:val="006B48F8"/>
    <w:rsid w:val="006C4240"/>
    <w:rsid w:val="006C4D4D"/>
    <w:rsid w:val="006C533C"/>
    <w:rsid w:val="006C68B3"/>
    <w:rsid w:val="006C6D5C"/>
    <w:rsid w:val="006D2E0E"/>
    <w:rsid w:val="006E589B"/>
    <w:rsid w:val="006E6FCC"/>
    <w:rsid w:val="006F04C3"/>
    <w:rsid w:val="006F0720"/>
    <w:rsid w:val="006F3CE4"/>
    <w:rsid w:val="006F49B3"/>
    <w:rsid w:val="00700BC2"/>
    <w:rsid w:val="007011A3"/>
    <w:rsid w:val="00702418"/>
    <w:rsid w:val="0071093A"/>
    <w:rsid w:val="0072693A"/>
    <w:rsid w:val="00727D12"/>
    <w:rsid w:val="00731F75"/>
    <w:rsid w:val="00734521"/>
    <w:rsid w:val="00740A30"/>
    <w:rsid w:val="00740D96"/>
    <w:rsid w:val="00743479"/>
    <w:rsid w:val="00743767"/>
    <w:rsid w:val="0074523C"/>
    <w:rsid w:val="00746054"/>
    <w:rsid w:val="00746B5E"/>
    <w:rsid w:val="00754597"/>
    <w:rsid w:val="007561DB"/>
    <w:rsid w:val="007571B2"/>
    <w:rsid w:val="0076083C"/>
    <w:rsid w:val="00763BEA"/>
    <w:rsid w:val="0077069E"/>
    <w:rsid w:val="0077156C"/>
    <w:rsid w:val="007968D0"/>
    <w:rsid w:val="007A3966"/>
    <w:rsid w:val="007B0166"/>
    <w:rsid w:val="007B3576"/>
    <w:rsid w:val="007B4C81"/>
    <w:rsid w:val="007C17E9"/>
    <w:rsid w:val="007C1AD0"/>
    <w:rsid w:val="007C706C"/>
    <w:rsid w:val="007D261C"/>
    <w:rsid w:val="007D4B20"/>
    <w:rsid w:val="007E1CB7"/>
    <w:rsid w:val="007E28B3"/>
    <w:rsid w:val="007E2CF3"/>
    <w:rsid w:val="007E4961"/>
    <w:rsid w:val="007E702D"/>
    <w:rsid w:val="007F02A9"/>
    <w:rsid w:val="00802412"/>
    <w:rsid w:val="008104F8"/>
    <w:rsid w:val="008118A6"/>
    <w:rsid w:val="008120B4"/>
    <w:rsid w:val="00812E1B"/>
    <w:rsid w:val="008156EC"/>
    <w:rsid w:val="0081699C"/>
    <w:rsid w:val="008174D1"/>
    <w:rsid w:val="008411C8"/>
    <w:rsid w:val="0085009B"/>
    <w:rsid w:val="008512B0"/>
    <w:rsid w:val="00855E61"/>
    <w:rsid w:val="00867462"/>
    <w:rsid w:val="0087273C"/>
    <w:rsid w:val="00881989"/>
    <w:rsid w:val="00884058"/>
    <w:rsid w:val="008915EE"/>
    <w:rsid w:val="00892C22"/>
    <w:rsid w:val="008B48DF"/>
    <w:rsid w:val="008C426D"/>
    <w:rsid w:val="008D4AB7"/>
    <w:rsid w:val="008D75E0"/>
    <w:rsid w:val="008D7694"/>
    <w:rsid w:val="008E001E"/>
    <w:rsid w:val="008E31F6"/>
    <w:rsid w:val="008E7D48"/>
    <w:rsid w:val="008F0839"/>
    <w:rsid w:val="008F18A5"/>
    <w:rsid w:val="008F7988"/>
    <w:rsid w:val="00902CE3"/>
    <w:rsid w:val="0090572B"/>
    <w:rsid w:val="00911B40"/>
    <w:rsid w:val="0091439A"/>
    <w:rsid w:val="0092617E"/>
    <w:rsid w:val="00932CB0"/>
    <w:rsid w:val="00952171"/>
    <w:rsid w:val="00956DBE"/>
    <w:rsid w:val="00956E72"/>
    <w:rsid w:val="009647CE"/>
    <w:rsid w:val="009679DA"/>
    <w:rsid w:val="0097074D"/>
    <w:rsid w:val="0097265F"/>
    <w:rsid w:val="00991209"/>
    <w:rsid w:val="009A1C32"/>
    <w:rsid w:val="009A3743"/>
    <w:rsid w:val="009A3DE8"/>
    <w:rsid w:val="009A48CC"/>
    <w:rsid w:val="009B1919"/>
    <w:rsid w:val="009B2182"/>
    <w:rsid w:val="009B2667"/>
    <w:rsid w:val="009C258A"/>
    <w:rsid w:val="009C3DBF"/>
    <w:rsid w:val="009E30F0"/>
    <w:rsid w:val="009E4705"/>
    <w:rsid w:val="009E7E79"/>
    <w:rsid w:val="009F0334"/>
    <w:rsid w:val="009F0EC6"/>
    <w:rsid w:val="009F208E"/>
    <w:rsid w:val="009F6014"/>
    <w:rsid w:val="00A03968"/>
    <w:rsid w:val="00A056D9"/>
    <w:rsid w:val="00A07711"/>
    <w:rsid w:val="00A10655"/>
    <w:rsid w:val="00A10B0E"/>
    <w:rsid w:val="00A113F8"/>
    <w:rsid w:val="00A11432"/>
    <w:rsid w:val="00A22EA0"/>
    <w:rsid w:val="00A249AB"/>
    <w:rsid w:val="00A274C0"/>
    <w:rsid w:val="00A316CF"/>
    <w:rsid w:val="00A40D93"/>
    <w:rsid w:val="00A422AE"/>
    <w:rsid w:val="00A435EA"/>
    <w:rsid w:val="00A44428"/>
    <w:rsid w:val="00A44835"/>
    <w:rsid w:val="00A456A0"/>
    <w:rsid w:val="00A479F8"/>
    <w:rsid w:val="00A51A31"/>
    <w:rsid w:val="00A64112"/>
    <w:rsid w:val="00A86897"/>
    <w:rsid w:val="00A95A20"/>
    <w:rsid w:val="00AA3E49"/>
    <w:rsid w:val="00AA6C60"/>
    <w:rsid w:val="00AB0EE3"/>
    <w:rsid w:val="00AB2D0A"/>
    <w:rsid w:val="00AC19D9"/>
    <w:rsid w:val="00AC65D6"/>
    <w:rsid w:val="00AC6EDE"/>
    <w:rsid w:val="00AD4826"/>
    <w:rsid w:val="00AD58BC"/>
    <w:rsid w:val="00AE284D"/>
    <w:rsid w:val="00AF089F"/>
    <w:rsid w:val="00B04C41"/>
    <w:rsid w:val="00B10F7E"/>
    <w:rsid w:val="00B12335"/>
    <w:rsid w:val="00B15952"/>
    <w:rsid w:val="00B17716"/>
    <w:rsid w:val="00B2707D"/>
    <w:rsid w:val="00B301DB"/>
    <w:rsid w:val="00B36604"/>
    <w:rsid w:val="00B44652"/>
    <w:rsid w:val="00B4743A"/>
    <w:rsid w:val="00B52D12"/>
    <w:rsid w:val="00B57334"/>
    <w:rsid w:val="00B5746A"/>
    <w:rsid w:val="00B62478"/>
    <w:rsid w:val="00B62769"/>
    <w:rsid w:val="00B62A6B"/>
    <w:rsid w:val="00B64F6C"/>
    <w:rsid w:val="00B65EF5"/>
    <w:rsid w:val="00B66038"/>
    <w:rsid w:val="00B71A13"/>
    <w:rsid w:val="00B73957"/>
    <w:rsid w:val="00B75EDB"/>
    <w:rsid w:val="00B76975"/>
    <w:rsid w:val="00B836F6"/>
    <w:rsid w:val="00B86F02"/>
    <w:rsid w:val="00B9050D"/>
    <w:rsid w:val="00BA1868"/>
    <w:rsid w:val="00BA58D9"/>
    <w:rsid w:val="00BA72EA"/>
    <w:rsid w:val="00BB246B"/>
    <w:rsid w:val="00BB3A4E"/>
    <w:rsid w:val="00BC06B9"/>
    <w:rsid w:val="00BC1623"/>
    <w:rsid w:val="00BC3149"/>
    <w:rsid w:val="00BC5CEC"/>
    <w:rsid w:val="00BD759B"/>
    <w:rsid w:val="00BE1B30"/>
    <w:rsid w:val="00BE3718"/>
    <w:rsid w:val="00BE455D"/>
    <w:rsid w:val="00BE4B37"/>
    <w:rsid w:val="00BF5637"/>
    <w:rsid w:val="00C04247"/>
    <w:rsid w:val="00C157F3"/>
    <w:rsid w:val="00C16459"/>
    <w:rsid w:val="00C26E36"/>
    <w:rsid w:val="00C303F6"/>
    <w:rsid w:val="00C3102B"/>
    <w:rsid w:val="00C318F5"/>
    <w:rsid w:val="00C35861"/>
    <w:rsid w:val="00C35E67"/>
    <w:rsid w:val="00C431EE"/>
    <w:rsid w:val="00C4328D"/>
    <w:rsid w:val="00C477AE"/>
    <w:rsid w:val="00C50995"/>
    <w:rsid w:val="00C5535F"/>
    <w:rsid w:val="00C55462"/>
    <w:rsid w:val="00C56D72"/>
    <w:rsid w:val="00C62DFB"/>
    <w:rsid w:val="00C6722D"/>
    <w:rsid w:val="00C70224"/>
    <w:rsid w:val="00C70684"/>
    <w:rsid w:val="00C706C9"/>
    <w:rsid w:val="00C7180D"/>
    <w:rsid w:val="00C72F7A"/>
    <w:rsid w:val="00C73BB6"/>
    <w:rsid w:val="00C760C6"/>
    <w:rsid w:val="00C803FD"/>
    <w:rsid w:val="00C877AA"/>
    <w:rsid w:val="00C87C0B"/>
    <w:rsid w:val="00C90220"/>
    <w:rsid w:val="00C95A7E"/>
    <w:rsid w:val="00CA4B81"/>
    <w:rsid w:val="00CA597F"/>
    <w:rsid w:val="00CB6E64"/>
    <w:rsid w:val="00CC323D"/>
    <w:rsid w:val="00CE4B80"/>
    <w:rsid w:val="00CF634A"/>
    <w:rsid w:val="00D02199"/>
    <w:rsid w:val="00D07828"/>
    <w:rsid w:val="00D10D93"/>
    <w:rsid w:val="00D15A9F"/>
    <w:rsid w:val="00D245BC"/>
    <w:rsid w:val="00D27C96"/>
    <w:rsid w:val="00D33950"/>
    <w:rsid w:val="00D4124F"/>
    <w:rsid w:val="00D44879"/>
    <w:rsid w:val="00D54753"/>
    <w:rsid w:val="00D60C1A"/>
    <w:rsid w:val="00D63F2E"/>
    <w:rsid w:val="00D65EA4"/>
    <w:rsid w:val="00D67BAE"/>
    <w:rsid w:val="00D712A5"/>
    <w:rsid w:val="00D761E8"/>
    <w:rsid w:val="00D841F3"/>
    <w:rsid w:val="00D864D6"/>
    <w:rsid w:val="00D93A74"/>
    <w:rsid w:val="00D9685B"/>
    <w:rsid w:val="00DA068E"/>
    <w:rsid w:val="00DA081A"/>
    <w:rsid w:val="00DA083D"/>
    <w:rsid w:val="00DA5BE0"/>
    <w:rsid w:val="00DA7A1F"/>
    <w:rsid w:val="00DB1D16"/>
    <w:rsid w:val="00DB576D"/>
    <w:rsid w:val="00DD54E8"/>
    <w:rsid w:val="00DE67F7"/>
    <w:rsid w:val="00DF622B"/>
    <w:rsid w:val="00DF6855"/>
    <w:rsid w:val="00E01C30"/>
    <w:rsid w:val="00E06372"/>
    <w:rsid w:val="00E07152"/>
    <w:rsid w:val="00E12F9F"/>
    <w:rsid w:val="00E2264E"/>
    <w:rsid w:val="00E25B82"/>
    <w:rsid w:val="00E26A55"/>
    <w:rsid w:val="00E301A6"/>
    <w:rsid w:val="00E32FCE"/>
    <w:rsid w:val="00E3500C"/>
    <w:rsid w:val="00E403B3"/>
    <w:rsid w:val="00E416D5"/>
    <w:rsid w:val="00E41729"/>
    <w:rsid w:val="00E41D88"/>
    <w:rsid w:val="00E50C90"/>
    <w:rsid w:val="00E55636"/>
    <w:rsid w:val="00E62372"/>
    <w:rsid w:val="00E64CA1"/>
    <w:rsid w:val="00E6536B"/>
    <w:rsid w:val="00E66BAC"/>
    <w:rsid w:val="00E6760C"/>
    <w:rsid w:val="00E77AC8"/>
    <w:rsid w:val="00E81146"/>
    <w:rsid w:val="00E843E2"/>
    <w:rsid w:val="00E875C0"/>
    <w:rsid w:val="00E87FE2"/>
    <w:rsid w:val="00EA298C"/>
    <w:rsid w:val="00EA6619"/>
    <w:rsid w:val="00EB1122"/>
    <w:rsid w:val="00EB330D"/>
    <w:rsid w:val="00EB4242"/>
    <w:rsid w:val="00EB78F2"/>
    <w:rsid w:val="00EC48B2"/>
    <w:rsid w:val="00EC602C"/>
    <w:rsid w:val="00EC7E3B"/>
    <w:rsid w:val="00ED4040"/>
    <w:rsid w:val="00ED6B6A"/>
    <w:rsid w:val="00ED7684"/>
    <w:rsid w:val="00EE16D0"/>
    <w:rsid w:val="00EF0160"/>
    <w:rsid w:val="00EF0696"/>
    <w:rsid w:val="00EF17E5"/>
    <w:rsid w:val="00EF3A5E"/>
    <w:rsid w:val="00F00E74"/>
    <w:rsid w:val="00F036C9"/>
    <w:rsid w:val="00F04A73"/>
    <w:rsid w:val="00F11394"/>
    <w:rsid w:val="00F11602"/>
    <w:rsid w:val="00F1648B"/>
    <w:rsid w:val="00F244EC"/>
    <w:rsid w:val="00F276F9"/>
    <w:rsid w:val="00F30159"/>
    <w:rsid w:val="00F33373"/>
    <w:rsid w:val="00F35692"/>
    <w:rsid w:val="00F378BE"/>
    <w:rsid w:val="00F4336A"/>
    <w:rsid w:val="00F46B06"/>
    <w:rsid w:val="00F562B8"/>
    <w:rsid w:val="00F706BB"/>
    <w:rsid w:val="00F7149B"/>
    <w:rsid w:val="00F747A4"/>
    <w:rsid w:val="00F81038"/>
    <w:rsid w:val="00F8490A"/>
    <w:rsid w:val="00FA1ABB"/>
    <w:rsid w:val="00FA292A"/>
    <w:rsid w:val="00FA7A10"/>
    <w:rsid w:val="00FB0C6F"/>
    <w:rsid w:val="00FB4817"/>
    <w:rsid w:val="00FD273C"/>
    <w:rsid w:val="00FD56E7"/>
    <w:rsid w:val="00FD7432"/>
    <w:rsid w:val="00FE1234"/>
    <w:rsid w:val="00FE4D8F"/>
    <w:rsid w:val="00FE712B"/>
    <w:rsid w:val="00FE7AAC"/>
    <w:rsid w:val="00FF28B7"/>
    <w:rsid w:val="00FF573B"/>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link w:val="Heading1Char"/>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8F18A5"/>
    <w:rPr>
      <w:rFonts w:ascii="Arial" w:hAnsi="Arial"/>
      <w:szCs w:val="24"/>
    </w:rPr>
  </w:style>
  <w:style w:type="character" w:customStyle="1" w:styleId="Heading1Char">
    <w:name w:val="Heading 1 Char"/>
    <w:basedOn w:val="DefaultParagraphFont"/>
    <w:link w:val="Heading1"/>
    <w:rsid w:val="00115279"/>
    <w:rPr>
      <w:rFonts w:ascii="Arial"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8F18A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572">
      <w:bodyDiv w:val="1"/>
      <w:marLeft w:val="0"/>
      <w:marRight w:val="0"/>
      <w:marTop w:val="0"/>
      <w:marBottom w:val="0"/>
      <w:divBdr>
        <w:top w:val="none" w:sz="0" w:space="0" w:color="auto"/>
        <w:left w:val="none" w:sz="0" w:space="0" w:color="auto"/>
        <w:bottom w:val="none" w:sz="0" w:space="0" w:color="auto"/>
        <w:right w:val="none" w:sz="0" w:space="0" w:color="auto"/>
      </w:divBdr>
    </w:div>
    <w:div w:id="154808757">
      <w:bodyDiv w:val="1"/>
      <w:marLeft w:val="0"/>
      <w:marRight w:val="0"/>
      <w:marTop w:val="0"/>
      <w:marBottom w:val="0"/>
      <w:divBdr>
        <w:top w:val="none" w:sz="0" w:space="0" w:color="auto"/>
        <w:left w:val="none" w:sz="0" w:space="0" w:color="auto"/>
        <w:bottom w:val="none" w:sz="0" w:space="0" w:color="auto"/>
        <w:right w:val="none" w:sz="0" w:space="0" w:color="auto"/>
      </w:divBdr>
    </w:div>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210314376">
      <w:bodyDiv w:val="1"/>
      <w:marLeft w:val="0"/>
      <w:marRight w:val="0"/>
      <w:marTop w:val="0"/>
      <w:marBottom w:val="0"/>
      <w:divBdr>
        <w:top w:val="none" w:sz="0" w:space="0" w:color="auto"/>
        <w:left w:val="none" w:sz="0" w:space="0" w:color="auto"/>
        <w:bottom w:val="none" w:sz="0" w:space="0" w:color="auto"/>
        <w:right w:val="none" w:sz="0" w:space="0" w:color="auto"/>
      </w:divBdr>
    </w:div>
    <w:div w:id="232551274">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351343016">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59445677">
      <w:bodyDiv w:val="1"/>
      <w:marLeft w:val="0"/>
      <w:marRight w:val="0"/>
      <w:marTop w:val="0"/>
      <w:marBottom w:val="0"/>
      <w:divBdr>
        <w:top w:val="none" w:sz="0" w:space="0" w:color="auto"/>
        <w:left w:val="none" w:sz="0" w:space="0" w:color="auto"/>
        <w:bottom w:val="none" w:sz="0" w:space="0" w:color="auto"/>
        <w:right w:val="none" w:sz="0" w:space="0" w:color="auto"/>
      </w:divBdr>
    </w:div>
    <w:div w:id="565919283">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243028402">
      <w:bodyDiv w:val="1"/>
      <w:marLeft w:val="0"/>
      <w:marRight w:val="0"/>
      <w:marTop w:val="0"/>
      <w:marBottom w:val="0"/>
      <w:divBdr>
        <w:top w:val="none" w:sz="0" w:space="0" w:color="auto"/>
        <w:left w:val="none" w:sz="0" w:space="0" w:color="auto"/>
        <w:bottom w:val="none" w:sz="0" w:space="0" w:color="auto"/>
        <w:right w:val="none" w:sz="0" w:space="0" w:color="auto"/>
      </w:divBdr>
    </w:div>
    <w:div w:id="1308195866">
      <w:bodyDiv w:val="1"/>
      <w:marLeft w:val="0"/>
      <w:marRight w:val="0"/>
      <w:marTop w:val="0"/>
      <w:marBottom w:val="0"/>
      <w:divBdr>
        <w:top w:val="none" w:sz="0" w:space="0" w:color="auto"/>
        <w:left w:val="none" w:sz="0" w:space="0" w:color="auto"/>
        <w:bottom w:val="none" w:sz="0" w:space="0" w:color="auto"/>
        <w:right w:val="none" w:sz="0" w:space="0" w:color="auto"/>
      </w:divBdr>
    </w:div>
    <w:div w:id="1348950168">
      <w:bodyDiv w:val="1"/>
      <w:marLeft w:val="0"/>
      <w:marRight w:val="0"/>
      <w:marTop w:val="0"/>
      <w:marBottom w:val="0"/>
      <w:divBdr>
        <w:top w:val="none" w:sz="0" w:space="0" w:color="auto"/>
        <w:left w:val="none" w:sz="0" w:space="0" w:color="auto"/>
        <w:bottom w:val="none" w:sz="0" w:space="0" w:color="auto"/>
        <w:right w:val="none" w:sz="0" w:space="0" w:color="auto"/>
      </w:divBdr>
      <w:divsChild>
        <w:div w:id="1843163720">
          <w:marLeft w:val="0"/>
          <w:marRight w:val="0"/>
          <w:marTop w:val="0"/>
          <w:marBottom w:val="0"/>
          <w:divBdr>
            <w:top w:val="none" w:sz="0" w:space="0" w:color="auto"/>
            <w:left w:val="none" w:sz="0" w:space="0" w:color="auto"/>
            <w:bottom w:val="none" w:sz="0" w:space="0" w:color="auto"/>
            <w:right w:val="none" w:sz="0" w:space="0" w:color="auto"/>
          </w:divBdr>
          <w:divsChild>
            <w:div w:id="1059135196">
              <w:marLeft w:val="0"/>
              <w:marRight w:val="0"/>
              <w:marTop w:val="0"/>
              <w:marBottom w:val="0"/>
              <w:divBdr>
                <w:top w:val="none" w:sz="0" w:space="0" w:color="auto"/>
                <w:left w:val="none" w:sz="0" w:space="0" w:color="auto"/>
                <w:bottom w:val="none" w:sz="0" w:space="0" w:color="auto"/>
                <w:right w:val="none" w:sz="0" w:space="0" w:color="auto"/>
              </w:divBdr>
              <w:divsChild>
                <w:div w:id="1015964000">
                  <w:marLeft w:val="0"/>
                  <w:marRight w:val="0"/>
                  <w:marTop w:val="0"/>
                  <w:marBottom w:val="0"/>
                  <w:divBdr>
                    <w:top w:val="none" w:sz="0" w:space="0" w:color="auto"/>
                    <w:left w:val="none" w:sz="0" w:space="0" w:color="auto"/>
                    <w:bottom w:val="none" w:sz="0" w:space="0" w:color="auto"/>
                    <w:right w:val="none" w:sz="0" w:space="0" w:color="auto"/>
                  </w:divBdr>
                  <w:divsChild>
                    <w:div w:id="457144256">
                      <w:marLeft w:val="0"/>
                      <w:marRight w:val="0"/>
                      <w:marTop w:val="0"/>
                      <w:marBottom w:val="0"/>
                      <w:divBdr>
                        <w:top w:val="single" w:sz="4" w:space="5" w:color="353535"/>
                        <w:left w:val="single" w:sz="4" w:space="5" w:color="353535"/>
                        <w:bottom w:val="single" w:sz="4" w:space="5" w:color="353535"/>
                        <w:right w:val="single" w:sz="4" w:space="5" w:color="353535"/>
                      </w:divBdr>
                      <w:divsChild>
                        <w:div w:id="11993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04874932">
      <w:bodyDiv w:val="1"/>
      <w:marLeft w:val="0"/>
      <w:marRight w:val="0"/>
      <w:marTop w:val="0"/>
      <w:marBottom w:val="0"/>
      <w:divBdr>
        <w:top w:val="none" w:sz="0" w:space="0" w:color="auto"/>
        <w:left w:val="none" w:sz="0" w:space="0" w:color="auto"/>
        <w:bottom w:val="none" w:sz="0" w:space="0" w:color="auto"/>
        <w:right w:val="none" w:sz="0" w:space="0" w:color="auto"/>
      </w:divBdr>
    </w:div>
    <w:div w:id="1652177637">
      <w:bodyDiv w:val="1"/>
      <w:marLeft w:val="0"/>
      <w:marRight w:val="0"/>
      <w:marTop w:val="0"/>
      <w:marBottom w:val="0"/>
      <w:divBdr>
        <w:top w:val="none" w:sz="0" w:space="0" w:color="auto"/>
        <w:left w:val="none" w:sz="0" w:space="0" w:color="auto"/>
        <w:bottom w:val="none" w:sz="0" w:space="0" w:color="auto"/>
        <w:right w:val="none" w:sz="0" w:space="0" w:color="auto"/>
      </w:divBdr>
      <w:divsChild>
        <w:div w:id="1943031469">
          <w:marLeft w:val="0"/>
          <w:marRight w:val="0"/>
          <w:marTop w:val="0"/>
          <w:marBottom w:val="0"/>
          <w:divBdr>
            <w:top w:val="none" w:sz="0" w:space="0" w:color="auto"/>
            <w:left w:val="none" w:sz="0" w:space="0" w:color="auto"/>
            <w:bottom w:val="none" w:sz="0" w:space="0" w:color="auto"/>
            <w:right w:val="none" w:sz="0" w:space="0" w:color="auto"/>
          </w:divBdr>
          <w:divsChild>
            <w:div w:id="862593733">
              <w:marLeft w:val="0"/>
              <w:marRight w:val="0"/>
              <w:marTop w:val="0"/>
              <w:marBottom w:val="0"/>
              <w:divBdr>
                <w:top w:val="none" w:sz="0" w:space="0" w:color="auto"/>
                <w:left w:val="none" w:sz="0" w:space="0" w:color="auto"/>
                <w:bottom w:val="none" w:sz="0" w:space="0" w:color="auto"/>
                <w:right w:val="none" w:sz="0" w:space="0" w:color="auto"/>
              </w:divBdr>
              <w:divsChild>
                <w:div w:id="1649633495">
                  <w:marLeft w:val="0"/>
                  <w:marRight w:val="0"/>
                  <w:marTop w:val="0"/>
                  <w:marBottom w:val="0"/>
                  <w:divBdr>
                    <w:top w:val="none" w:sz="0" w:space="0" w:color="auto"/>
                    <w:left w:val="none" w:sz="0" w:space="0" w:color="auto"/>
                    <w:bottom w:val="none" w:sz="0" w:space="0" w:color="auto"/>
                    <w:right w:val="none" w:sz="0" w:space="0" w:color="auto"/>
                  </w:divBdr>
                  <w:divsChild>
                    <w:div w:id="828984278">
                      <w:marLeft w:val="0"/>
                      <w:marRight w:val="0"/>
                      <w:marTop w:val="0"/>
                      <w:marBottom w:val="0"/>
                      <w:divBdr>
                        <w:top w:val="single" w:sz="4" w:space="6" w:color="353535"/>
                        <w:left w:val="single" w:sz="4" w:space="6" w:color="353535"/>
                        <w:bottom w:val="single" w:sz="4" w:space="6" w:color="353535"/>
                        <w:right w:val="single" w:sz="4" w:space="6" w:color="353535"/>
                      </w:divBdr>
                      <w:divsChild>
                        <w:div w:id="18184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53698020">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20865429">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 w:id="1993177193">
      <w:bodyDiv w:val="1"/>
      <w:marLeft w:val="0"/>
      <w:marRight w:val="0"/>
      <w:marTop w:val="0"/>
      <w:marBottom w:val="0"/>
      <w:divBdr>
        <w:top w:val="none" w:sz="0" w:space="0" w:color="auto"/>
        <w:left w:val="none" w:sz="0" w:space="0" w:color="auto"/>
        <w:bottom w:val="none" w:sz="0" w:space="0" w:color="auto"/>
        <w:right w:val="none" w:sz="0" w:space="0" w:color="auto"/>
      </w:divBdr>
    </w:div>
    <w:div w:id="21154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4.xml><?xml version="1.0" encoding="utf-8"?>
<ds:datastoreItem xmlns:ds="http://schemas.openxmlformats.org/officeDocument/2006/customXml" ds:itemID="{64851A7B-4230-4CC5-A3CB-36BE1B90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Template>
  <TotalTime>7</TotalTime>
  <Pages>9</Pages>
  <Words>1390</Words>
  <Characters>7670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9042</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Schmidt, Donna J</cp:lastModifiedBy>
  <cp:revision>5</cp:revision>
  <cp:lastPrinted>2014-12-04T23:25:00Z</cp:lastPrinted>
  <dcterms:created xsi:type="dcterms:W3CDTF">2014-11-17T22:18:00Z</dcterms:created>
  <dcterms:modified xsi:type="dcterms:W3CDTF">2014-12-04T23:25:00Z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