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10F" w:rsidRDefault="00A7610F" w:rsidP="00A7610F">
      <w:pPr>
        <w:jc w:val="center"/>
      </w:pPr>
      <w:bookmarkStart w:id="0" w:name="AuthorName"/>
    </w:p>
    <w:p w:rsidR="00A7610F" w:rsidRDefault="00A7610F" w:rsidP="00A7610F">
      <w:pPr>
        <w:jc w:val="center"/>
      </w:pPr>
    </w:p>
    <w:p w:rsidR="00A7610F" w:rsidRDefault="00A7610F" w:rsidP="00A7610F">
      <w:pPr>
        <w:jc w:val="center"/>
      </w:pPr>
    </w:p>
    <w:p w:rsidR="00A7610F" w:rsidRPr="00FB4817" w:rsidRDefault="00A7610F" w:rsidP="00A7610F">
      <w:pPr>
        <w:jc w:val="center"/>
      </w:pPr>
    </w:p>
    <w:p w:rsidR="00A7610F" w:rsidRPr="00FB4817" w:rsidRDefault="00A7610F" w:rsidP="00A7610F">
      <w:pPr>
        <w:jc w:val="center"/>
      </w:pPr>
    </w:p>
    <w:p w:rsidR="00A7610F" w:rsidRPr="00FB4817" w:rsidRDefault="00A7610F" w:rsidP="00A7610F">
      <w:pPr>
        <w:jc w:val="center"/>
      </w:pPr>
    </w:p>
    <w:p w:rsidR="00A7610F" w:rsidRPr="00FB4817" w:rsidRDefault="00A7610F" w:rsidP="00A7610F">
      <w:pPr>
        <w:jc w:val="center"/>
      </w:pPr>
    </w:p>
    <w:p w:rsidR="00A7610F" w:rsidRPr="00FB4817" w:rsidRDefault="00A7610F" w:rsidP="00A7610F">
      <w:pPr>
        <w:jc w:val="center"/>
      </w:pPr>
    </w:p>
    <w:p w:rsidR="00A7610F" w:rsidRPr="00FB4817" w:rsidRDefault="00A7610F" w:rsidP="00A7610F">
      <w:pPr>
        <w:jc w:val="center"/>
      </w:pPr>
    </w:p>
    <w:p w:rsidR="00A7610F" w:rsidRPr="007F02A9" w:rsidRDefault="00A7610F" w:rsidP="00A7610F">
      <w:pPr>
        <w:ind w:right="1170"/>
        <w:rPr>
          <w:b/>
          <w:iCs/>
          <w:sz w:val="32"/>
          <w:szCs w:val="32"/>
        </w:rPr>
      </w:pPr>
      <w:r>
        <w:rPr>
          <w:b/>
          <w:iCs/>
          <w:sz w:val="32"/>
          <w:szCs w:val="32"/>
        </w:rPr>
        <w:t>Business Requirements Document</w:t>
      </w:r>
    </w:p>
    <w:p w:rsidR="00A7610F" w:rsidRPr="00CC323D" w:rsidRDefault="00A7610F" w:rsidP="00A7610F">
      <w:pPr>
        <w:ind w:right="1170"/>
        <w:rPr>
          <w:b/>
          <w:iCs/>
          <w:sz w:val="32"/>
          <w:szCs w:val="32"/>
        </w:rPr>
      </w:pPr>
      <w:r w:rsidRPr="00CC323D">
        <w:rPr>
          <w:b/>
          <w:iCs/>
          <w:sz w:val="32"/>
          <w:szCs w:val="32"/>
        </w:rPr>
        <w:t xml:space="preserve">Project: eVal </w:t>
      </w:r>
      <w:r>
        <w:rPr>
          <w:b/>
          <w:iCs/>
          <w:sz w:val="32"/>
          <w:szCs w:val="32"/>
        </w:rPr>
        <w:t>Implementation</w:t>
      </w:r>
      <w:r w:rsidRPr="00CC323D">
        <w:rPr>
          <w:b/>
          <w:iCs/>
          <w:sz w:val="32"/>
          <w:szCs w:val="32"/>
        </w:rPr>
        <w:t xml:space="preserve"> </w:t>
      </w:r>
    </w:p>
    <w:p w:rsidR="00A7610F" w:rsidRPr="00A54928" w:rsidRDefault="00A7610F" w:rsidP="00A7610F">
      <w:pPr>
        <w:pBdr>
          <w:bottom w:val="single" w:sz="4" w:space="1" w:color="auto"/>
        </w:pBdr>
        <w:ind w:right="1170"/>
        <w:rPr>
          <w:b/>
          <w:iCs/>
          <w:color w:val="000000" w:themeColor="text1"/>
          <w:sz w:val="32"/>
          <w:szCs w:val="32"/>
        </w:rPr>
      </w:pPr>
    </w:p>
    <w:p w:rsidR="00A7610F" w:rsidRDefault="00A7610F" w:rsidP="00A7610F">
      <w:pPr>
        <w:ind w:right="1170"/>
        <w:rPr>
          <w:b/>
          <w:iCs/>
          <w:color w:val="000000" w:themeColor="text1"/>
          <w:sz w:val="32"/>
          <w:szCs w:val="32"/>
        </w:rPr>
      </w:pPr>
    </w:p>
    <w:p w:rsidR="005620E6" w:rsidRPr="00A7610F" w:rsidRDefault="005620E6" w:rsidP="007F02A9">
      <w:pPr>
        <w:ind w:right="1170"/>
        <w:rPr>
          <w:b/>
          <w:iCs/>
          <w:sz w:val="32"/>
          <w:szCs w:val="32"/>
        </w:rPr>
      </w:pPr>
    </w:p>
    <w:p w:rsidR="00077144" w:rsidRPr="00A7610F" w:rsidRDefault="00CC323D" w:rsidP="007F02A9">
      <w:pPr>
        <w:ind w:right="1170"/>
        <w:rPr>
          <w:b/>
          <w:iCs/>
          <w:sz w:val="32"/>
          <w:szCs w:val="32"/>
        </w:rPr>
      </w:pPr>
      <w:r w:rsidRPr="00A7610F">
        <w:rPr>
          <w:b/>
          <w:iCs/>
          <w:sz w:val="32"/>
          <w:szCs w:val="32"/>
        </w:rPr>
        <w:t>BRD Title:</w:t>
      </w:r>
      <w:r w:rsidR="003A7E6E" w:rsidRPr="00A7610F">
        <w:rPr>
          <w:b/>
          <w:iCs/>
          <w:sz w:val="32"/>
          <w:szCs w:val="32"/>
        </w:rPr>
        <w:t xml:space="preserve"> </w:t>
      </w:r>
      <w:r w:rsidR="00C35861" w:rsidRPr="00A7610F">
        <w:rPr>
          <w:b/>
          <w:iCs/>
          <w:sz w:val="32"/>
          <w:szCs w:val="32"/>
        </w:rPr>
        <w:t>E</w:t>
      </w:r>
      <w:r w:rsidR="00687779" w:rsidRPr="00A7610F">
        <w:rPr>
          <w:b/>
          <w:iCs/>
          <w:sz w:val="32"/>
          <w:szCs w:val="32"/>
        </w:rPr>
        <w:t xml:space="preserve">nd-of-Year </w:t>
      </w:r>
      <w:r w:rsidR="00D63F2E" w:rsidRPr="00A7610F">
        <w:rPr>
          <w:b/>
          <w:iCs/>
          <w:sz w:val="32"/>
          <w:szCs w:val="32"/>
        </w:rPr>
        <w:t xml:space="preserve">eVal </w:t>
      </w:r>
      <w:r w:rsidR="00687779" w:rsidRPr="00A7610F">
        <w:rPr>
          <w:b/>
          <w:iCs/>
          <w:sz w:val="32"/>
          <w:szCs w:val="32"/>
        </w:rPr>
        <w:t>Data File</w:t>
      </w:r>
    </w:p>
    <w:p w:rsidR="00CC323D" w:rsidRPr="00A7610F" w:rsidRDefault="003A7E6E" w:rsidP="007F02A9">
      <w:pPr>
        <w:ind w:right="1170"/>
        <w:rPr>
          <w:b/>
          <w:iCs/>
          <w:sz w:val="32"/>
          <w:szCs w:val="32"/>
        </w:rPr>
      </w:pPr>
      <w:r w:rsidRPr="00A7610F">
        <w:rPr>
          <w:b/>
          <w:iCs/>
          <w:sz w:val="32"/>
          <w:szCs w:val="32"/>
        </w:rPr>
        <w:t>BRD</w:t>
      </w:r>
      <w:r w:rsidR="00CC323D" w:rsidRPr="00A7610F">
        <w:rPr>
          <w:b/>
          <w:iCs/>
          <w:sz w:val="32"/>
          <w:szCs w:val="32"/>
        </w:rPr>
        <w:t>:</w:t>
      </w:r>
      <w:r w:rsidRPr="00A7610F">
        <w:rPr>
          <w:b/>
          <w:iCs/>
          <w:sz w:val="32"/>
          <w:szCs w:val="32"/>
        </w:rPr>
        <w:t xml:space="preserve"> #</w:t>
      </w:r>
      <w:r w:rsidR="00F378BE" w:rsidRPr="00A7610F">
        <w:rPr>
          <w:b/>
          <w:iCs/>
          <w:sz w:val="32"/>
          <w:szCs w:val="32"/>
        </w:rPr>
        <w:t>6</w:t>
      </w:r>
    </w:p>
    <w:p w:rsidR="002945F5" w:rsidRDefault="002945F5" w:rsidP="003A7E6E">
      <w:pPr>
        <w:ind w:right="1170"/>
        <w:rPr>
          <w:b/>
          <w:iCs/>
          <w:sz w:val="32"/>
          <w:szCs w:val="32"/>
        </w:rPr>
      </w:pPr>
    </w:p>
    <w:p w:rsidR="00B15952" w:rsidRDefault="00B15952" w:rsidP="007F02A9">
      <w:pPr>
        <w:ind w:right="1170"/>
        <w:rPr>
          <w:b/>
          <w:iCs/>
          <w:sz w:val="32"/>
          <w:szCs w:val="32"/>
        </w:rPr>
      </w:pPr>
    </w:p>
    <w:p w:rsidR="00A54125" w:rsidRDefault="00A54125" w:rsidP="007F02A9">
      <w:pPr>
        <w:ind w:right="1170"/>
        <w:rPr>
          <w:b/>
          <w:iCs/>
          <w:sz w:val="32"/>
          <w:szCs w:val="32"/>
        </w:rPr>
      </w:pPr>
    </w:p>
    <w:p w:rsidR="00A54125" w:rsidRDefault="00A54125" w:rsidP="00A54125">
      <w:pPr>
        <w:ind w:right="1170"/>
        <w:rPr>
          <w:b/>
          <w:iCs/>
          <w:sz w:val="32"/>
          <w:szCs w:val="32"/>
        </w:rPr>
      </w:pPr>
      <w:r>
        <w:rPr>
          <w:b/>
          <w:iCs/>
          <w:sz w:val="32"/>
          <w:szCs w:val="32"/>
        </w:rPr>
        <w:t xml:space="preserve">Development required by: </w:t>
      </w:r>
    </w:p>
    <w:p w:rsidR="00A54125" w:rsidRDefault="00A54125" w:rsidP="00A54125">
      <w:pPr>
        <w:ind w:right="1170"/>
        <w:rPr>
          <w:b/>
          <w:i/>
          <w:iCs/>
          <w:sz w:val="32"/>
          <w:szCs w:val="32"/>
        </w:rPr>
      </w:pPr>
      <w:r>
        <w:rPr>
          <w:b/>
          <w:i/>
          <w:iCs/>
          <w:sz w:val="32"/>
          <w:szCs w:val="32"/>
        </w:rPr>
        <w:t>Washington State’s eVal Team</w:t>
      </w:r>
    </w:p>
    <w:p w:rsidR="00A54125" w:rsidRPr="00CC323D" w:rsidRDefault="00A54125" w:rsidP="007F02A9">
      <w:pPr>
        <w:ind w:right="1170"/>
        <w:rPr>
          <w:b/>
          <w:iCs/>
          <w:sz w:val="32"/>
          <w:szCs w:val="32"/>
        </w:rPr>
      </w:pPr>
    </w:p>
    <w:p w:rsidR="00077144" w:rsidRDefault="00077144" w:rsidP="001D5B8F">
      <w:pPr>
        <w:rPr>
          <w:lang w:val="en-GB"/>
        </w:rPr>
      </w:pPr>
    </w:p>
    <w:bookmarkEnd w:id="0"/>
    <w:p w:rsidR="00F378BE" w:rsidRDefault="00F378BE" w:rsidP="00B15952">
      <w:pPr>
        <w:ind w:right="1170"/>
        <w:rPr>
          <w:rFonts w:cs="Arial"/>
          <w:sz w:val="16"/>
          <w:szCs w:val="16"/>
        </w:rPr>
      </w:pPr>
    </w:p>
    <w:p w:rsidR="00F378BE" w:rsidRDefault="00F378BE" w:rsidP="00B15952">
      <w:pPr>
        <w:ind w:right="1170"/>
        <w:rPr>
          <w:rFonts w:cs="Arial"/>
          <w:sz w:val="16"/>
          <w:szCs w:val="16"/>
        </w:rPr>
      </w:pPr>
    </w:p>
    <w:p w:rsidR="00B15952" w:rsidRDefault="00B15952" w:rsidP="00B15952">
      <w:pPr>
        <w:ind w:right="1170"/>
        <w:rPr>
          <w:rFonts w:cs="Arial"/>
          <w:sz w:val="16"/>
          <w:szCs w:val="16"/>
        </w:rPr>
      </w:pPr>
    </w:p>
    <w:p w:rsidR="00A7610F" w:rsidRDefault="00A7610F">
      <w:pPr>
        <w:rPr>
          <w:rFonts w:cs="Arial"/>
          <w:lang w:val="en-GB"/>
        </w:rPr>
      </w:pPr>
      <w:r>
        <w:rPr>
          <w:rFonts w:cs="Arial"/>
          <w:lang w:val="en-GB"/>
        </w:rPr>
        <w:br w:type="page"/>
      </w:r>
    </w:p>
    <w:p w:rsidR="00A7610F" w:rsidRDefault="00A7610F" w:rsidP="00A7610F">
      <w:r w:rsidRPr="00490998">
        <w:rPr>
          <w:rFonts w:cs="Arial"/>
          <w:b/>
          <w:bCs/>
          <w:kern w:val="32"/>
          <w:sz w:val="32"/>
          <w:szCs w:val="32"/>
          <w:lang w:val="en-GB"/>
        </w:rPr>
        <w:lastRenderedPageBreak/>
        <w:t>BACKGROUND</w:t>
      </w:r>
    </w:p>
    <w:p w:rsidR="00A7610F" w:rsidRDefault="00A7610F" w:rsidP="00A7610F"/>
    <w:p w:rsidR="000840A7" w:rsidRDefault="000840A7" w:rsidP="000840A7">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0840A7" w:rsidRDefault="000840A7" w:rsidP="000840A7"/>
    <w:p w:rsidR="000840A7" w:rsidRDefault="000840A7" w:rsidP="000840A7">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0840A7" w:rsidRDefault="000840A7" w:rsidP="000840A7"/>
    <w:p w:rsidR="000840A7" w:rsidRPr="004E75FD" w:rsidRDefault="000840A7" w:rsidP="000840A7">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B15952" w:rsidRDefault="00B15952" w:rsidP="00B15952">
      <w:pPr>
        <w:ind w:right="1170"/>
        <w:rPr>
          <w:rFonts w:cs="Arial"/>
          <w:sz w:val="16"/>
          <w:szCs w:val="16"/>
        </w:rPr>
      </w:pPr>
      <w:bookmarkStart w:id="1" w:name="_GoBack"/>
      <w:bookmarkEnd w:id="1"/>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tbl>
      <w:tblPr>
        <w:tblW w:w="101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471"/>
        <w:gridCol w:w="1573"/>
        <w:gridCol w:w="1470"/>
        <w:gridCol w:w="5602"/>
      </w:tblGrid>
      <w:tr w:rsidR="002945F5" w:rsidTr="002B14D0">
        <w:trPr>
          <w:trHeight w:val="398"/>
          <w:tblHeader/>
        </w:trPr>
        <w:tc>
          <w:tcPr>
            <w:tcW w:w="1471" w:type="dxa"/>
            <w:tcBorders>
              <w:top w:val="single" w:sz="6" w:space="0" w:color="auto"/>
              <w:left w:val="single" w:sz="6" w:space="0" w:color="auto"/>
              <w:bottom w:val="single" w:sz="6" w:space="0" w:color="auto"/>
              <w:right w:val="single" w:sz="6" w:space="0" w:color="auto"/>
            </w:tcBorders>
            <w:shd w:val="clear" w:color="auto" w:fill="000000"/>
            <w:hideMark/>
          </w:tcPr>
          <w:p w:rsidR="002945F5" w:rsidRDefault="002945F5" w:rsidP="00B700D1">
            <w:pPr>
              <w:pStyle w:val="TableHeading"/>
              <w:jc w:val="center"/>
              <w:rPr>
                <w:bCs/>
                <w:sz w:val="16"/>
                <w:szCs w:val="16"/>
              </w:rPr>
            </w:pPr>
            <w:r>
              <w:rPr>
                <w:bCs/>
                <w:sz w:val="16"/>
                <w:szCs w:val="16"/>
              </w:rPr>
              <w:t>Version No.</w:t>
            </w:r>
          </w:p>
        </w:tc>
        <w:tc>
          <w:tcPr>
            <w:tcW w:w="1573" w:type="dxa"/>
            <w:tcBorders>
              <w:top w:val="single" w:sz="6" w:space="0" w:color="auto"/>
              <w:left w:val="single" w:sz="6" w:space="0" w:color="auto"/>
              <w:bottom w:val="single" w:sz="6" w:space="0" w:color="auto"/>
              <w:right w:val="single" w:sz="6" w:space="0" w:color="auto"/>
            </w:tcBorders>
            <w:shd w:val="clear" w:color="auto" w:fill="000000"/>
            <w:hideMark/>
          </w:tcPr>
          <w:p w:rsidR="002945F5" w:rsidRDefault="002945F5" w:rsidP="00B700D1">
            <w:pPr>
              <w:pStyle w:val="TableHeading"/>
              <w:jc w:val="center"/>
              <w:rPr>
                <w:bCs/>
                <w:sz w:val="16"/>
                <w:szCs w:val="16"/>
              </w:rPr>
            </w:pPr>
            <w:r>
              <w:rPr>
                <w:bCs/>
                <w:sz w:val="16"/>
                <w:szCs w:val="16"/>
              </w:rPr>
              <w:t>Date</w:t>
            </w:r>
          </w:p>
        </w:tc>
        <w:tc>
          <w:tcPr>
            <w:tcW w:w="1470" w:type="dxa"/>
            <w:tcBorders>
              <w:top w:val="single" w:sz="6" w:space="0" w:color="auto"/>
              <w:left w:val="single" w:sz="6" w:space="0" w:color="auto"/>
              <w:bottom w:val="single" w:sz="6" w:space="0" w:color="auto"/>
              <w:right w:val="single" w:sz="6" w:space="0" w:color="auto"/>
            </w:tcBorders>
            <w:shd w:val="clear" w:color="auto" w:fill="000000"/>
            <w:hideMark/>
          </w:tcPr>
          <w:p w:rsidR="002945F5" w:rsidRDefault="002945F5" w:rsidP="00B700D1">
            <w:pPr>
              <w:pStyle w:val="TableHeading"/>
              <w:jc w:val="center"/>
              <w:rPr>
                <w:bCs/>
                <w:sz w:val="16"/>
                <w:szCs w:val="16"/>
              </w:rPr>
            </w:pPr>
            <w:r>
              <w:rPr>
                <w:bCs/>
                <w:sz w:val="16"/>
                <w:szCs w:val="16"/>
              </w:rPr>
              <w:t xml:space="preserve">Name </w:t>
            </w:r>
          </w:p>
        </w:tc>
        <w:tc>
          <w:tcPr>
            <w:tcW w:w="5602" w:type="dxa"/>
            <w:tcBorders>
              <w:top w:val="single" w:sz="6" w:space="0" w:color="auto"/>
              <w:left w:val="single" w:sz="6" w:space="0" w:color="auto"/>
              <w:bottom w:val="single" w:sz="6" w:space="0" w:color="auto"/>
              <w:right w:val="single" w:sz="6" w:space="0" w:color="auto"/>
            </w:tcBorders>
            <w:shd w:val="clear" w:color="auto" w:fill="000000"/>
            <w:hideMark/>
          </w:tcPr>
          <w:p w:rsidR="002945F5" w:rsidRDefault="002945F5" w:rsidP="00B700D1">
            <w:pPr>
              <w:pStyle w:val="TableHeading"/>
              <w:jc w:val="center"/>
              <w:rPr>
                <w:bCs/>
                <w:sz w:val="16"/>
                <w:szCs w:val="16"/>
              </w:rPr>
            </w:pPr>
            <w:r>
              <w:rPr>
                <w:bCs/>
                <w:sz w:val="16"/>
                <w:szCs w:val="16"/>
              </w:rPr>
              <w:t>Description of Change</w:t>
            </w:r>
          </w:p>
        </w:tc>
      </w:tr>
      <w:tr w:rsidR="002945F5" w:rsidTr="002B14D0">
        <w:trPr>
          <w:trHeight w:val="297"/>
        </w:trPr>
        <w:tc>
          <w:tcPr>
            <w:tcW w:w="1471" w:type="dxa"/>
            <w:tcBorders>
              <w:top w:val="single" w:sz="6" w:space="0" w:color="auto"/>
              <w:left w:val="single" w:sz="12" w:space="0" w:color="auto"/>
              <w:bottom w:val="single" w:sz="6" w:space="0" w:color="auto"/>
              <w:right w:val="single" w:sz="6" w:space="0" w:color="auto"/>
            </w:tcBorders>
            <w:hideMark/>
          </w:tcPr>
          <w:p w:rsidR="002945F5" w:rsidRDefault="002945F5" w:rsidP="00B700D1">
            <w:pPr>
              <w:pStyle w:val="TableCell"/>
              <w:jc w:val="center"/>
              <w:rPr>
                <w:sz w:val="16"/>
                <w:szCs w:val="16"/>
              </w:rPr>
            </w:pPr>
            <w:r>
              <w:rPr>
                <w:sz w:val="16"/>
                <w:szCs w:val="16"/>
              </w:rPr>
              <w:t>1</w:t>
            </w:r>
          </w:p>
        </w:tc>
        <w:tc>
          <w:tcPr>
            <w:tcW w:w="1573" w:type="dxa"/>
            <w:tcBorders>
              <w:top w:val="single" w:sz="6" w:space="0" w:color="auto"/>
              <w:left w:val="single" w:sz="6" w:space="0" w:color="auto"/>
              <w:bottom w:val="single" w:sz="6" w:space="0" w:color="auto"/>
              <w:right w:val="single" w:sz="6" w:space="0" w:color="auto"/>
            </w:tcBorders>
            <w:hideMark/>
          </w:tcPr>
          <w:p w:rsidR="002945F5" w:rsidRDefault="002945F5" w:rsidP="00B700D1">
            <w:pPr>
              <w:pStyle w:val="TableCell"/>
              <w:jc w:val="center"/>
              <w:rPr>
                <w:sz w:val="16"/>
                <w:szCs w:val="16"/>
              </w:rPr>
            </w:pPr>
            <w:r>
              <w:rPr>
                <w:sz w:val="16"/>
                <w:szCs w:val="16"/>
              </w:rPr>
              <w:t>10/31/14</w:t>
            </w:r>
          </w:p>
        </w:tc>
        <w:tc>
          <w:tcPr>
            <w:tcW w:w="1470" w:type="dxa"/>
            <w:tcBorders>
              <w:top w:val="single" w:sz="6" w:space="0" w:color="auto"/>
              <w:left w:val="single" w:sz="6" w:space="0" w:color="auto"/>
              <w:bottom w:val="single" w:sz="6" w:space="0" w:color="auto"/>
              <w:right w:val="single" w:sz="6" w:space="0" w:color="auto"/>
            </w:tcBorders>
            <w:hideMark/>
          </w:tcPr>
          <w:p w:rsidR="002945F5" w:rsidRDefault="002945F5" w:rsidP="00B700D1">
            <w:pPr>
              <w:pStyle w:val="TableCell"/>
              <w:jc w:val="center"/>
              <w:rPr>
                <w:sz w:val="16"/>
                <w:szCs w:val="16"/>
              </w:rPr>
            </w:pPr>
            <w:r>
              <w:rPr>
                <w:sz w:val="16"/>
                <w:szCs w:val="16"/>
              </w:rPr>
              <w:t>Donna Schmidt</w:t>
            </w:r>
          </w:p>
        </w:tc>
        <w:tc>
          <w:tcPr>
            <w:tcW w:w="5602" w:type="dxa"/>
            <w:tcBorders>
              <w:top w:val="single" w:sz="6" w:space="0" w:color="auto"/>
              <w:left w:val="single" w:sz="6" w:space="0" w:color="auto"/>
              <w:bottom w:val="single" w:sz="6" w:space="0" w:color="auto"/>
              <w:right w:val="single" w:sz="12" w:space="0" w:color="auto"/>
            </w:tcBorders>
            <w:hideMark/>
          </w:tcPr>
          <w:p w:rsidR="002945F5" w:rsidRDefault="002945F5" w:rsidP="00B700D1">
            <w:pPr>
              <w:pStyle w:val="TableCell"/>
              <w:rPr>
                <w:sz w:val="16"/>
                <w:szCs w:val="16"/>
              </w:rPr>
            </w:pPr>
            <w:r>
              <w:rPr>
                <w:sz w:val="16"/>
                <w:szCs w:val="16"/>
              </w:rPr>
              <w:t>Baseline; submitted to for review  to eVal, DOTs and HR teams</w:t>
            </w:r>
          </w:p>
        </w:tc>
      </w:tr>
      <w:tr w:rsidR="002B14D0" w:rsidRPr="00037425" w:rsidTr="002B14D0">
        <w:tblPrEx>
          <w:tblLook w:val="0000"/>
        </w:tblPrEx>
        <w:trPr>
          <w:trHeight w:val="349"/>
        </w:trPr>
        <w:tc>
          <w:tcPr>
            <w:tcW w:w="1471" w:type="dxa"/>
          </w:tcPr>
          <w:p w:rsidR="002B14D0" w:rsidRDefault="002B14D0" w:rsidP="00B700D1">
            <w:pPr>
              <w:pStyle w:val="TableCell"/>
              <w:jc w:val="center"/>
              <w:rPr>
                <w:sz w:val="16"/>
                <w:szCs w:val="16"/>
              </w:rPr>
            </w:pPr>
            <w:r>
              <w:rPr>
                <w:sz w:val="16"/>
                <w:szCs w:val="16"/>
              </w:rPr>
              <w:t>2</w:t>
            </w:r>
          </w:p>
        </w:tc>
        <w:tc>
          <w:tcPr>
            <w:tcW w:w="1573" w:type="dxa"/>
          </w:tcPr>
          <w:p w:rsidR="002B14D0" w:rsidRDefault="002B14D0" w:rsidP="00B700D1">
            <w:pPr>
              <w:pStyle w:val="TableCell"/>
              <w:jc w:val="center"/>
              <w:rPr>
                <w:sz w:val="16"/>
                <w:szCs w:val="16"/>
              </w:rPr>
            </w:pPr>
            <w:r>
              <w:rPr>
                <w:sz w:val="16"/>
                <w:szCs w:val="16"/>
              </w:rPr>
              <w:t>11/19/14</w:t>
            </w:r>
          </w:p>
        </w:tc>
        <w:tc>
          <w:tcPr>
            <w:tcW w:w="1470" w:type="dxa"/>
          </w:tcPr>
          <w:p w:rsidR="002B14D0" w:rsidRDefault="002B14D0" w:rsidP="00B700D1">
            <w:pPr>
              <w:pStyle w:val="TableCell"/>
              <w:rPr>
                <w:sz w:val="16"/>
                <w:szCs w:val="16"/>
              </w:rPr>
            </w:pPr>
            <w:r>
              <w:rPr>
                <w:sz w:val="16"/>
                <w:szCs w:val="16"/>
              </w:rPr>
              <w:t>Donna Schmidt</w:t>
            </w:r>
          </w:p>
        </w:tc>
        <w:tc>
          <w:tcPr>
            <w:tcW w:w="5602" w:type="dxa"/>
          </w:tcPr>
          <w:p w:rsidR="002B14D0" w:rsidRDefault="002B14D0" w:rsidP="00B700D1">
            <w:pPr>
              <w:pStyle w:val="TableCell"/>
              <w:rPr>
                <w:sz w:val="16"/>
                <w:szCs w:val="16"/>
              </w:rPr>
            </w:pPr>
            <w:r>
              <w:rPr>
                <w:sz w:val="16"/>
                <w:szCs w:val="16"/>
              </w:rPr>
              <w:t>Misc. word smithing per stakeholder review (no material  changes); updated Review/Approval table to reflect current status</w:t>
            </w:r>
          </w:p>
        </w:tc>
      </w:tr>
    </w:tbl>
    <w:p w:rsidR="007A3966" w:rsidRDefault="007A3966" w:rsidP="007A3966">
      <w:pPr>
        <w:rPr>
          <w:lang w:val="en-GB"/>
        </w:rPr>
      </w:pPr>
    </w:p>
    <w:p w:rsidR="007A3966" w:rsidRDefault="007A3966" w:rsidP="007A3966">
      <w:pPr>
        <w:rPr>
          <w:lang w:val="en-GB"/>
        </w:rPr>
      </w:pPr>
    </w:p>
    <w:p w:rsidR="007A3966" w:rsidRPr="007A3966" w:rsidRDefault="007A3966" w:rsidP="007A3966">
      <w:pPr>
        <w:rPr>
          <w:lang w:val="en-GB"/>
        </w:rPr>
        <w:sectPr w:rsidR="007A3966" w:rsidRPr="007A3966" w:rsidSect="00701D1D">
          <w:headerReference w:type="default" r:id="rId11"/>
          <w:footerReference w:type="default" r:id="rId12"/>
          <w:pgSz w:w="12240" w:h="15840"/>
          <w:pgMar w:top="1440" w:right="1080" w:bottom="1440" w:left="1080" w:header="720" w:footer="720" w:gutter="245"/>
          <w:pgNumType w:start="1"/>
          <w:cols w:space="720"/>
          <w:docGrid w:linePitch="360"/>
        </w:sectPr>
      </w:pPr>
    </w:p>
    <w:p w:rsidR="00125811" w:rsidRDefault="003D3B85" w:rsidP="00125811">
      <w:pPr>
        <w:pStyle w:val="Heading1"/>
        <w:numPr>
          <w:ilvl w:val="0"/>
          <w:numId w:val="3"/>
        </w:numPr>
      </w:pPr>
      <w:bookmarkStart w:id="2" w:name="_Toc400973065"/>
      <w:r>
        <w:rPr>
          <w:lang w:val="en-GB"/>
        </w:rPr>
        <w:t>High Level Requirement Description</w:t>
      </w:r>
      <w:bookmarkEnd w:id="2"/>
      <w:r>
        <w:rPr>
          <w:lang w:val="en-GB"/>
        </w:rPr>
        <w:t xml:space="preserve"> </w:t>
      </w:r>
    </w:p>
    <w:p w:rsidR="00524173" w:rsidRPr="00524173" w:rsidRDefault="00130003" w:rsidP="00524173">
      <w:pPr>
        <w:pStyle w:val="NormalWeb"/>
        <w:rPr>
          <w:rFonts w:ascii="Arial" w:hAnsi="Arial" w:cs="Times New Roman"/>
          <w:sz w:val="20"/>
        </w:rPr>
      </w:pPr>
      <w:r w:rsidRPr="00524173">
        <w:rPr>
          <w:rFonts w:ascii="Arial" w:hAnsi="Arial" w:cs="Times New Roman"/>
          <w:sz w:val="20"/>
        </w:rPr>
        <w:t xml:space="preserve">The </w:t>
      </w:r>
      <w:r w:rsidR="00D4124F" w:rsidRPr="00524173">
        <w:rPr>
          <w:rFonts w:ascii="Arial" w:hAnsi="Arial" w:cs="Times New Roman"/>
          <w:sz w:val="20"/>
        </w:rPr>
        <w:t xml:space="preserve">requirement in this document describes the business need for </w:t>
      </w:r>
      <w:r w:rsidR="00B700D1">
        <w:rPr>
          <w:rFonts w:ascii="Arial" w:hAnsi="Arial" w:cs="Times New Roman"/>
          <w:sz w:val="20"/>
        </w:rPr>
        <w:t>receiving</w:t>
      </w:r>
      <w:r w:rsidR="00D4124F" w:rsidRPr="00524173">
        <w:rPr>
          <w:rFonts w:ascii="Arial" w:hAnsi="Arial" w:cs="Times New Roman"/>
          <w:sz w:val="20"/>
        </w:rPr>
        <w:t xml:space="preserve"> </w:t>
      </w:r>
      <w:r w:rsidR="00FB0C6F" w:rsidRPr="00524173">
        <w:rPr>
          <w:rFonts w:ascii="Arial" w:hAnsi="Arial" w:cs="Times New Roman"/>
          <w:sz w:val="20"/>
        </w:rPr>
        <w:t xml:space="preserve">district-wide </w:t>
      </w:r>
      <w:r w:rsidR="00D4124F" w:rsidRPr="00524173">
        <w:rPr>
          <w:rFonts w:ascii="Arial" w:hAnsi="Arial" w:cs="Times New Roman"/>
          <w:sz w:val="20"/>
        </w:rPr>
        <w:t>data from eVal primarily at the end of the school year when Teacher evaluations are completed. The requirement also states the need to retrieve the data at any ad hoc time with the assumption that the data extracts will always be the most current up-to-date data</w:t>
      </w:r>
      <w:r w:rsidR="003D699B" w:rsidRPr="00524173">
        <w:rPr>
          <w:rFonts w:ascii="Arial" w:hAnsi="Arial" w:cs="Times New Roman"/>
          <w:sz w:val="20"/>
        </w:rPr>
        <w:t xml:space="preserve">. </w:t>
      </w:r>
      <w:r w:rsidR="00524173" w:rsidRPr="00524173">
        <w:rPr>
          <w:rFonts w:ascii="Arial" w:hAnsi="Arial" w:cs="Times New Roman"/>
          <w:sz w:val="20"/>
        </w:rPr>
        <w:t>(This requirement document is related to development required by the eVal team</w:t>
      </w:r>
      <w:r w:rsidR="00524173">
        <w:rPr>
          <w:rFonts w:ascii="Arial" w:hAnsi="Arial" w:cs="Times New Roman"/>
          <w:sz w:val="20"/>
        </w:rPr>
        <w:t xml:space="preserve"> to make the report available</w:t>
      </w:r>
      <w:r w:rsidR="00524173" w:rsidRPr="00524173">
        <w:rPr>
          <w:rFonts w:ascii="Arial" w:hAnsi="Arial" w:cs="Times New Roman"/>
          <w:sz w:val="20"/>
        </w:rPr>
        <w:t xml:space="preserve">; see BRD No 10 </w:t>
      </w:r>
      <w:r w:rsidR="00524173">
        <w:rPr>
          <w:rFonts w:ascii="Arial" w:hAnsi="Arial" w:cs="Times New Roman"/>
          <w:sz w:val="20"/>
        </w:rPr>
        <w:t xml:space="preserve">for development required by the District’s technology team in order to upload </w:t>
      </w:r>
      <w:r w:rsidR="00524173" w:rsidRPr="00524173">
        <w:rPr>
          <w:rFonts w:ascii="Arial" w:hAnsi="Arial" w:cs="Times New Roman"/>
          <w:sz w:val="20"/>
        </w:rPr>
        <w:t>the data file into the District’s SAP system</w:t>
      </w:r>
      <w:r w:rsidR="003227A8">
        <w:rPr>
          <w:rFonts w:ascii="Arial" w:hAnsi="Arial" w:cs="Times New Roman"/>
          <w:sz w:val="20"/>
        </w:rPr>
        <w:t>)</w:t>
      </w:r>
    </w:p>
    <w:p w:rsidR="00252872" w:rsidRDefault="00252872" w:rsidP="00E50C90">
      <w:pPr>
        <w:pStyle w:val="Heading1"/>
        <w:numPr>
          <w:ilvl w:val="0"/>
          <w:numId w:val="3"/>
        </w:numPr>
        <w:rPr>
          <w:lang w:val="en-GB"/>
        </w:rPr>
      </w:pPr>
      <w:bookmarkStart w:id="3" w:name="_Toc400973066"/>
      <w:r>
        <w:rPr>
          <w:lang w:val="en-GB"/>
        </w:rPr>
        <w:t>Business Objective</w:t>
      </w:r>
      <w:bookmarkEnd w:id="3"/>
    </w:p>
    <w:p w:rsidR="00B64F6C" w:rsidRPr="00E50C90" w:rsidRDefault="00A230DD" w:rsidP="00F47D87">
      <w:pPr>
        <w:rPr>
          <w:lang w:val="en-GB"/>
        </w:rPr>
      </w:pPr>
      <w:r>
        <w:rPr>
          <w:lang w:val="en-GB"/>
        </w:rPr>
        <w:t xml:space="preserve">The long-term objective of this requirement is to provide to the District key data elements stored in the eVal system which, once integrated with the District’s SAP and, eventually, </w:t>
      </w:r>
      <w:proofErr w:type="spellStart"/>
      <w:r>
        <w:rPr>
          <w:lang w:val="en-GB"/>
        </w:rPr>
        <w:t>PowerSchool</w:t>
      </w:r>
      <w:proofErr w:type="spellEnd"/>
      <w:r>
        <w:rPr>
          <w:lang w:val="en-GB"/>
        </w:rPr>
        <w:t xml:space="preserve"> systems, will enable the District to make intelligent, data-driven decisions around the success of their programs and the distribution of their employees across their schools.  The immediate objective of this requirement to is to provide the HR team the basic data values they require to support their daily business.</w:t>
      </w:r>
    </w:p>
    <w:p w:rsidR="00252872" w:rsidRDefault="00DA081A" w:rsidP="00B64F6C">
      <w:pPr>
        <w:pStyle w:val="Heading1"/>
        <w:numPr>
          <w:ilvl w:val="0"/>
          <w:numId w:val="3"/>
        </w:numPr>
        <w:rPr>
          <w:lang w:val="en-GB"/>
        </w:rPr>
      </w:pPr>
      <w:bookmarkStart w:id="4" w:name="_Toc100563404"/>
      <w:bookmarkStart w:id="5" w:name="_Toc100563406"/>
      <w:bookmarkStart w:id="6" w:name="_Toc400973067"/>
      <w:bookmarkEnd w:id="4"/>
      <w:bookmarkEnd w:id="5"/>
      <w:r>
        <w:rPr>
          <w:lang w:val="en-GB"/>
        </w:rPr>
        <w:t xml:space="preserve">Business </w:t>
      </w:r>
      <w:r w:rsidR="00252872">
        <w:rPr>
          <w:lang w:val="en-GB"/>
        </w:rPr>
        <w:t>p</w:t>
      </w:r>
      <w:r>
        <w:rPr>
          <w:lang w:val="en-GB"/>
        </w:rPr>
        <w:t>rocesses</w:t>
      </w:r>
      <w:r w:rsidR="00252872">
        <w:rPr>
          <w:lang w:val="en-GB"/>
        </w:rPr>
        <w:t xml:space="preserve"> impacted by the change</w:t>
      </w:r>
      <w:bookmarkEnd w:id="6"/>
    </w:p>
    <w:p w:rsidR="001003ED" w:rsidRDefault="008413A9" w:rsidP="00FF573B">
      <w:pPr>
        <w:pStyle w:val="GuidanceText"/>
        <w:ind w:left="360"/>
        <w:rPr>
          <w:rFonts w:cs="Arial"/>
          <w:i w:val="0"/>
          <w:color w:val="000000"/>
        </w:rPr>
      </w:pPr>
      <w:r>
        <w:rPr>
          <w:rFonts w:cs="Arial"/>
          <w:i w:val="0"/>
          <w:color w:val="000000"/>
        </w:rPr>
        <w:t>In the current state, a seasonal hourly employee manually enters data from the paper evaluations into  the HR system.  In the future state, this data file will be uploaded into the District’s SAP system.</w:t>
      </w:r>
    </w:p>
    <w:p w:rsidR="00B64F6C" w:rsidRPr="00E50C90" w:rsidRDefault="00DA081A" w:rsidP="00B64F6C">
      <w:pPr>
        <w:pStyle w:val="Heading1"/>
        <w:numPr>
          <w:ilvl w:val="0"/>
          <w:numId w:val="3"/>
        </w:numPr>
        <w:rPr>
          <w:lang w:val="en-GB"/>
        </w:rPr>
      </w:pPr>
      <w:bookmarkStart w:id="7" w:name="_Toc100563408"/>
      <w:bookmarkStart w:id="8" w:name="_Toc400973068"/>
      <w:bookmarkEnd w:id="7"/>
      <w:r>
        <w:rPr>
          <w:lang w:val="en-GB"/>
        </w:rPr>
        <w:t>Requirement Details</w:t>
      </w:r>
      <w:bookmarkEnd w:id="8"/>
    </w:p>
    <w:tbl>
      <w:tblPr>
        <w:tblpPr w:leftFromText="180" w:rightFromText="180" w:vertAnchor="text" w:horzAnchor="margin" w:tblpY="723"/>
        <w:tblW w:w="991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3103"/>
        <w:gridCol w:w="5627"/>
      </w:tblGrid>
      <w:tr w:rsidR="003C5A7D" w:rsidTr="00434C5D">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9" w:name="_Toc75136613"/>
            <w:bookmarkStart w:id="10" w:name="_Toc75677719"/>
            <w:bookmarkStart w:id="11" w:name="_Toc76183422"/>
            <w:bookmarkStart w:id="12" w:name="_Toc106442830"/>
            <w:r>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30339D">
            <w:pPr>
              <w:spacing w:line="276" w:lineRule="auto"/>
              <w:rPr>
                <w:rFonts w:cs="Arial"/>
                <w:color w:val="FFFFFF"/>
              </w:rPr>
            </w:pPr>
            <w:r>
              <w:rPr>
                <w:rFonts w:cs="Arial"/>
                <w:color w:val="FFFFFF"/>
              </w:rPr>
              <w:t>Requirement</w:t>
            </w:r>
          </w:p>
        </w:tc>
        <w:tc>
          <w:tcPr>
            <w:tcW w:w="562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434C5D">
        <w:tc>
          <w:tcPr>
            <w:tcW w:w="1188" w:type="dxa"/>
            <w:tcMar>
              <w:top w:w="0" w:type="dxa"/>
              <w:left w:w="108" w:type="dxa"/>
              <w:bottom w:w="0" w:type="dxa"/>
              <w:right w:w="108" w:type="dxa"/>
            </w:tcMar>
            <w:vAlign w:val="center"/>
          </w:tcPr>
          <w:p w:rsidR="003C5A7D" w:rsidRDefault="0030339D" w:rsidP="003C5A7D">
            <w:pPr>
              <w:jc w:val="center"/>
              <w:rPr>
                <w:rFonts w:ascii="Calibri" w:hAnsi="Calibri" w:cs="Arial"/>
                <w:szCs w:val="20"/>
              </w:rPr>
            </w:pPr>
            <w:proofErr w:type="spellStart"/>
            <w:r>
              <w:rPr>
                <w:rFonts w:ascii="Calibri" w:hAnsi="Calibri" w:cs="Arial"/>
                <w:szCs w:val="20"/>
              </w:rPr>
              <w:t>Req</w:t>
            </w:r>
            <w:proofErr w:type="spellEnd"/>
            <w:r>
              <w:rPr>
                <w:rFonts w:ascii="Calibri" w:hAnsi="Calibri" w:cs="Arial"/>
                <w:szCs w:val="20"/>
              </w:rPr>
              <w:t xml:space="preserve"> </w:t>
            </w:r>
            <w:r w:rsidR="00C76D81">
              <w:rPr>
                <w:rFonts w:ascii="Calibri" w:hAnsi="Calibri" w:cs="Arial"/>
                <w:szCs w:val="20"/>
              </w:rPr>
              <w:t>6.1</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0339D" w:rsidP="0030339D">
            <w:pPr>
              <w:spacing w:line="276" w:lineRule="auto"/>
            </w:pPr>
            <w:r>
              <w:t xml:space="preserve">Data file to be made available for download to District Administrator via the Reporting screen within eVal </w:t>
            </w:r>
          </w:p>
        </w:tc>
        <w:tc>
          <w:tcPr>
            <w:tcW w:w="5627" w:type="dxa"/>
            <w:tcMar>
              <w:top w:w="0" w:type="dxa"/>
              <w:left w:w="108" w:type="dxa"/>
              <w:bottom w:w="0" w:type="dxa"/>
              <w:right w:w="108" w:type="dxa"/>
            </w:tcMar>
          </w:tcPr>
          <w:p w:rsidR="00EB78F2" w:rsidRPr="0037499E" w:rsidRDefault="0030339D" w:rsidP="0030339D">
            <w:pPr>
              <w:spacing w:line="276" w:lineRule="auto"/>
              <w:rPr>
                <w:rFonts w:cs="Arial"/>
                <w:color w:val="000000"/>
              </w:rPr>
            </w:pPr>
            <w:bookmarkStart w:id="13" w:name="_BR16"/>
            <w:bookmarkEnd w:id="13"/>
            <w:r>
              <w:rPr>
                <w:rFonts w:cs="Arial"/>
                <w:color w:val="000000"/>
              </w:rPr>
              <w:t>See file specification below</w:t>
            </w:r>
          </w:p>
        </w:tc>
      </w:tr>
      <w:tr w:rsidR="003C5A7D" w:rsidRPr="001D088E" w:rsidTr="00434C5D">
        <w:tc>
          <w:tcPr>
            <w:tcW w:w="1188" w:type="dxa"/>
            <w:tcMar>
              <w:top w:w="0" w:type="dxa"/>
              <w:left w:w="108" w:type="dxa"/>
              <w:bottom w:w="0" w:type="dxa"/>
              <w:right w:w="108" w:type="dxa"/>
            </w:tcMar>
            <w:vAlign w:val="center"/>
          </w:tcPr>
          <w:p w:rsidR="003C5A7D" w:rsidRPr="00C76D81" w:rsidRDefault="0030339D" w:rsidP="003C5A7D">
            <w:pPr>
              <w:spacing w:line="276" w:lineRule="auto"/>
              <w:jc w:val="center"/>
              <w:rPr>
                <w:rFonts w:asciiTheme="minorHAnsi" w:hAnsiTheme="minorHAnsi" w:cs="Arial"/>
              </w:rPr>
            </w:pPr>
            <w:proofErr w:type="spellStart"/>
            <w:r w:rsidRPr="00C76D81">
              <w:rPr>
                <w:rFonts w:asciiTheme="minorHAnsi" w:hAnsiTheme="minorHAnsi" w:cs="Arial"/>
              </w:rPr>
              <w:t>Req</w:t>
            </w:r>
            <w:proofErr w:type="spellEnd"/>
            <w:r w:rsidRPr="00C76D81">
              <w:rPr>
                <w:rFonts w:asciiTheme="minorHAnsi" w:hAnsiTheme="minorHAnsi" w:cs="Arial"/>
              </w:rPr>
              <w:t xml:space="preserve"> </w:t>
            </w:r>
            <w:r w:rsidR="00C76D81">
              <w:rPr>
                <w:rFonts w:asciiTheme="minorHAnsi" w:hAnsiTheme="minorHAnsi" w:cs="Arial"/>
              </w:rPr>
              <w:t>6.2</w:t>
            </w:r>
          </w:p>
        </w:tc>
        <w:tc>
          <w:tcPr>
            <w:tcW w:w="3103" w:type="dxa"/>
            <w:tcMar>
              <w:top w:w="0" w:type="dxa"/>
              <w:left w:w="108" w:type="dxa"/>
              <w:bottom w:w="0" w:type="dxa"/>
              <w:right w:w="108" w:type="dxa"/>
            </w:tcMar>
            <w:vAlign w:val="center"/>
          </w:tcPr>
          <w:p w:rsidR="003C5A7D" w:rsidRPr="001D088E" w:rsidRDefault="0030339D" w:rsidP="0030339D">
            <w:pPr>
              <w:spacing w:line="276" w:lineRule="auto"/>
              <w:rPr>
                <w:rFonts w:cs="Arial"/>
              </w:rPr>
            </w:pPr>
            <w:r>
              <w:rPr>
                <w:rFonts w:cs="Arial"/>
              </w:rPr>
              <w:t>Data to be at teacher level (not summary or aggregate)</w:t>
            </w:r>
          </w:p>
        </w:tc>
        <w:tc>
          <w:tcPr>
            <w:tcW w:w="5627" w:type="dxa"/>
            <w:tcMar>
              <w:top w:w="0" w:type="dxa"/>
              <w:left w:w="108" w:type="dxa"/>
              <w:bottom w:w="0" w:type="dxa"/>
              <w:right w:w="108" w:type="dxa"/>
            </w:tcMar>
          </w:tcPr>
          <w:p w:rsidR="003C5A7D" w:rsidRPr="007E1CB7" w:rsidRDefault="000D6F38" w:rsidP="000D6F38">
            <w:r>
              <w:t>The file should contain one single record for each teacher</w:t>
            </w:r>
          </w:p>
        </w:tc>
      </w:tr>
      <w:tr w:rsidR="003C5A7D" w:rsidRPr="001D088E" w:rsidTr="00434C5D">
        <w:tc>
          <w:tcPr>
            <w:tcW w:w="1188" w:type="dxa"/>
            <w:tcMar>
              <w:top w:w="0" w:type="dxa"/>
              <w:left w:w="108" w:type="dxa"/>
              <w:bottom w:w="0" w:type="dxa"/>
              <w:right w:w="108" w:type="dxa"/>
            </w:tcMar>
            <w:vAlign w:val="center"/>
          </w:tcPr>
          <w:p w:rsidR="003C5A7D" w:rsidRPr="00C76D81" w:rsidRDefault="0030339D" w:rsidP="003C5A7D">
            <w:pPr>
              <w:spacing w:line="276" w:lineRule="auto"/>
              <w:jc w:val="center"/>
              <w:rPr>
                <w:rFonts w:asciiTheme="minorHAnsi" w:hAnsiTheme="minorHAnsi"/>
              </w:rPr>
            </w:pPr>
            <w:proofErr w:type="spellStart"/>
            <w:r w:rsidRPr="00C76D81">
              <w:rPr>
                <w:rFonts w:asciiTheme="minorHAnsi" w:hAnsiTheme="minorHAnsi"/>
              </w:rPr>
              <w:t>Req</w:t>
            </w:r>
            <w:proofErr w:type="spellEnd"/>
            <w:r w:rsidRPr="00C76D81">
              <w:rPr>
                <w:rFonts w:asciiTheme="minorHAnsi" w:hAnsiTheme="minorHAnsi"/>
              </w:rPr>
              <w:t xml:space="preserve"> </w:t>
            </w:r>
            <w:r w:rsidR="00C76D81">
              <w:rPr>
                <w:rFonts w:asciiTheme="minorHAnsi" w:hAnsiTheme="minorHAnsi"/>
              </w:rPr>
              <w:t>6.3</w:t>
            </w:r>
          </w:p>
        </w:tc>
        <w:tc>
          <w:tcPr>
            <w:tcW w:w="3103" w:type="dxa"/>
            <w:tcMar>
              <w:top w:w="0" w:type="dxa"/>
              <w:left w:w="108" w:type="dxa"/>
              <w:bottom w:w="0" w:type="dxa"/>
              <w:right w:w="108" w:type="dxa"/>
            </w:tcMar>
            <w:vAlign w:val="center"/>
          </w:tcPr>
          <w:p w:rsidR="003C5A7D" w:rsidRPr="001D088E" w:rsidRDefault="0030339D" w:rsidP="0030339D">
            <w:pPr>
              <w:spacing w:line="276" w:lineRule="auto"/>
            </w:pPr>
            <w:r>
              <w:t>Data to be available for download at any time</w:t>
            </w:r>
          </w:p>
        </w:tc>
        <w:tc>
          <w:tcPr>
            <w:tcW w:w="5627" w:type="dxa"/>
            <w:tcMar>
              <w:top w:w="0" w:type="dxa"/>
              <w:left w:w="108" w:type="dxa"/>
              <w:bottom w:w="0" w:type="dxa"/>
              <w:right w:w="108" w:type="dxa"/>
            </w:tcMar>
          </w:tcPr>
          <w:p w:rsidR="003C5A7D" w:rsidRPr="001D088E" w:rsidRDefault="0030339D" w:rsidP="003C5A7D">
            <w:pPr>
              <w:spacing w:line="276" w:lineRule="auto"/>
              <w:rPr>
                <w:rFonts w:cs="Arial"/>
                <w:color w:val="000000"/>
              </w:rPr>
            </w:pPr>
            <w:r>
              <w:rPr>
                <w:rFonts w:cs="Arial"/>
                <w:color w:val="000000"/>
              </w:rPr>
              <w:t>Though the District’s primary use will  be as an end-of-year file  that is then uploaded into SAP, HR may at times need to pull this data during the year for their own in-team use</w:t>
            </w:r>
          </w:p>
        </w:tc>
      </w:tr>
      <w:tr w:rsidR="003C5A7D" w:rsidRPr="001D088E" w:rsidTr="00434C5D">
        <w:tc>
          <w:tcPr>
            <w:tcW w:w="1188" w:type="dxa"/>
            <w:tcMar>
              <w:top w:w="0" w:type="dxa"/>
              <w:left w:w="108" w:type="dxa"/>
              <w:bottom w:w="0" w:type="dxa"/>
              <w:right w:w="108" w:type="dxa"/>
            </w:tcMar>
            <w:vAlign w:val="center"/>
          </w:tcPr>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3C5A7D" w:rsidP="0030339D">
            <w:pPr>
              <w:spacing w:line="276" w:lineRule="auto"/>
            </w:pPr>
          </w:p>
        </w:tc>
        <w:tc>
          <w:tcPr>
            <w:tcW w:w="5627" w:type="dxa"/>
            <w:tcMar>
              <w:top w:w="0" w:type="dxa"/>
              <w:left w:w="108" w:type="dxa"/>
              <w:bottom w:w="0" w:type="dxa"/>
              <w:right w:w="108" w:type="dxa"/>
            </w:tcMar>
          </w:tcPr>
          <w:p w:rsidR="003C5A7D" w:rsidRPr="00886421" w:rsidRDefault="003C5A7D" w:rsidP="003C5A7D">
            <w:pPr>
              <w:spacing w:line="276" w:lineRule="auto"/>
              <w:rPr>
                <w:rFonts w:cs="Arial"/>
                <w:color w:val="000000"/>
              </w:rPr>
            </w:pPr>
          </w:p>
        </w:tc>
      </w:tr>
    </w:tbl>
    <w:p w:rsidR="00BE4B37" w:rsidRDefault="00BE4B37" w:rsidP="006A1887">
      <w:pPr>
        <w:rPr>
          <w:b/>
          <w:u w:val="single"/>
        </w:rPr>
      </w:pPr>
      <w:bookmarkStart w:id="14" w:name="_Toc100563439"/>
      <w:bookmarkEnd w:id="9"/>
      <w:bookmarkEnd w:id="10"/>
      <w:bookmarkEnd w:id="11"/>
      <w:bookmarkEnd w:id="12"/>
      <w:bookmarkEnd w:id="14"/>
    </w:p>
    <w:p w:rsidR="00B4743A" w:rsidRDefault="00B4743A" w:rsidP="006A1887"/>
    <w:p w:rsidR="00880F14" w:rsidRDefault="00880F14" w:rsidP="006A1887"/>
    <w:p w:rsidR="00F47D87" w:rsidRDefault="00F47D87" w:rsidP="006A1887"/>
    <w:p w:rsidR="000D6F38" w:rsidRDefault="000D6F38">
      <w:pPr>
        <w:rPr>
          <w:rFonts w:cs="Arial"/>
          <w:b/>
          <w:bCs/>
          <w:kern w:val="32"/>
          <w:sz w:val="32"/>
          <w:szCs w:val="32"/>
          <w:lang w:val="en-GB"/>
        </w:rPr>
      </w:pPr>
      <w:r>
        <w:rPr>
          <w:rFonts w:cs="Arial"/>
          <w:b/>
          <w:bCs/>
          <w:kern w:val="32"/>
          <w:sz w:val="32"/>
          <w:szCs w:val="32"/>
          <w:lang w:val="en-GB"/>
        </w:rPr>
        <w:br w:type="page"/>
      </w:r>
    </w:p>
    <w:p w:rsidR="00F47D87" w:rsidRDefault="00F47D87" w:rsidP="006A1887">
      <w:pPr>
        <w:rPr>
          <w:rFonts w:cs="Arial"/>
          <w:b/>
          <w:bCs/>
          <w:kern w:val="32"/>
          <w:sz w:val="32"/>
          <w:szCs w:val="32"/>
          <w:lang w:val="en-GB"/>
        </w:rPr>
      </w:pPr>
      <w:r w:rsidRPr="00880F14">
        <w:rPr>
          <w:rFonts w:cs="Arial"/>
          <w:b/>
          <w:bCs/>
          <w:kern w:val="32"/>
          <w:sz w:val="32"/>
          <w:szCs w:val="32"/>
          <w:lang w:val="en-GB"/>
        </w:rPr>
        <w:t>File Specification (</w:t>
      </w:r>
      <w:proofErr w:type="spellStart"/>
      <w:r w:rsidRPr="00880F14">
        <w:rPr>
          <w:rFonts w:cs="Arial"/>
          <w:b/>
          <w:bCs/>
          <w:kern w:val="32"/>
          <w:sz w:val="32"/>
          <w:szCs w:val="32"/>
          <w:lang w:val="en-GB"/>
        </w:rPr>
        <w:t>Req</w:t>
      </w:r>
      <w:proofErr w:type="spellEnd"/>
      <w:r w:rsidRPr="00880F14">
        <w:rPr>
          <w:rFonts w:cs="Arial"/>
          <w:b/>
          <w:bCs/>
          <w:kern w:val="32"/>
          <w:sz w:val="32"/>
          <w:szCs w:val="32"/>
          <w:lang w:val="en-GB"/>
        </w:rPr>
        <w:t xml:space="preserve"> 9.1-1)</w:t>
      </w:r>
    </w:p>
    <w:p w:rsidR="00F47D87" w:rsidRDefault="00F47D87" w:rsidP="006A1887"/>
    <w:p w:rsidR="00DE1F5B" w:rsidRPr="00DE1F5B" w:rsidRDefault="00DE1F5B" w:rsidP="006A1887">
      <w:pPr>
        <w:rPr>
          <w:b/>
          <w:i/>
        </w:rPr>
      </w:pPr>
      <w:r w:rsidRPr="00DE1F5B">
        <w:rPr>
          <w:b/>
          <w:i/>
        </w:rPr>
        <w:t>[To be further filled in per discussions across Mabel  and Anne… Donna]</w:t>
      </w:r>
    </w:p>
    <w:p w:rsidR="00DE1F5B" w:rsidRDefault="00DE1F5B" w:rsidP="006A1887"/>
    <w:p w:rsidR="0017531C" w:rsidRDefault="0017531C" w:rsidP="006A1887"/>
    <w:tbl>
      <w:tblPr>
        <w:tblStyle w:val="TableGrid"/>
        <w:tblW w:w="0" w:type="auto"/>
        <w:tblLook w:val="04A0"/>
      </w:tblPr>
      <w:tblGrid>
        <w:gridCol w:w="558"/>
        <w:gridCol w:w="2160"/>
        <w:gridCol w:w="1530"/>
        <w:gridCol w:w="1080"/>
        <w:gridCol w:w="4590"/>
      </w:tblGrid>
      <w:tr w:rsidR="00E44EF3" w:rsidRPr="00880F14" w:rsidTr="00E44EF3">
        <w:trPr>
          <w:tblHeader/>
        </w:trPr>
        <w:tc>
          <w:tcPr>
            <w:tcW w:w="558" w:type="dxa"/>
            <w:shd w:val="clear" w:color="auto" w:fill="A6A6A6" w:themeFill="background1" w:themeFillShade="A6"/>
          </w:tcPr>
          <w:p w:rsidR="00E44EF3" w:rsidRPr="00880F14" w:rsidRDefault="00E44EF3" w:rsidP="006A1887">
            <w:pPr>
              <w:rPr>
                <w:b/>
              </w:rPr>
            </w:pPr>
            <w:r>
              <w:rPr>
                <w:b/>
              </w:rPr>
              <w:t>#</w:t>
            </w:r>
          </w:p>
        </w:tc>
        <w:tc>
          <w:tcPr>
            <w:tcW w:w="2160" w:type="dxa"/>
            <w:shd w:val="clear" w:color="auto" w:fill="A6A6A6" w:themeFill="background1" w:themeFillShade="A6"/>
          </w:tcPr>
          <w:p w:rsidR="00E44EF3" w:rsidRPr="00880F14" w:rsidRDefault="00E44EF3" w:rsidP="006A1887">
            <w:pPr>
              <w:rPr>
                <w:b/>
              </w:rPr>
            </w:pPr>
            <w:r>
              <w:rPr>
                <w:b/>
              </w:rPr>
              <w:t>How Name should appear in Header  Row</w:t>
            </w:r>
          </w:p>
        </w:tc>
        <w:tc>
          <w:tcPr>
            <w:tcW w:w="1530" w:type="dxa"/>
            <w:shd w:val="clear" w:color="auto" w:fill="A6A6A6" w:themeFill="background1" w:themeFillShade="A6"/>
          </w:tcPr>
          <w:p w:rsidR="00E44EF3" w:rsidRPr="00880F14" w:rsidRDefault="00E44EF3" w:rsidP="006A1887">
            <w:pPr>
              <w:rPr>
                <w:b/>
              </w:rPr>
            </w:pPr>
            <w:r>
              <w:rPr>
                <w:b/>
              </w:rPr>
              <w:t>Sample Data</w:t>
            </w:r>
          </w:p>
        </w:tc>
        <w:tc>
          <w:tcPr>
            <w:tcW w:w="1080" w:type="dxa"/>
            <w:shd w:val="clear" w:color="auto" w:fill="A6A6A6" w:themeFill="background1" w:themeFillShade="A6"/>
          </w:tcPr>
          <w:p w:rsidR="00E44EF3" w:rsidRPr="00880F14" w:rsidRDefault="00E44EF3" w:rsidP="006A1887">
            <w:pPr>
              <w:rPr>
                <w:b/>
              </w:rPr>
            </w:pPr>
            <w:r w:rsidRPr="00880F14">
              <w:rPr>
                <w:b/>
              </w:rPr>
              <w:t>Data Type</w:t>
            </w:r>
          </w:p>
        </w:tc>
        <w:tc>
          <w:tcPr>
            <w:tcW w:w="4590" w:type="dxa"/>
            <w:shd w:val="clear" w:color="auto" w:fill="A6A6A6" w:themeFill="background1" w:themeFillShade="A6"/>
          </w:tcPr>
          <w:p w:rsidR="00E44EF3" w:rsidRPr="00880F14" w:rsidRDefault="00E44EF3" w:rsidP="006A1887">
            <w:pPr>
              <w:rPr>
                <w:b/>
              </w:rPr>
            </w:pPr>
            <w:r w:rsidRPr="00880F14">
              <w:rPr>
                <w:b/>
              </w:rPr>
              <w:t>Comments</w:t>
            </w:r>
          </w:p>
        </w:tc>
      </w:tr>
      <w:tr w:rsidR="00E44EF3" w:rsidTr="00E44EF3">
        <w:tc>
          <w:tcPr>
            <w:tcW w:w="558" w:type="dxa"/>
          </w:tcPr>
          <w:p w:rsidR="00E44EF3" w:rsidRDefault="00954446" w:rsidP="006A1887">
            <w:r>
              <w:t>1</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School</w:t>
            </w:r>
            <w:r>
              <w:rPr>
                <w:rFonts w:ascii="Calibri" w:hAnsi="Calibri"/>
                <w:color w:val="000000"/>
                <w:sz w:val="22"/>
                <w:szCs w:val="22"/>
              </w:rPr>
              <w:t xml:space="preserve"> Name</w:t>
            </w:r>
          </w:p>
        </w:tc>
        <w:tc>
          <w:tcPr>
            <w:tcW w:w="1530" w:type="dxa"/>
          </w:tcPr>
          <w:p w:rsidR="00E44EF3" w:rsidRDefault="00E44EF3" w:rsidP="006A1887">
            <w:r>
              <w:t>Ballard High School</w:t>
            </w:r>
          </w:p>
        </w:tc>
        <w:tc>
          <w:tcPr>
            <w:tcW w:w="1080" w:type="dxa"/>
          </w:tcPr>
          <w:p w:rsidR="00E44EF3" w:rsidRDefault="00E44EF3" w:rsidP="006A1887"/>
        </w:tc>
        <w:tc>
          <w:tcPr>
            <w:tcW w:w="4590" w:type="dxa"/>
          </w:tcPr>
          <w:p w:rsidR="00E44EF3" w:rsidRDefault="00E44EF3" w:rsidP="006A1887">
            <w:r>
              <w:t>(The name supplied to eVal from EDS)</w:t>
            </w:r>
          </w:p>
        </w:tc>
      </w:tr>
      <w:tr w:rsidR="00E44EF3" w:rsidTr="00E44EF3">
        <w:tc>
          <w:tcPr>
            <w:tcW w:w="558" w:type="dxa"/>
          </w:tcPr>
          <w:p w:rsidR="00E44EF3" w:rsidRDefault="00E44EF3" w:rsidP="00954446">
            <w:r>
              <w:t>2</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Teacher’s Name</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17994">
            <w:r>
              <w:t xml:space="preserve">As supplied to eVal by EDS (separate fields for </w:t>
            </w:r>
            <w:proofErr w:type="spellStart"/>
            <w:r>
              <w:t>FName</w:t>
            </w:r>
            <w:proofErr w:type="spellEnd"/>
            <w:r>
              <w:t xml:space="preserve">, M, </w:t>
            </w:r>
            <w:proofErr w:type="spellStart"/>
            <w:r>
              <w:t>LName</w:t>
            </w:r>
            <w:proofErr w:type="spellEnd"/>
            <w:r>
              <w:t xml:space="preserve"> or one field, etc.) </w:t>
            </w:r>
          </w:p>
        </w:tc>
      </w:tr>
      <w:tr w:rsidR="00E44EF3" w:rsidTr="00E44EF3">
        <w:tc>
          <w:tcPr>
            <w:tcW w:w="558" w:type="dxa"/>
          </w:tcPr>
          <w:p w:rsidR="00E44EF3" w:rsidRDefault="00E44EF3" w:rsidP="006A1887">
            <w:r>
              <w:t>3</w:t>
            </w:r>
          </w:p>
        </w:tc>
        <w:tc>
          <w:tcPr>
            <w:tcW w:w="2160" w:type="dxa"/>
            <w:vAlign w:val="bottom"/>
          </w:tcPr>
          <w:p w:rsidR="00E44EF3" w:rsidRDefault="00E44EF3" w:rsidP="003227A8">
            <w:pPr>
              <w:rPr>
                <w:rFonts w:ascii="Calibri" w:hAnsi="Calibri"/>
                <w:color w:val="000000"/>
                <w:sz w:val="22"/>
                <w:szCs w:val="22"/>
              </w:rPr>
            </w:pPr>
            <w:r>
              <w:rPr>
                <w:rFonts w:ascii="Calibri" w:hAnsi="Calibri"/>
                <w:color w:val="000000"/>
                <w:sz w:val="22"/>
                <w:szCs w:val="22"/>
              </w:rPr>
              <w:t>Teacher Cert #</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17994">
            <w:r>
              <w:t>As supplied to eVal by EDS</w:t>
            </w:r>
          </w:p>
        </w:tc>
      </w:tr>
      <w:tr w:rsidR="00E44EF3" w:rsidTr="00E44EF3">
        <w:tc>
          <w:tcPr>
            <w:tcW w:w="558" w:type="dxa"/>
          </w:tcPr>
          <w:p w:rsidR="00E44EF3" w:rsidRDefault="00E44EF3" w:rsidP="006A1887">
            <w:r>
              <w:t>4</w:t>
            </w:r>
          </w:p>
        </w:tc>
        <w:tc>
          <w:tcPr>
            <w:tcW w:w="2160" w:type="dxa"/>
            <w:vAlign w:val="bottom"/>
          </w:tcPr>
          <w:p w:rsidR="00E44EF3" w:rsidRDefault="00E44EF3" w:rsidP="003227A8">
            <w:pPr>
              <w:rPr>
                <w:rFonts w:ascii="Calibri" w:hAnsi="Calibri"/>
                <w:color w:val="000000"/>
                <w:sz w:val="22"/>
                <w:szCs w:val="22"/>
              </w:rPr>
            </w:pPr>
            <w:r>
              <w:rPr>
                <w:rFonts w:ascii="Calibri" w:hAnsi="Calibri"/>
                <w:color w:val="000000"/>
                <w:sz w:val="22"/>
                <w:szCs w:val="22"/>
              </w:rPr>
              <w:t>Teacher District Email</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17994">
            <w:r>
              <w:t>As supplied to eVal by EDS through the EDS field “</w:t>
            </w:r>
            <w:proofErr w:type="spellStart"/>
            <w:r>
              <w:t>UserName</w:t>
            </w:r>
            <w:proofErr w:type="spellEnd"/>
            <w:r>
              <w:t>”</w:t>
            </w:r>
          </w:p>
        </w:tc>
      </w:tr>
      <w:tr w:rsidR="00E44EF3" w:rsidTr="00E44EF3">
        <w:tc>
          <w:tcPr>
            <w:tcW w:w="558" w:type="dxa"/>
          </w:tcPr>
          <w:p w:rsidR="00E44EF3" w:rsidRDefault="00E44EF3" w:rsidP="006A1887">
            <w:r>
              <w:t>5</w:t>
            </w:r>
          </w:p>
        </w:tc>
        <w:tc>
          <w:tcPr>
            <w:tcW w:w="2160" w:type="dxa"/>
            <w:vAlign w:val="bottom"/>
          </w:tcPr>
          <w:p w:rsidR="00E44EF3" w:rsidRDefault="00E44EF3" w:rsidP="003227A8">
            <w:pPr>
              <w:rPr>
                <w:rFonts w:ascii="Calibri" w:hAnsi="Calibri"/>
                <w:color w:val="000000"/>
                <w:sz w:val="22"/>
                <w:szCs w:val="22"/>
              </w:rPr>
            </w:pPr>
            <w:r>
              <w:rPr>
                <w:rFonts w:ascii="Calibri" w:hAnsi="Calibri"/>
                <w:color w:val="000000"/>
                <w:sz w:val="22"/>
                <w:szCs w:val="22"/>
              </w:rPr>
              <w:t>Teacher Contact Email</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17994">
            <w:r>
              <w:t>As supplied to eVal by EDS through the EDS field “Contact email”  (The District is asking for  this field as an additional identifier in case it cannot match the record on User Name or Cert #)</w:t>
            </w:r>
            <w:r w:rsidR="008B365E">
              <w:t>.  [This is a “nice to have”, not critical]</w:t>
            </w:r>
          </w:p>
        </w:tc>
      </w:tr>
      <w:tr w:rsidR="00E44EF3" w:rsidTr="00E44EF3">
        <w:tc>
          <w:tcPr>
            <w:tcW w:w="558" w:type="dxa"/>
          </w:tcPr>
          <w:p w:rsidR="00E44EF3" w:rsidRDefault="00E44EF3" w:rsidP="006A1887">
            <w:r>
              <w:t>6</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Evaluator Name</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A1887">
            <w:r>
              <w:t>As passed to eVal by EDS</w:t>
            </w:r>
          </w:p>
        </w:tc>
      </w:tr>
      <w:tr w:rsidR="00E44EF3" w:rsidTr="00E44EF3">
        <w:tc>
          <w:tcPr>
            <w:tcW w:w="558" w:type="dxa"/>
          </w:tcPr>
          <w:p w:rsidR="00E44EF3" w:rsidRDefault="00954446" w:rsidP="006A1887">
            <w:r>
              <w:t>7</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Evaluator Cert #</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A1887">
            <w:r>
              <w:t>As passed to eVal by EDS</w:t>
            </w:r>
          </w:p>
        </w:tc>
      </w:tr>
      <w:tr w:rsidR="00E44EF3" w:rsidTr="00E44EF3">
        <w:tc>
          <w:tcPr>
            <w:tcW w:w="558" w:type="dxa"/>
          </w:tcPr>
          <w:p w:rsidR="00E44EF3" w:rsidRDefault="00954446" w:rsidP="006A1887">
            <w:r>
              <w:t>8</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Evaluator District Email</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A1887">
            <w:r>
              <w:t>As passed to eVal by EDS</w:t>
            </w:r>
          </w:p>
        </w:tc>
      </w:tr>
      <w:tr w:rsidR="00E44EF3" w:rsidTr="00E44EF3">
        <w:tc>
          <w:tcPr>
            <w:tcW w:w="558" w:type="dxa"/>
          </w:tcPr>
          <w:p w:rsidR="00E44EF3" w:rsidRDefault="00954446" w:rsidP="006A1887">
            <w:r>
              <w:t>9</w:t>
            </w:r>
          </w:p>
        </w:tc>
        <w:tc>
          <w:tcPr>
            <w:tcW w:w="2160" w:type="dxa"/>
            <w:vAlign w:val="bottom"/>
          </w:tcPr>
          <w:p w:rsidR="00E44EF3" w:rsidRPr="0017531C" w:rsidRDefault="00E44EF3" w:rsidP="0017531C">
            <w:pPr>
              <w:rPr>
                <w:rFonts w:ascii="Calibri" w:hAnsi="Calibri"/>
                <w:color w:val="000000"/>
                <w:sz w:val="22"/>
                <w:szCs w:val="22"/>
              </w:rPr>
            </w:pPr>
            <w:r>
              <w:rPr>
                <w:rFonts w:ascii="Calibri" w:hAnsi="Calibri"/>
                <w:color w:val="000000"/>
                <w:sz w:val="22"/>
                <w:szCs w:val="22"/>
              </w:rPr>
              <w:t xml:space="preserve">Current </w:t>
            </w:r>
            <w:proofErr w:type="spellStart"/>
            <w:r w:rsidRPr="0017531C">
              <w:rPr>
                <w:rFonts w:ascii="Calibri" w:hAnsi="Calibri"/>
                <w:color w:val="000000"/>
                <w:sz w:val="22"/>
                <w:szCs w:val="22"/>
              </w:rPr>
              <w:t>Eval</w:t>
            </w:r>
            <w:proofErr w:type="spellEnd"/>
            <w:r w:rsidRPr="0017531C">
              <w:rPr>
                <w:rFonts w:ascii="Calibri" w:hAnsi="Calibri"/>
                <w:color w:val="000000"/>
                <w:sz w:val="22"/>
                <w:szCs w:val="22"/>
              </w:rPr>
              <w:t xml:space="preserve"> </w:t>
            </w:r>
            <w:r>
              <w:rPr>
                <w:rFonts w:ascii="Calibri" w:hAnsi="Calibri"/>
                <w:color w:val="000000"/>
                <w:sz w:val="22"/>
                <w:szCs w:val="22"/>
              </w:rPr>
              <w:t>Cycle</w:t>
            </w:r>
          </w:p>
        </w:tc>
        <w:tc>
          <w:tcPr>
            <w:tcW w:w="1530" w:type="dxa"/>
          </w:tcPr>
          <w:p w:rsidR="00E44EF3" w:rsidRDefault="00E44EF3" w:rsidP="006A1887">
            <w:r>
              <w:t>C, F</w:t>
            </w:r>
          </w:p>
        </w:tc>
        <w:tc>
          <w:tcPr>
            <w:tcW w:w="1080" w:type="dxa"/>
          </w:tcPr>
          <w:p w:rsidR="00E44EF3" w:rsidRDefault="00E44EF3" w:rsidP="006A1887"/>
        </w:tc>
        <w:tc>
          <w:tcPr>
            <w:tcW w:w="4590" w:type="dxa"/>
          </w:tcPr>
          <w:p w:rsidR="00E44EF3" w:rsidRDefault="00E44EF3" w:rsidP="006A1887"/>
        </w:tc>
      </w:tr>
      <w:tr w:rsidR="00E44EF3" w:rsidTr="00E44EF3">
        <w:tc>
          <w:tcPr>
            <w:tcW w:w="558" w:type="dxa"/>
          </w:tcPr>
          <w:p w:rsidR="00E44EF3" w:rsidRDefault="00954446" w:rsidP="006A1887">
            <w:r>
              <w:t>10</w:t>
            </w:r>
          </w:p>
        </w:tc>
        <w:tc>
          <w:tcPr>
            <w:tcW w:w="2160" w:type="dxa"/>
            <w:vAlign w:val="bottom"/>
          </w:tcPr>
          <w:p w:rsidR="00E44EF3" w:rsidRPr="0017531C" w:rsidRDefault="00E44EF3" w:rsidP="003227A8">
            <w:pPr>
              <w:rPr>
                <w:rFonts w:ascii="Calibri" w:hAnsi="Calibri"/>
                <w:color w:val="000000"/>
                <w:sz w:val="22"/>
                <w:szCs w:val="22"/>
              </w:rPr>
            </w:pPr>
            <w:proofErr w:type="spellStart"/>
            <w:r>
              <w:rPr>
                <w:rFonts w:ascii="Calibri" w:hAnsi="Calibri"/>
                <w:color w:val="000000"/>
                <w:sz w:val="22"/>
                <w:szCs w:val="22"/>
              </w:rPr>
              <w:t>Eval</w:t>
            </w:r>
            <w:proofErr w:type="spellEnd"/>
            <w:r>
              <w:rPr>
                <w:rFonts w:ascii="Calibri" w:hAnsi="Calibri"/>
                <w:color w:val="000000"/>
                <w:sz w:val="22"/>
                <w:szCs w:val="22"/>
              </w:rPr>
              <w:t xml:space="preserve"> area of Focus </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A1887">
            <w:r>
              <w:t xml:space="preserve">If </w:t>
            </w:r>
            <w:proofErr w:type="spellStart"/>
            <w:r>
              <w:t>Eval</w:t>
            </w:r>
            <w:proofErr w:type="spellEnd"/>
            <w:r>
              <w:t xml:space="preserve"> Type = F</w:t>
            </w:r>
          </w:p>
        </w:tc>
      </w:tr>
      <w:tr w:rsidR="00E44EF3" w:rsidTr="00E44EF3">
        <w:tc>
          <w:tcPr>
            <w:tcW w:w="558" w:type="dxa"/>
          </w:tcPr>
          <w:p w:rsidR="00E44EF3" w:rsidRDefault="00954446" w:rsidP="003227A8">
            <w:r>
              <w:t>11</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 xml:space="preserve">Next Year’s </w:t>
            </w:r>
            <w:proofErr w:type="spellStart"/>
            <w:r w:rsidRPr="0017531C">
              <w:rPr>
                <w:rFonts w:ascii="Calibri" w:hAnsi="Calibri"/>
                <w:color w:val="000000"/>
                <w:sz w:val="22"/>
                <w:szCs w:val="22"/>
              </w:rPr>
              <w:t>Eval</w:t>
            </w:r>
            <w:proofErr w:type="spellEnd"/>
            <w:r w:rsidRPr="0017531C">
              <w:rPr>
                <w:rFonts w:ascii="Calibri" w:hAnsi="Calibri"/>
                <w:color w:val="000000"/>
                <w:sz w:val="22"/>
                <w:szCs w:val="22"/>
              </w:rPr>
              <w:t xml:space="preserve"> </w:t>
            </w:r>
            <w:r>
              <w:rPr>
                <w:rFonts w:ascii="Calibri" w:hAnsi="Calibri"/>
                <w:color w:val="000000"/>
                <w:sz w:val="22"/>
                <w:szCs w:val="22"/>
              </w:rPr>
              <w:t>Cycle</w:t>
            </w:r>
          </w:p>
        </w:tc>
        <w:tc>
          <w:tcPr>
            <w:tcW w:w="1530" w:type="dxa"/>
          </w:tcPr>
          <w:p w:rsidR="00E44EF3" w:rsidRDefault="00E44EF3" w:rsidP="003227A8">
            <w:r>
              <w:t>C, F</w:t>
            </w:r>
          </w:p>
        </w:tc>
        <w:tc>
          <w:tcPr>
            <w:tcW w:w="1080" w:type="dxa"/>
          </w:tcPr>
          <w:p w:rsidR="00E44EF3" w:rsidRDefault="00E44EF3" w:rsidP="003227A8"/>
        </w:tc>
        <w:tc>
          <w:tcPr>
            <w:tcW w:w="4590" w:type="dxa"/>
          </w:tcPr>
          <w:p w:rsidR="00E44EF3" w:rsidRDefault="00E44EF3" w:rsidP="003227A8"/>
        </w:tc>
      </w:tr>
      <w:tr w:rsidR="00E44EF3" w:rsidTr="00E44EF3">
        <w:tc>
          <w:tcPr>
            <w:tcW w:w="558" w:type="dxa"/>
          </w:tcPr>
          <w:p w:rsidR="00E44EF3" w:rsidRDefault="00E44EF3" w:rsidP="00954446">
            <w:r>
              <w:t>1</w:t>
            </w:r>
            <w:r w:rsidR="00954446">
              <w:t>2</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 xml:space="preserve">Next Year’s </w:t>
            </w:r>
            <w:proofErr w:type="spellStart"/>
            <w:r>
              <w:rPr>
                <w:rFonts w:ascii="Calibri" w:hAnsi="Calibri"/>
                <w:color w:val="000000"/>
                <w:sz w:val="22"/>
                <w:szCs w:val="22"/>
              </w:rPr>
              <w:t>Eval</w:t>
            </w:r>
            <w:proofErr w:type="spellEnd"/>
            <w:r>
              <w:rPr>
                <w:rFonts w:ascii="Calibri" w:hAnsi="Calibri"/>
                <w:color w:val="000000"/>
                <w:sz w:val="22"/>
                <w:szCs w:val="22"/>
              </w:rPr>
              <w:t xml:space="preserve"> area of Focus </w:t>
            </w:r>
          </w:p>
        </w:tc>
        <w:tc>
          <w:tcPr>
            <w:tcW w:w="1530" w:type="dxa"/>
          </w:tcPr>
          <w:p w:rsidR="00E44EF3" w:rsidRDefault="00E44EF3" w:rsidP="003227A8"/>
        </w:tc>
        <w:tc>
          <w:tcPr>
            <w:tcW w:w="1080" w:type="dxa"/>
          </w:tcPr>
          <w:p w:rsidR="00E44EF3" w:rsidRDefault="00E44EF3" w:rsidP="003227A8"/>
        </w:tc>
        <w:tc>
          <w:tcPr>
            <w:tcW w:w="4590" w:type="dxa"/>
          </w:tcPr>
          <w:p w:rsidR="00E44EF3" w:rsidRDefault="00E44EF3" w:rsidP="003227A8">
            <w:r>
              <w:t xml:space="preserve">If Next Year’s </w:t>
            </w:r>
            <w:proofErr w:type="spellStart"/>
            <w:r>
              <w:t>Eval</w:t>
            </w:r>
            <w:proofErr w:type="spellEnd"/>
            <w:r>
              <w:t xml:space="preserve"> Type = F</w:t>
            </w:r>
          </w:p>
        </w:tc>
      </w:tr>
      <w:tr w:rsidR="00E44EF3" w:rsidTr="00E44EF3">
        <w:tc>
          <w:tcPr>
            <w:tcW w:w="558" w:type="dxa"/>
          </w:tcPr>
          <w:p w:rsidR="00E44EF3" w:rsidRDefault="00E44EF3" w:rsidP="00954446">
            <w:r>
              <w:t>1</w:t>
            </w:r>
            <w:r w:rsidR="00954446">
              <w:t>3</w:t>
            </w:r>
          </w:p>
        </w:tc>
        <w:tc>
          <w:tcPr>
            <w:tcW w:w="2160" w:type="dxa"/>
            <w:vAlign w:val="bottom"/>
          </w:tcPr>
          <w:p w:rsidR="00E44EF3" w:rsidRPr="0017531C" w:rsidRDefault="00B47957" w:rsidP="003227A8">
            <w:pPr>
              <w:rPr>
                <w:rFonts w:ascii="Calibri" w:hAnsi="Calibri"/>
                <w:color w:val="000000"/>
                <w:sz w:val="22"/>
                <w:szCs w:val="22"/>
              </w:rPr>
            </w:pPr>
            <w:r>
              <w:rPr>
                <w:rFonts w:ascii="Calibri" w:hAnsi="Calibri"/>
                <w:color w:val="000000"/>
                <w:sz w:val="22"/>
                <w:szCs w:val="22"/>
              </w:rPr>
              <w:t>(left blank)</w:t>
            </w:r>
          </w:p>
        </w:tc>
        <w:tc>
          <w:tcPr>
            <w:tcW w:w="1530" w:type="dxa"/>
          </w:tcPr>
          <w:p w:rsidR="00E44EF3" w:rsidRDefault="00E44EF3" w:rsidP="006A1887"/>
        </w:tc>
        <w:tc>
          <w:tcPr>
            <w:tcW w:w="1080" w:type="dxa"/>
          </w:tcPr>
          <w:p w:rsidR="00E44EF3" w:rsidRDefault="00E44EF3" w:rsidP="006A1887"/>
        </w:tc>
        <w:tc>
          <w:tcPr>
            <w:tcW w:w="4590" w:type="dxa"/>
          </w:tcPr>
          <w:p w:rsidR="00E44EF3" w:rsidRDefault="00B47957" w:rsidP="00B16C94">
            <w:r>
              <w:t>(This was originally the current eVal field “Submitted”; but realizing this field will  need to be updated to reflect the new workflow defined in BRD 8, it has been removed from row and is included  below with the other evaluation report lifecycle audit fields)</w:t>
            </w:r>
          </w:p>
        </w:tc>
      </w:tr>
      <w:tr w:rsidR="00E44EF3" w:rsidTr="00E44EF3">
        <w:tc>
          <w:tcPr>
            <w:tcW w:w="558" w:type="dxa"/>
          </w:tcPr>
          <w:p w:rsidR="00E44EF3" w:rsidRDefault="00E44EF3" w:rsidP="00954446">
            <w:r>
              <w:t>1</w:t>
            </w:r>
            <w:r w:rsidR="00954446">
              <w:t>4</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Criteria</w:t>
            </w:r>
            <w:r>
              <w:rPr>
                <w:rFonts w:ascii="Calibri" w:hAnsi="Calibri"/>
                <w:color w:val="000000"/>
                <w:sz w:val="22"/>
                <w:szCs w:val="22"/>
              </w:rPr>
              <w:t xml:space="preserve"> Summative Score</w:t>
            </w:r>
          </w:p>
        </w:tc>
        <w:tc>
          <w:tcPr>
            <w:tcW w:w="1530" w:type="dxa"/>
          </w:tcPr>
          <w:p w:rsidR="00E44EF3" w:rsidRDefault="00E44EF3" w:rsidP="006A1887">
            <w:r>
              <w:t>24</w:t>
            </w:r>
          </w:p>
        </w:tc>
        <w:tc>
          <w:tcPr>
            <w:tcW w:w="1080" w:type="dxa"/>
          </w:tcPr>
          <w:p w:rsidR="00E44EF3" w:rsidRDefault="00E44EF3" w:rsidP="006A1887">
            <w:r>
              <w:t>Integer</w:t>
            </w:r>
          </w:p>
        </w:tc>
        <w:tc>
          <w:tcPr>
            <w:tcW w:w="4590" w:type="dxa"/>
          </w:tcPr>
          <w:p w:rsidR="00E44EF3" w:rsidRDefault="00E44EF3" w:rsidP="006A1887">
            <w:r>
              <w:t>In  the current canned eVal  report,  this value is shown as “</w:t>
            </w:r>
            <w:r w:rsidRPr="00616A68">
              <w:t>PRO (24/32)</w:t>
            </w:r>
            <w:r>
              <w:t xml:space="preserve">”; however, the only value needed  in this file is the numerator “24”  </w:t>
            </w:r>
          </w:p>
        </w:tc>
      </w:tr>
      <w:tr w:rsidR="00E44EF3" w:rsidTr="00E44EF3">
        <w:tc>
          <w:tcPr>
            <w:tcW w:w="558" w:type="dxa"/>
          </w:tcPr>
          <w:p w:rsidR="00E44EF3" w:rsidRDefault="00E44EF3" w:rsidP="00954446">
            <w:r>
              <w:t>1</w:t>
            </w:r>
            <w:r w:rsidR="00954446">
              <w:t>5</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 xml:space="preserve">Student </w:t>
            </w:r>
            <w:r w:rsidRPr="0017531C">
              <w:rPr>
                <w:rFonts w:ascii="Calibri" w:hAnsi="Calibri"/>
                <w:color w:val="000000"/>
                <w:sz w:val="22"/>
                <w:szCs w:val="22"/>
              </w:rPr>
              <w:t>Growth</w:t>
            </w:r>
            <w:r>
              <w:rPr>
                <w:rFonts w:ascii="Calibri" w:hAnsi="Calibri"/>
                <w:color w:val="000000"/>
                <w:sz w:val="22"/>
                <w:szCs w:val="22"/>
              </w:rPr>
              <w:t xml:space="preserve"> Impact Rating</w:t>
            </w:r>
          </w:p>
        </w:tc>
        <w:tc>
          <w:tcPr>
            <w:tcW w:w="1530" w:type="dxa"/>
          </w:tcPr>
          <w:p w:rsidR="00E44EF3" w:rsidRDefault="00E44EF3" w:rsidP="006A1887">
            <w:r>
              <w:t>15</w:t>
            </w:r>
          </w:p>
        </w:tc>
        <w:tc>
          <w:tcPr>
            <w:tcW w:w="1080" w:type="dxa"/>
          </w:tcPr>
          <w:p w:rsidR="00E44EF3" w:rsidRDefault="00E44EF3" w:rsidP="006A1887">
            <w:r>
              <w:t>Integer</w:t>
            </w:r>
          </w:p>
        </w:tc>
        <w:tc>
          <w:tcPr>
            <w:tcW w:w="4590" w:type="dxa"/>
          </w:tcPr>
          <w:p w:rsidR="00E44EF3" w:rsidRDefault="00E44EF3" w:rsidP="00E963EC">
            <w:r>
              <w:t>In  the current canned eVal  report,  this value is shown as “</w:t>
            </w:r>
            <w:r w:rsidRPr="00E963EC">
              <w:t>HIGH (15/12)</w:t>
            </w:r>
            <w:r>
              <w:t xml:space="preserve">”; however, the only value needed  in this file is the numerator “15” </w:t>
            </w:r>
          </w:p>
        </w:tc>
      </w:tr>
      <w:tr w:rsidR="00E44EF3" w:rsidTr="00E44EF3">
        <w:tc>
          <w:tcPr>
            <w:tcW w:w="558" w:type="dxa"/>
          </w:tcPr>
          <w:p w:rsidR="00E44EF3" w:rsidRDefault="00E44EF3" w:rsidP="00954446">
            <w:r>
              <w:t>1</w:t>
            </w:r>
            <w:r w:rsidR="00954446">
              <w:t>6</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Final</w:t>
            </w:r>
            <w:r>
              <w:rPr>
                <w:rFonts w:ascii="Calibri" w:hAnsi="Calibri"/>
                <w:color w:val="000000"/>
                <w:sz w:val="22"/>
                <w:szCs w:val="22"/>
              </w:rPr>
              <w:t xml:space="preserve"> Score</w:t>
            </w:r>
          </w:p>
        </w:tc>
        <w:tc>
          <w:tcPr>
            <w:tcW w:w="1530" w:type="dxa"/>
          </w:tcPr>
          <w:p w:rsidR="00E44EF3" w:rsidRDefault="00E44EF3" w:rsidP="006A1887">
            <w:r>
              <w:t>1, 2, 3 or 4</w:t>
            </w:r>
          </w:p>
        </w:tc>
        <w:tc>
          <w:tcPr>
            <w:tcW w:w="1080" w:type="dxa"/>
          </w:tcPr>
          <w:p w:rsidR="00E44EF3" w:rsidRDefault="00E44EF3" w:rsidP="006A1887">
            <w:r>
              <w:t>Integer</w:t>
            </w:r>
          </w:p>
        </w:tc>
        <w:tc>
          <w:tcPr>
            <w:tcW w:w="4590" w:type="dxa"/>
          </w:tcPr>
          <w:p w:rsidR="00E44EF3" w:rsidRDefault="00E44EF3" w:rsidP="009102C5">
            <w:r>
              <w:t>In the current canned eVal  report, this value is shown as “</w:t>
            </w:r>
            <w:r w:rsidRPr="009102C5">
              <w:t>PRO</w:t>
            </w:r>
            <w:r>
              <w:t xml:space="preserve">”; however, the corresponding numeric value is preferred,  i.e. “3” instead of “PRO” </w:t>
            </w:r>
          </w:p>
        </w:tc>
      </w:tr>
      <w:tr w:rsidR="00AA5547" w:rsidTr="00E44EF3">
        <w:tc>
          <w:tcPr>
            <w:tcW w:w="558" w:type="dxa"/>
          </w:tcPr>
          <w:p w:rsidR="00AA5547" w:rsidRDefault="00954446" w:rsidP="006A1887">
            <w:r>
              <w:t>17</w:t>
            </w:r>
          </w:p>
        </w:tc>
        <w:tc>
          <w:tcPr>
            <w:tcW w:w="2160" w:type="dxa"/>
            <w:vAlign w:val="bottom"/>
          </w:tcPr>
          <w:p w:rsidR="00AA5547" w:rsidRPr="0017531C" w:rsidRDefault="00AA5547" w:rsidP="003227A8">
            <w:pPr>
              <w:rPr>
                <w:rFonts w:ascii="Calibri" w:hAnsi="Calibri"/>
                <w:color w:val="000000"/>
                <w:sz w:val="22"/>
                <w:szCs w:val="22"/>
              </w:rPr>
            </w:pPr>
            <w:r>
              <w:rPr>
                <w:rFonts w:ascii="Calibri" w:hAnsi="Calibri"/>
                <w:color w:val="000000"/>
                <w:sz w:val="22"/>
                <w:szCs w:val="22"/>
              </w:rPr>
              <w:t>Final Rank</w:t>
            </w:r>
          </w:p>
        </w:tc>
        <w:tc>
          <w:tcPr>
            <w:tcW w:w="1530" w:type="dxa"/>
          </w:tcPr>
          <w:p w:rsidR="00AA5547" w:rsidRDefault="00AA5547" w:rsidP="005D4CEA">
            <w:r>
              <w:t>“</w:t>
            </w:r>
            <w:proofErr w:type="spellStart"/>
            <w:r>
              <w:t>Unsat</w:t>
            </w:r>
            <w:proofErr w:type="spellEnd"/>
            <w:r>
              <w:t>”, “</w:t>
            </w:r>
            <w:r w:rsidR="005D4CEA">
              <w:t>B</w:t>
            </w:r>
            <w:r>
              <w:t xml:space="preserve">asic”, “Pro”, </w:t>
            </w:r>
            <w:proofErr w:type="spellStart"/>
            <w:r>
              <w:t>Dis</w:t>
            </w:r>
            <w:proofErr w:type="spellEnd"/>
            <w:r>
              <w:t>”</w:t>
            </w:r>
          </w:p>
        </w:tc>
        <w:tc>
          <w:tcPr>
            <w:tcW w:w="1080" w:type="dxa"/>
          </w:tcPr>
          <w:p w:rsidR="00AA5547" w:rsidRDefault="00AA5547" w:rsidP="006A1887"/>
        </w:tc>
        <w:tc>
          <w:tcPr>
            <w:tcW w:w="4590" w:type="dxa"/>
          </w:tcPr>
          <w:p w:rsidR="00AA5547" w:rsidRDefault="00AA5547" w:rsidP="009102C5"/>
        </w:tc>
      </w:tr>
      <w:tr w:rsidR="00E44EF3" w:rsidTr="00E22DF0">
        <w:trPr>
          <w:trHeight w:val="296"/>
        </w:trPr>
        <w:tc>
          <w:tcPr>
            <w:tcW w:w="558" w:type="dxa"/>
          </w:tcPr>
          <w:p w:rsidR="00E44EF3" w:rsidRDefault="00E44EF3" w:rsidP="00954446">
            <w:r>
              <w:t>1</w:t>
            </w:r>
            <w:r w:rsidR="00954446">
              <w:t>8</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C1</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Pr="00A4128C" w:rsidRDefault="00E44EF3" w:rsidP="003227A8">
            <w:r w:rsidRPr="00A4128C">
              <w:t>In the current canned eVal  report</w:t>
            </w:r>
          </w:p>
        </w:tc>
      </w:tr>
      <w:tr w:rsidR="00E44EF3" w:rsidTr="00E44EF3">
        <w:tc>
          <w:tcPr>
            <w:tcW w:w="558" w:type="dxa"/>
          </w:tcPr>
          <w:p w:rsidR="00E44EF3" w:rsidRDefault="00E44EF3" w:rsidP="00954446">
            <w:r>
              <w:t>1</w:t>
            </w:r>
            <w:r w:rsidR="00954446">
              <w:t>9</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C2</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Pr="00A4128C" w:rsidRDefault="00E44EF3" w:rsidP="003227A8">
            <w:r>
              <w:t>Same as Comments for “Final  Score”  above</w:t>
            </w:r>
          </w:p>
        </w:tc>
      </w:tr>
      <w:tr w:rsidR="00E44EF3" w:rsidTr="00E44EF3">
        <w:tc>
          <w:tcPr>
            <w:tcW w:w="558" w:type="dxa"/>
          </w:tcPr>
          <w:p w:rsidR="00E44EF3" w:rsidRDefault="00954446" w:rsidP="006A1887">
            <w:r>
              <w:t>20</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C3</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Default="00E44EF3">
            <w:r w:rsidRPr="006D52BF">
              <w:t>Same as Comments for “Final  Score”  above</w:t>
            </w:r>
          </w:p>
        </w:tc>
      </w:tr>
      <w:tr w:rsidR="00E44EF3" w:rsidTr="00E44EF3">
        <w:tc>
          <w:tcPr>
            <w:tcW w:w="558" w:type="dxa"/>
          </w:tcPr>
          <w:p w:rsidR="00E44EF3" w:rsidRDefault="00E44EF3" w:rsidP="006A1887">
            <w:r>
              <w:t>19</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C4</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Default="00E44EF3">
            <w:r w:rsidRPr="006D52BF">
              <w:t>Same as Comments for “Final  Score”  above</w:t>
            </w:r>
          </w:p>
        </w:tc>
      </w:tr>
      <w:tr w:rsidR="00E44EF3" w:rsidTr="00E44EF3">
        <w:tc>
          <w:tcPr>
            <w:tcW w:w="558" w:type="dxa"/>
          </w:tcPr>
          <w:p w:rsidR="00E44EF3" w:rsidRDefault="00E44EF3" w:rsidP="006A1887">
            <w:r>
              <w:t>20</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C5</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Default="00E44EF3">
            <w:r w:rsidRPr="006D52BF">
              <w:t>Same as Comments for “Final  Score”  above</w:t>
            </w:r>
          </w:p>
        </w:tc>
      </w:tr>
      <w:tr w:rsidR="00E44EF3" w:rsidTr="00E44EF3">
        <w:tc>
          <w:tcPr>
            <w:tcW w:w="558" w:type="dxa"/>
          </w:tcPr>
          <w:p w:rsidR="00E44EF3" w:rsidRDefault="00E44EF3" w:rsidP="006A1887">
            <w:r>
              <w:t>21</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C6</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Default="00E44EF3">
            <w:r w:rsidRPr="006D52BF">
              <w:t>Same as Comments for “Final  Score”  above</w:t>
            </w:r>
          </w:p>
        </w:tc>
      </w:tr>
      <w:tr w:rsidR="00E44EF3" w:rsidTr="00E44EF3">
        <w:tc>
          <w:tcPr>
            <w:tcW w:w="558" w:type="dxa"/>
          </w:tcPr>
          <w:p w:rsidR="00E44EF3" w:rsidRDefault="00E44EF3" w:rsidP="006A1887">
            <w:r>
              <w:t>22</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C7</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Default="00E44EF3">
            <w:r w:rsidRPr="006D52BF">
              <w:t>Same as Comments for “Final  Score”  above</w:t>
            </w:r>
          </w:p>
        </w:tc>
      </w:tr>
      <w:tr w:rsidR="00E44EF3" w:rsidTr="00E44EF3">
        <w:tc>
          <w:tcPr>
            <w:tcW w:w="558" w:type="dxa"/>
          </w:tcPr>
          <w:p w:rsidR="00E44EF3" w:rsidRDefault="00E44EF3" w:rsidP="006A1887">
            <w:r>
              <w:t>23</w:t>
            </w:r>
          </w:p>
        </w:tc>
        <w:tc>
          <w:tcPr>
            <w:tcW w:w="2160" w:type="dxa"/>
            <w:vAlign w:val="bottom"/>
          </w:tcPr>
          <w:p w:rsidR="00E44EF3" w:rsidRPr="0017531C" w:rsidRDefault="00E44EF3" w:rsidP="003227A8">
            <w:pPr>
              <w:rPr>
                <w:rFonts w:ascii="Calibri" w:hAnsi="Calibri"/>
                <w:color w:val="000000"/>
                <w:sz w:val="22"/>
                <w:szCs w:val="22"/>
              </w:rPr>
            </w:pPr>
            <w:r w:rsidRPr="0017531C">
              <w:rPr>
                <w:rFonts w:ascii="Calibri" w:hAnsi="Calibri"/>
                <w:color w:val="000000"/>
                <w:sz w:val="22"/>
                <w:szCs w:val="22"/>
              </w:rPr>
              <w:t>C8</w:t>
            </w:r>
          </w:p>
        </w:tc>
        <w:tc>
          <w:tcPr>
            <w:tcW w:w="1530" w:type="dxa"/>
          </w:tcPr>
          <w:p w:rsidR="00E44EF3" w:rsidRDefault="00E44EF3" w:rsidP="003227A8">
            <w:r>
              <w:t>1, 2, 3 or 4</w:t>
            </w:r>
          </w:p>
        </w:tc>
        <w:tc>
          <w:tcPr>
            <w:tcW w:w="1080" w:type="dxa"/>
          </w:tcPr>
          <w:p w:rsidR="00E44EF3" w:rsidRDefault="00E44EF3" w:rsidP="003227A8">
            <w:r>
              <w:t>Integer</w:t>
            </w:r>
          </w:p>
        </w:tc>
        <w:tc>
          <w:tcPr>
            <w:tcW w:w="4590" w:type="dxa"/>
          </w:tcPr>
          <w:p w:rsidR="00E44EF3" w:rsidRDefault="00E44EF3">
            <w:r w:rsidRPr="006D52BF">
              <w:t>Same as Comments for “Final  Score”  above</w:t>
            </w:r>
          </w:p>
        </w:tc>
      </w:tr>
      <w:tr w:rsidR="00E44EF3" w:rsidTr="00E44EF3">
        <w:tc>
          <w:tcPr>
            <w:tcW w:w="558" w:type="dxa"/>
          </w:tcPr>
          <w:p w:rsidR="00E44EF3" w:rsidRDefault="00E44EF3" w:rsidP="006A1887">
            <w:r>
              <w:t>24</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 xml:space="preserve"># of </w:t>
            </w:r>
            <w:r w:rsidRPr="0017531C">
              <w:rPr>
                <w:rFonts w:ascii="Calibri" w:hAnsi="Calibri"/>
                <w:color w:val="000000"/>
                <w:sz w:val="22"/>
                <w:szCs w:val="22"/>
              </w:rPr>
              <w:t>Observ</w:t>
            </w:r>
            <w:r>
              <w:rPr>
                <w:rFonts w:ascii="Calibri" w:hAnsi="Calibri"/>
                <w:color w:val="000000"/>
                <w:sz w:val="22"/>
                <w:szCs w:val="22"/>
              </w:rPr>
              <w:t>ations</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A1887"/>
        </w:tc>
      </w:tr>
      <w:tr w:rsidR="00E44EF3" w:rsidTr="00E44EF3">
        <w:tc>
          <w:tcPr>
            <w:tcW w:w="558" w:type="dxa"/>
          </w:tcPr>
          <w:p w:rsidR="00E44EF3" w:rsidRDefault="00E44EF3" w:rsidP="006A1887">
            <w:r>
              <w:t>26</w:t>
            </w:r>
          </w:p>
        </w:tc>
        <w:tc>
          <w:tcPr>
            <w:tcW w:w="2160" w:type="dxa"/>
            <w:vAlign w:val="bottom"/>
          </w:tcPr>
          <w:p w:rsidR="00E44EF3" w:rsidRPr="0017531C" w:rsidRDefault="00E44EF3" w:rsidP="003227A8">
            <w:pPr>
              <w:rPr>
                <w:rFonts w:ascii="Calibri" w:hAnsi="Calibri"/>
                <w:color w:val="000000"/>
                <w:sz w:val="22"/>
                <w:szCs w:val="22"/>
              </w:rPr>
            </w:pPr>
            <w:r>
              <w:rPr>
                <w:rFonts w:ascii="Calibri" w:hAnsi="Calibri"/>
                <w:color w:val="000000"/>
                <w:sz w:val="22"/>
                <w:szCs w:val="22"/>
              </w:rPr>
              <w:t># of Artifacts loaded by teacher</w:t>
            </w:r>
          </w:p>
        </w:tc>
        <w:tc>
          <w:tcPr>
            <w:tcW w:w="1530" w:type="dxa"/>
          </w:tcPr>
          <w:p w:rsidR="00E44EF3" w:rsidRDefault="00E44EF3" w:rsidP="006A1887"/>
        </w:tc>
        <w:tc>
          <w:tcPr>
            <w:tcW w:w="1080" w:type="dxa"/>
          </w:tcPr>
          <w:p w:rsidR="00E44EF3" w:rsidRDefault="00E44EF3" w:rsidP="006A1887"/>
        </w:tc>
        <w:tc>
          <w:tcPr>
            <w:tcW w:w="4590" w:type="dxa"/>
          </w:tcPr>
          <w:p w:rsidR="00E44EF3" w:rsidRDefault="00E44EF3" w:rsidP="006A1887"/>
        </w:tc>
      </w:tr>
      <w:tr w:rsidR="00E44EF3" w:rsidTr="00E44EF3">
        <w:tc>
          <w:tcPr>
            <w:tcW w:w="558" w:type="dxa"/>
          </w:tcPr>
          <w:p w:rsidR="00E44EF3" w:rsidRDefault="00E44EF3" w:rsidP="006A1887">
            <w:r>
              <w:t>27</w:t>
            </w:r>
          </w:p>
        </w:tc>
        <w:tc>
          <w:tcPr>
            <w:tcW w:w="2160" w:type="dxa"/>
          </w:tcPr>
          <w:p w:rsidR="00E44EF3" w:rsidRDefault="009C5360" w:rsidP="006A1887">
            <w:r>
              <w:t>Audit fields generated by BRD 8</w:t>
            </w:r>
          </w:p>
        </w:tc>
        <w:tc>
          <w:tcPr>
            <w:tcW w:w="1530" w:type="dxa"/>
          </w:tcPr>
          <w:p w:rsidR="00E44EF3" w:rsidRDefault="009C5360" w:rsidP="006A1887">
            <w:r>
              <w:t>Various</w:t>
            </w:r>
          </w:p>
        </w:tc>
        <w:tc>
          <w:tcPr>
            <w:tcW w:w="1080" w:type="dxa"/>
          </w:tcPr>
          <w:p w:rsidR="00E44EF3" w:rsidRDefault="009C5360" w:rsidP="006A1887">
            <w:r>
              <w:t>Various</w:t>
            </w:r>
          </w:p>
        </w:tc>
        <w:tc>
          <w:tcPr>
            <w:tcW w:w="4590" w:type="dxa"/>
          </w:tcPr>
          <w:p w:rsidR="00E44EF3" w:rsidRDefault="009C5360" w:rsidP="009C5360">
            <w:r>
              <w:t>These fields will be further  defined during design of BRD 8 for  a new workflow for creating the final evaluation report.  For each of the lifecycle phases, the audit fields will capture the date the report was moved  into that phase.  Additionally, audit fields will capture the date that the evaluator used any exceptions (i.e., submit without teacher acknowledgement, score without student growth scores or drop to paper process) and a comment field for each</w:t>
            </w:r>
          </w:p>
        </w:tc>
      </w:tr>
      <w:tr w:rsidR="00E44EF3" w:rsidTr="00E44EF3">
        <w:tc>
          <w:tcPr>
            <w:tcW w:w="558" w:type="dxa"/>
          </w:tcPr>
          <w:p w:rsidR="00E44EF3" w:rsidRDefault="007A47A2" w:rsidP="006A1887">
            <w:r>
              <w:t>28</w:t>
            </w:r>
          </w:p>
        </w:tc>
        <w:tc>
          <w:tcPr>
            <w:tcW w:w="2160" w:type="dxa"/>
          </w:tcPr>
          <w:p w:rsidR="00E44EF3" w:rsidRDefault="00E44EF3" w:rsidP="006A1887">
            <w:r>
              <w:t>Date Teacher Acknowledged</w:t>
            </w:r>
          </w:p>
        </w:tc>
        <w:tc>
          <w:tcPr>
            <w:tcW w:w="1530" w:type="dxa"/>
          </w:tcPr>
          <w:p w:rsidR="00E44EF3" w:rsidRDefault="00E44EF3" w:rsidP="006A1887">
            <w:r>
              <w:t>Date/time</w:t>
            </w:r>
          </w:p>
        </w:tc>
        <w:tc>
          <w:tcPr>
            <w:tcW w:w="1080" w:type="dxa"/>
          </w:tcPr>
          <w:p w:rsidR="00E44EF3" w:rsidRDefault="00E44EF3" w:rsidP="006A1887"/>
        </w:tc>
        <w:tc>
          <w:tcPr>
            <w:tcW w:w="4590" w:type="dxa"/>
          </w:tcPr>
          <w:p w:rsidR="00E44EF3" w:rsidRDefault="00E44EF3" w:rsidP="006A1887">
            <w:r>
              <w:t>The date the teacher electronically acknowledged receipt of report (see BRD 8)</w:t>
            </w:r>
            <w:r w:rsidR="009C5360">
              <w:t>.  This is included in the list of audit fields above, but is also re-stated here as the data  in this field needs to match the date that appears on the final PDF file as the date that the teacher acknowledged the report.</w:t>
            </w:r>
          </w:p>
        </w:tc>
      </w:tr>
      <w:tr w:rsidR="00E44EF3" w:rsidTr="00E44EF3">
        <w:tc>
          <w:tcPr>
            <w:tcW w:w="558" w:type="dxa"/>
          </w:tcPr>
          <w:p w:rsidR="00E44EF3" w:rsidRDefault="007A47A2" w:rsidP="006A1887">
            <w:r>
              <w:t>29</w:t>
            </w:r>
          </w:p>
        </w:tc>
        <w:tc>
          <w:tcPr>
            <w:tcW w:w="2160" w:type="dxa"/>
          </w:tcPr>
          <w:p w:rsidR="00E44EF3" w:rsidRDefault="00E44EF3" w:rsidP="006A1887">
            <w:r>
              <w:t>Date Submitted</w:t>
            </w:r>
          </w:p>
        </w:tc>
        <w:tc>
          <w:tcPr>
            <w:tcW w:w="1530" w:type="dxa"/>
          </w:tcPr>
          <w:p w:rsidR="00E44EF3" w:rsidRDefault="00E44EF3" w:rsidP="006A1887">
            <w:r>
              <w:t>Date/time</w:t>
            </w:r>
          </w:p>
        </w:tc>
        <w:tc>
          <w:tcPr>
            <w:tcW w:w="1080" w:type="dxa"/>
          </w:tcPr>
          <w:p w:rsidR="00E44EF3" w:rsidRDefault="00E44EF3" w:rsidP="006A1887"/>
        </w:tc>
        <w:tc>
          <w:tcPr>
            <w:tcW w:w="4590" w:type="dxa"/>
          </w:tcPr>
          <w:p w:rsidR="00E44EF3" w:rsidRDefault="009C5360" w:rsidP="009C5360">
            <w:r>
              <w:t>The date the evaluator electronically submitted the report (i.e., flagged it ready for pick-up by the District, see BRD 8).  This is included in the list of audit fields above, but is also re-stated here as the data  in this field needs to match the date that appears on the final PDF file as the date that the evaluator submitted the report.</w:t>
            </w:r>
          </w:p>
        </w:tc>
      </w:tr>
    </w:tbl>
    <w:p w:rsidR="00880F14" w:rsidRDefault="00880F14" w:rsidP="006A1887"/>
    <w:p w:rsidR="00252872" w:rsidRPr="00E50C90" w:rsidRDefault="00DA081A" w:rsidP="00252872">
      <w:pPr>
        <w:pStyle w:val="Heading1"/>
        <w:numPr>
          <w:ilvl w:val="0"/>
          <w:numId w:val="3"/>
        </w:numPr>
        <w:rPr>
          <w:lang w:val="en-GB"/>
        </w:rPr>
      </w:pPr>
      <w:bookmarkStart w:id="15" w:name="_Toc400973072"/>
      <w:r>
        <w:rPr>
          <w:lang w:val="en-GB"/>
        </w:rPr>
        <w:t>Out-of-Scope</w:t>
      </w:r>
      <w:bookmarkEnd w:id="15"/>
    </w:p>
    <w:p w:rsidR="00B17716" w:rsidRDefault="001A5DC7" w:rsidP="009B2182">
      <w:pPr>
        <w:pStyle w:val="NormalWeb"/>
        <w:rPr>
          <w:rFonts w:ascii="Arial" w:hAnsi="Arial" w:cs="Times New Roman"/>
          <w:sz w:val="20"/>
        </w:rPr>
      </w:pPr>
      <w:r>
        <w:rPr>
          <w:rFonts w:ascii="Arial" w:hAnsi="Arial" w:cs="Times New Roman"/>
          <w:sz w:val="20"/>
        </w:rPr>
        <w:t xml:space="preserve">This requirement relates only to the development that must be done by the State’s eVal team.  </w:t>
      </w:r>
      <w:r w:rsidR="00434C5D" w:rsidRPr="00524173">
        <w:rPr>
          <w:rFonts w:ascii="Arial" w:hAnsi="Arial" w:cs="Times New Roman"/>
          <w:sz w:val="20"/>
        </w:rPr>
        <w:t>See BRD No 10 for activities related to uploading the data file into the District’s SAP system</w:t>
      </w:r>
      <w:r>
        <w:rPr>
          <w:rFonts w:ascii="Arial" w:hAnsi="Arial" w:cs="Times New Roman"/>
          <w:sz w:val="20"/>
        </w:rPr>
        <w:t xml:space="preserve"> which must be accomplished by the District’s technology team.</w:t>
      </w:r>
    </w:p>
    <w:p w:rsidR="00252872" w:rsidRPr="00E50C90" w:rsidRDefault="00BA58D9" w:rsidP="00252872">
      <w:pPr>
        <w:pStyle w:val="Heading1"/>
        <w:numPr>
          <w:ilvl w:val="0"/>
          <w:numId w:val="3"/>
        </w:numPr>
        <w:rPr>
          <w:lang w:val="en-GB"/>
        </w:rPr>
      </w:pPr>
      <w:bookmarkStart w:id="16" w:name="_Toc400973073"/>
      <w:r>
        <w:rPr>
          <w:lang w:val="en-GB"/>
        </w:rPr>
        <w:t xml:space="preserve">Review and </w:t>
      </w:r>
      <w:bookmarkEnd w:id="16"/>
      <w:r w:rsidR="00814BBE">
        <w:rPr>
          <w:lang w:val="en-GB"/>
        </w:rPr>
        <w:t>Approval</w:t>
      </w:r>
    </w:p>
    <w:p w:rsidR="00814BBE" w:rsidRDefault="00814BBE" w:rsidP="00814BB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418"/>
        <w:gridCol w:w="3356"/>
        <w:gridCol w:w="2430"/>
        <w:gridCol w:w="1662"/>
      </w:tblGrid>
      <w:tr w:rsidR="00814BBE" w:rsidTr="00814BBE">
        <w:trPr>
          <w:tblHeader/>
        </w:trPr>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814BBE" w:rsidRDefault="00814BBE">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814BBE" w:rsidRDefault="00814BBE">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814BBE" w:rsidRDefault="00814BBE">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814BBE" w:rsidRDefault="00814BBE">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814BBE" w:rsidRDefault="00814BBE">
            <w:pPr>
              <w:pStyle w:val="TableHeading"/>
              <w:rPr>
                <w:sz w:val="16"/>
                <w:szCs w:val="16"/>
              </w:rPr>
            </w:pPr>
            <w:r>
              <w:rPr>
                <w:sz w:val="16"/>
                <w:szCs w:val="16"/>
              </w:rPr>
              <w:t>Date review/approval received</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11/5/14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11/19/14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11/14/14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11/14/14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11/14/14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11/6/14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11/6/14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11/14/14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11/7/14</w:t>
            </w:r>
          </w:p>
        </w:tc>
      </w:tr>
      <w:tr w:rsidR="00814BBE" w:rsidTr="00814BBE">
        <w:tc>
          <w:tcPr>
            <w:tcW w:w="58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814BBE" w:rsidRDefault="00814BBE">
            <w:pPr>
              <w:pStyle w:val="TableCell"/>
              <w:rPr>
                <w:sz w:val="16"/>
                <w:szCs w:val="16"/>
              </w:rPr>
            </w:pPr>
            <w:r>
              <w:rPr>
                <w:sz w:val="16"/>
                <w:szCs w:val="16"/>
              </w:rPr>
              <w:t>11/7/14</w:t>
            </w:r>
          </w:p>
        </w:tc>
      </w:tr>
    </w:tbl>
    <w:p w:rsidR="00193100" w:rsidRPr="00193100" w:rsidRDefault="00193100" w:rsidP="00814BBE">
      <w:pPr>
        <w:pStyle w:val="Body"/>
        <w:rPr>
          <w:lang w:val="en-GB"/>
        </w:rPr>
      </w:pPr>
    </w:p>
    <w:sectPr w:rsidR="00193100" w:rsidRPr="00193100" w:rsidSect="00101212">
      <w:pgSz w:w="12240" w:h="15840"/>
      <w:pgMar w:top="1440" w:right="1080" w:bottom="1440" w:left="1080" w:header="720" w:footer="720" w:gutter="24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C94" w:rsidRDefault="00B16C94">
      <w:r>
        <w:separator/>
      </w:r>
    </w:p>
  </w:endnote>
  <w:endnote w:type="continuationSeparator" w:id="0">
    <w:p w:rsidR="00B16C94" w:rsidRDefault="00B16C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94" w:rsidRDefault="00B16C94" w:rsidP="00C7288A">
    <w:pPr>
      <w:pStyle w:val="Footer"/>
      <w:tabs>
        <w:tab w:val="clear" w:pos="8640"/>
        <w:tab w:val="right" w:pos="9720"/>
      </w:tabs>
    </w:pPr>
    <w:fldSimple w:instr=" FILENAME   \* MERGEFORMAT ">
      <w:r>
        <w:rPr>
          <w:noProof/>
        </w:rPr>
        <w:t>eVal BRD-No_6_EOY Data File v1.docx</w:t>
      </w:r>
    </w:fldSimple>
    <w:r>
      <w:tab/>
    </w:r>
    <w:r>
      <w:tab/>
      <w:t xml:space="preserve"> Page </w:t>
    </w:r>
    <w:sdt>
      <w:sdtPr>
        <w:rPr>
          <w:noProof/>
        </w:rPr>
        <w:id w:val="1563987487"/>
        <w:docPartObj>
          <w:docPartGallery w:val="Page Numbers (Bottom of Page)"/>
          <w:docPartUnique/>
        </w:docPartObj>
      </w:sdtPr>
      <w:sdtContent>
        <w:fldSimple w:instr=" PAGE   \* MERGEFORMAT ">
          <w:r w:rsidR="007A47A2">
            <w:rPr>
              <w:noProof/>
            </w:rPr>
            <w:t>1</w:t>
          </w:r>
        </w:fldSimple>
        <w:r>
          <w:rPr>
            <w:noProof/>
          </w:rPr>
          <w:t xml:space="preserve"> of </w:t>
        </w:r>
        <w:fldSimple w:instr=" NUMPAGES   \* MERGEFORMAT ">
          <w:r w:rsidR="007A47A2">
            <w:rPr>
              <w:noProof/>
            </w:rPr>
            <w:t>6</w:t>
          </w:r>
        </w:fldSimple>
      </w:sdtContent>
    </w:sdt>
  </w:p>
  <w:p w:rsidR="00B16C94" w:rsidRDefault="00B16C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C94" w:rsidRDefault="00B16C94">
      <w:r>
        <w:separator/>
      </w:r>
    </w:p>
  </w:footnote>
  <w:footnote w:type="continuationSeparator" w:id="0">
    <w:p w:rsidR="00B16C94" w:rsidRDefault="00B16C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94" w:rsidRDefault="00B16C94" w:rsidP="007F02A9">
    <w:pPr>
      <w:pStyle w:val="Header"/>
    </w:pPr>
    <w:r w:rsidRPr="00A7610F">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B16C94" w:rsidRDefault="00B16C94" w:rsidP="007F02A9">
    <w:pPr>
      <w:pStyle w:val="Header"/>
    </w:pPr>
  </w:p>
  <w:p w:rsidR="00B16C94" w:rsidRPr="007F02A9" w:rsidRDefault="00B16C94" w:rsidP="007F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4">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1"/>
  </w:num>
  <w:num w:numId="3">
    <w:abstractNumId w:val="16"/>
  </w:num>
  <w:num w:numId="4">
    <w:abstractNumId w:val="20"/>
  </w:num>
  <w:num w:numId="5">
    <w:abstractNumId w:val="4"/>
  </w:num>
  <w:num w:numId="6">
    <w:abstractNumId w:val="5"/>
  </w:num>
  <w:num w:numId="7">
    <w:abstractNumId w:val="24"/>
  </w:num>
  <w:num w:numId="8">
    <w:abstractNumId w:val="34"/>
  </w:num>
  <w:num w:numId="9">
    <w:abstractNumId w:val="26"/>
  </w:num>
  <w:num w:numId="10">
    <w:abstractNumId w:val="28"/>
  </w:num>
  <w:num w:numId="11">
    <w:abstractNumId w:val="17"/>
  </w:num>
  <w:num w:numId="12">
    <w:abstractNumId w:val="2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9"/>
  </w:num>
  <w:num w:numId="20">
    <w:abstractNumId w:val="3"/>
  </w:num>
  <w:num w:numId="21">
    <w:abstractNumId w:val="11"/>
  </w:num>
  <w:num w:numId="22">
    <w:abstractNumId w:val="36"/>
  </w:num>
  <w:num w:numId="23">
    <w:abstractNumId w:val="1"/>
  </w:num>
  <w:num w:numId="24">
    <w:abstractNumId w:val="8"/>
  </w:num>
  <w:num w:numId="25">
    <w:abstractNumId w:val="32"/>
  </w:num>
  <w:num w:numId="26">
    <w:abstractNumId w:val="9"/>
  </w:num>
  <w:num w:numId="27">
    <w:abstractNumId w:val="30"/>
  </w:num>
  <w:num w:numId="28">
    <w:abstractNumId w:val="33"/>
  </w:num>
  <w:num w:numId="29">
    <w:abstractNumId w:val="14"/>
  </w:num>
  <w:num w:numId="30">
    <w:abstractNumId w:val="13"/>
  </w:num>
  <w:num w:numId="31">
    <w:abstractNumId w:val="7"/>
  </w:num>
  <w:num w:numId="32">
    <w:abstractNumId w:val="27"/>
  </w:num>
  <w:num w:numId="33">
    <w:abstractNumId w:val="22"/>
  </w:num>
  <w:num w:numId="34">
    <w:abstractNumId w:val="18"/>
  </w:num>
  <w:num w:numId="35">
    <w:abstractNumId w:val="10"/>
  </w:num>
  <w:num w:numId="36">
    <w:abstractNumId w:val="19"/>
  </w:num>
  <w:num w:numId="37">
    <w:abstractNumId w:val="15"/>
  </w:num>
  <w:num w:numId="38">
    <w:abstractNumId w:val="12"/>
  </w:num>
  <w:num w:numId="39">
    <w:abstractNumId w:val="31"/>
  </w:num>
  <w:num w:numId="40">
    <w:abstractNumId w:val="25"/>
  </w:num>
  <w:num w:numId="41">
    <w:abstractNumId w:val="2"/>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43009"/>
  </w:hdrShapeDefaults>
  <w:footnotePr>
    <w:footnote w:id="-1"/>
    <w:footnote w:id="0"/>
  </w:footnotePr>
  <w:endnotePr>
    <w:endnote w:id="-1"/>
    <w:endnote w:id="0"/>
  </w:endnotePr>
  <w:compat/>
  <w:rsids>
    <w:rsidRoot w:val="00B64F6C"/>
    <w:rsid w:val="0000608F"/>
    <w:rsid w:val="000137E0"/>
    <w:rsid w:val="000142B6"/>
    <w:rsid w:val="00014C26"/>
    <w:rsid w:val="000162BF"/>
    <w:rsid w:val="0001737E"/>
    <w:rsid w:val="00021133"/>
    <w:rsid w:val="00032E52"/>
    <w:rsid w:val="000345E8"/>
    <w:rsid w:val="00040B3D"/>
    <w:rsid w:val="00040DD8"/>
    <w:rsid w:val="000476CD"/>
    <w:rsid w:val="000539FE"/>
    <w:rsid w:val="0005790D"/>
    <w:rsid w:val="00060766"/>
    <w:rsid w:val="000646A1"/>
    <w:rsid w:val="00067BBB"/>
    <w:rsid w:val="00077144"/>
    <w:rsid w:val="000840A7"/>
    <w:rsid w:val="0009418E"/>
    <w:rsid w:val="00095FF0"/>
    <w:rsid w:val="00096936"/>
    <w:rsid w:val="00097007"/>
    <w:rsid w:val="000A1E9E"/>
    <w:rsid w:val="000A4AB9"/>
    <w:rsid w:val="000B524B"/>
    <w:rsid w:val="000D35C5"/>
    <w:rsid w:val="000D6F38"/>
    <w:rsid w:val="000E245D"/>
    <w:rsid w:val="000E57A9"/>
    <w:rsid w:val="000E5904"/>
    <w:rsid w:val="001003ED"/>
    <w:rsid w:val="00101212"/>
    <w:rsid w:val="00106517"/>
    <w:rsid w:val="001072C9"/>
    <w:rsid w:val="001077F5"/>
    <w:rsid w:val="0011022F"/>
    <w:rsid w:val="00116C29"/>
    <w:rsid w:val="00117FBD"/>
    <w:rsid w:val="00125811"/>
    <w:rsid w:val="00130003"/>
    <w:rsid w:val="001345AE"/>
    <w:rsid w:val="00141919"/>
    <w:rsid w:val="00144DD7"/>
    <w:rsid w:val="00154185"/>
    <w:rsid w:val="00154321"/>
    <w:rsid w:val="00161707"/>
    <w:rsid w:val="00171ED4"/>
    <w:rsid w:val="001749F7"/>
    <w:rsid w:val="0017531C"/>
    <w:rsid w:val="00184714"/>
    <w:rsid w:val="00186C86"/>
    <w:rsid w:val="00190A5C"/>
    <w:rsid w:val="00193100"/>
    <w:rsid w:val="001A2D48"/>
    <w:rsid w:val="001A5DC7"/>
    <w:rsid w:val="001B63C1"/>
    <w:rsid w:val="001B71C6"/>
    <w:rsid w:val="001B795F"/>
    <w:rsid w:val="001C3815"/>
    <w:rsid w:val="001D202B"/>
    <w:rsid w:val="001D3EB5"/>
    <w:rsid w:val="001D5B8F"/>
    <w:rsid w:val="001D76D1"/>
    <w:rsid w:val="001E3D42"/>
    <w:rsid w:val="001E698E"/>
    <w:rsid w:val="001F1BA5"/>
    <w:rsid w:val="001F1DC2"/>
    <w:rsid w:val="00206A62"/>
    <w:rsid w:val="00216038"/>
    <w:rsid w:val="00217600"/>
    <w:rsid w:val="00220A3F"/>
    <w:rsid w:val="00221093"/>
    <w:rsid w:val="00224CBA"/>
    <w:rsid w:val="002317F8"/>
    <w:rsid w:val="002419AA"/>
    <w:rsid w:val="00252872"/>
    <w:rsid w:val="0025362B"/>
    <w:rsid w:val="002539AB"/>
    <w:rsid w:val="0026110A"/>
    <w:rsid w:val="002613C1"/>
    <w:rsid w:val="00263C74"/>
    <w:rsid w:val="00265CA6"/>
    <w:rsid w:val="0027111E"/>
    <w:rsid w:val="00276606"/>
    <w:rsid w:val="00276AF8"/>
    <w:rsid w:val="00281907"/>
    <w:rsid w:val="00281DB8"/>
    <w:rsid w:val="002945F5"/>
    <w:rsid w:val="00294C86"/>
    <w:rsid w:val="00295777"/>
    <w:rsid w:val="00297848"/>
    <w:rsid w:val="002B14D0"/>
    <w:rsid w:val="002B187C"/>
    <w:rsid w:val="002D239C"/>
    <w:rsid w:val="002D6814"/>
    <w:rsid w:val="002D68EA"/>
    <w:rsid w:val="002E0AED"/>
    <w:rsid w:val="002F1DF0"/>
    <w:rsid w:val="002F39EE"/>
    <w:rsid w:val="0030339D"/>
    <w:rsid w:val="00321235"/>
    <w:rsid w:val="003227A8"/>
    <w:rsid w:val="00335D2B"/>
    <w:rsid w:val="003630E6"/>
    <w:rsid w:val="00364444"/>
    <w:rsid w:val="00364DF0"/>
    <w:rsid w:val="0037499E"/>
    <w:rsid w:val="00376D55"/>
    <w:rsid w:val="00377046"/>
    <w:rsid w:val="00377E0E"/>
    <w:rsid w:val="00394702"/>
    <w:rsid w:val="003947A5"/>
    <w:rsid w:val="003A2C69"/>
    <w:rsid w:val="003A3FCA"/>
    <w:rsid w:val="003A511E"/>
    <w:rsid w:val="003A7ACA"/>
    <w:rsid w:val="003A7E6E"/>
    <w:rsid w:val="003B162F"/>
    <w:rsid w:val="003B338E"/>
    <w:rsid w:val="003B3731"/>
    <w:rsid w:val="003C0928"/>
    <w:rsid w:val="003C1B7E"/>
    <w:rsid w:val="003C5A7D"/>
    <w:rsid w:val="003C712F"/>
    <w:rsid w:val="003D3B85"/>
    <w:rsid w:val="003D6588"/>
    <w:rsid w:val="003D699B"/>
    <w:rsid w:val="003F6D9F"/>
    <w:rsid w:val="004067E2"/>
    <w:rsid w:val="0041152F"/>
    <w:rsid w:val="004265AC"/>
    <w:rsid w:val="004319CA"/>
    <w:rsid w:val="00434C5D"/>
    <w:rsid w:val="004434D0"/>
    <w:rsid w:val="00447694"/>
    <w:rsid w:val="00456E06"/>
    <w:rsid w:val="004741F9"/>
    <w:rsid w:val="00477395"/>
    <w:rsid w:val="004776CA"/>
    <w:rsid w:val="00480144"/>
    <w:rsid w:val="004B0110"/>
    <w:rsid w:val="004D6351"/>
    <w:rsid w:val="004D74A6"/>
    <w:rsid w:val="004E12CC"/>
    <w:rsid w:val="004E4BBA"/>
    <w:rsid w:val="004F7E1C"/>
    <w:rsid w:val="00501101"/>
    <w:rsid w:val="00502E43"/>
    <w:rsid w:val="00504479"/>
    <w:rsid w:val="00505E22"/>
    <w:rsid w:val="00524173"/>
    <w:rsid w:val="005241EC"/>
    <w:rsid w:val="00527C0D"/>
    <w:rsid w:val="00534F7F"/>
    <w:rsid w:val="00554686"/>
    <w:rsid w:val="005620E6"/>
    <w:rsid w:val="00563BF6"/>
    <w:rsid w:val="00564EF1"/>
    <w:rsid w:val="00572F2D"/>
    <w:rsid w:val="00580EF9"/>
    <w:rsid w:val="005849C0"/>
    <w:rsid w:val="00590A80"/>
    <w:rsid w:val="00590CC4"/>
    <w:rsid w:val="00597187"/>
    <w:rsid w:val="005A7619"/>
    <w:rsid w:val="005B14C4"/>
    <w:rsid w:val="005B2EDD"/>
    <w:rsid w:val="005B311A"/>
    <w:rsid w:val="005B6805"/>
    <w:rsid w:val="005C32BD"/>
    <w:rsid w:val="005C6559"/>
    <w:rsid w:val="005D262F"/>
    <w:rsid w:val="005D4CEA"/>
    <w:rsid w:val="005E2AF7"/>
    <w:rsid w:val="005E3C1A"/>
    <w:rsid w:val="005E5669"/>
    <w:rsid w:val="005F20B9"/>
    <w:rsid w:val="005F22E3"/>
    <w:rsid w:val="005F6C27"/>
    <w:rsid w:val="005F7B95"/>
    <w:rsid w:val="00610372"/>
    <w:rsid w:val="006131A3"/>
    <w:rsid w:val="00616A68"/>
    <w:rsid w:val="00617994"/>
    <w:rsid w:val="00626E96"/>
    <w:rsid w:val="00635713"/>
    <w:rsid w:val="00652428"/>
    <w:rsid w:val="00670C74"/>
    <w:rsid w:val="00675C57"/>
    <w:rsid w:val="00677FDD"/>
    <w:rsid w:val="006814E5"/>
    <w:rsid w:val="00685614"/>
    <w:rsid w:val="00687779"/>
    <w:rsid w:val="00692A27"/>
    <w:rsid w:val="0069330C"/>
    <w:rsid w:val="00693832"/>
    <w:rsid w:val="006A1887"/>
    <w:rsid w:val="006A4035"/>
    <w:rsid w:val="006A4C93"/>
    <w:rsid w:val="006A6245"/>
    <w:rsid w:val="006B48F8"/>
    <w:rsid w:val="006C4D4D"/>
    <w:rsid w:val="006C68B3"/>
    <w:rsid w:val="006C6D5C"/>
    <w:rsid w:val="006D3B4F"/>
    <w:rsid w:val="006E589B"/>
    <w:rsid w:val="006F0720"/>
    <w:rsid w:val="006F3CE4"/>
    <w:rsid w:val="006F49B3"/>
    <w:rsid w:val="00700BC2"/>
    <w:rsid w:val="007011A3"/>
    <w:rsid w:val="00701D1D"/>
    <w:rsid w:val="00702418"/>
    <w:rsid w:val="0072693A"/>
    <w:rsid w:val="00734521"/>
    <w:rsid w:val="00740A30"/>
    <w:rsid w:val="00740D96"/>
    <w:rsid w:val="00743479"/>
    <w:rsid w:val="00746054"/>
    <w:rsid w:val="00746B5E"/>
    <w:rsid w:val="00754597"/>
    <w:rsid w:val="007561DB"/>
    <w:rsid w:val="007571B2"/>
    <w:rsid w:val="0076083C"/>
    <w:rsid w:val="00763087"/>
    <w:rsid w:val="00763BEA"/>
    <w:rsid w:val="007968D0"/>
    <w:rsid w:val="007A3966"/>
    <w:rsid w:val="007A47A2"/>
    <w:rsid w:val="007B3576"/>
    <w:rsid w:val="007C17E9"/>
    <w:rsid w:val="007C1AD0"/>
    <w:rsid w:val="007C706C"/>
    <w:rsid w:val="007D261C"/>
    <w:rsid w:val="007E1CB7"/>
    <w:rsid w:val="007E28B3"/>
    <w:rsid w:val="007E2CF3"/>
    <w:rsid w:val="007E4961"/>
    <w:rsid w:val="007E702D"/>
    <w:rsid w:val="007F02A9"/>
    <w:rsid w:val="00802412"/>
    <w:rsid w:val="008120B4"/>
    <w:rsid w:val="00812E1B"/>
    <w:rsid w:val="00814BBE"/>
    <w:rsid w:val="008156EC"/>
    <w:rsid w:val="0081699C"/>
    <w:rsid w:val="008174D1"/>
    <w:rsid w:val="008411C8"/>
    <w:rsid w:val="008413A9"/>
    <w:rsid w:val="0085009B"/>
    <w:rsid w:val="00850D34"/>
    <w:rsid w:val="008512B0"/>
    <w:rsid w:val="00867462"/>
    <w:rsid w:val="0087273C"/>
    <w:rsid w:val="00880F14"/>
    <w:rsid w:val="00884058"/>
    <w:rsid w:val="008915EE"/>
    <w:rsid w:val="00892C22"/>
    <w:rsid w:val="008B365E"/>
    <w:rsid w:val="008B48DF"/>
    <w:rsid w:val="008C426D"/>
    <w:rsid w:val="008D4AB7"/>
    <w:rsid w:val="008D75E0"/>
    <w:rsid w:val="008D7694"/>
    <w:rsid w:val="008E001E"/>
    <w:rsid w:val="008E31F6"/>
    <w:rsid w:val="008E7D48"/>
    <w:rsid w:val="008F0839"/>
    <w:rsid w:val="008F7988"/>
    <w:rsid w:val="00902CE3"/>
    <w:rsid w:val="009102C5"/>
    <w:rsid w:val="0091439A"/>
    <w:rsid w:val="00932CB0"/>
    <w:rsid w:val="00954446"/>
    <w:rsid w:val="00956DBE"/>
    <w:rsid w:val="00956E72"/>
    <w:rsid w:val="009647CE"/>
    <w:rsid w:val="009679DA"/>
    <w:rsid w:val="0097074D"/>
    <w:rsid w:val="0097265F"/>
    <w:rsid w:val="00991209"/>
    <w:rsid w:val="009A3743"/>
    <w:rsid w:val="009A3DE8"/>
    <w:rsid w:val="009A48CC"/>
    <w:rsid w:val="009B1919"/>
    <w:rsid w:val="009B2182"/>
    <w:rsid w:val="009B2667"/>
    <w:rsid w:val="009C3DBF"/>
    <w:rsid w:val="009C457F"/>
    <w:rsid w:val="009C5360"/>
    <w:rsid w:val="009D616D"/>
    <w:rsid w:val="009D6A63"/>
    <w:rsid w:val="009E30F0"/>
    <w:rsid w:val="009E7E79"/>
    <w:rsid w:val="009F0334"/>
    <w:rsid w:val="009F0EC6"/>
    <w:rsid w:val="009F208E"/>
    <w:rsid w:val="00A03968"/>
    <w:rsid w:val="00A07711"/>
    <w:rsid w:val="00A113F8"/>
    <w:rsid w:val="00A2247F"/>
    <w:rsid w:val="00A22EA0"/>
    <w:rsid w:val="00A230DD"/>
    <w:rsid w:val="00A249AB"/>
    <w:rsid w:val="00A274C0"/>
    <w:rsid w:val="00A422AE"/>
    <w:rsid w:val="00A435EA"/>
    <w:rsid w:val="00A44835"/>
    <w:rsid w:val="00A456A0"/>
    <w:rsid w:val="00A479F8"/>
    <w:rsid w:val="00A51A31"/>
    <w:rsid w:val="00A54125"/>
    <w:rsid w:val="00A546EF"/>
    <w:rsid w:val="00A7610F"/>
    <w:rsid w:val="00A91790"/>
    <w:rsid w:val="00A95A20"/>
    <w:rsid w:val="00AA3E49"/>
    <w:rsid w:val="00AA5547"/>
    <w:rsid w:val="00AA6C60"/>
    <w:rsid w:val="00AB2D0A"/>
    <w:rsid w:val="00AC19D9"/>
    <w:rsid w:val="00AC586E"/>
    <w:rsid w:val="00AC6EDE"/>
    <w:rsid w:val="00AD4826"/>
    <w:rsid w:val="00AE284D"/>
    <w:rsid w:val="00AF089F"/>
    <w:rsid w:val="00B12335"/>
    <w:rsid w:val="00B15952"/>
    <w:rsid w:val="00B16C94"/>
    <w:rsid w:val="00B17716"/>
    <w:rsid w:val="00B44652"/>
    <w:rsid w:val="00B4743A"/>
    <w:rsid w:val="00B47957"/>
    <w:rsid w:val="00B559B4"/>
    <w:rsid w:val="00B57334"/>
    <w:rsid w:val="00B62769"/>
    <w:rsid w:val="00B64F6C"/>
    <w:rsid w:val="00B65EF5"/>
    <w:rsid w:val="00B66038"/>
    <w:rsid w:val="00B700D1"/>
    <w:rsid w:val="00B71A13"/>
    <w:rsid w:val="00B73957"/>
    <w:rsid w:val="00B75EDB"/>
    <w:rsid w:val="00B76975"/>
    <w:rsid w:val="00B836F6"/>
    <w:rsid w:val="00B9050D"/>
    <w:rsid w:val="00BA58D9"/>
    <w:rsid w:val="00BB246B"/>
    <w:rsid w:val="00BB3A4E"/>
    <w:rsid w:val="00BC06B9"/>
    <w:rsid w:val="00BC1623"/>
    <w:rsid w:val="00BC3149"/>
    <w:rsid w:val="00BE1B30"/>
    <w:rsid w:val="00BE3718"/>
    <w:rsid w:val="00BE455D"/>
    <w:rsid w:val="00BE4B37"/>
    <w:rsid w:val="00BF5637"/>
    <w:rsid w:val="00C021F7"/>
    <w:rsid w:val="00C04247"/>
    <w:rsid w:val="00C157F3"/>
    <w:rsid w:val="00C26E36"/>
    <w:rsid w:val="00C3102B"/>
    <w:rsid w:val="00C318F5"/>
    <w:rsid w:val="00C35861"/>
    <w:rsid w:val="00C35E67"/>
    <w:rsid w:val="00C431EE"/>
    <w:rsid w:val="00C477AE"/>
    <w:rsid w:val="00C50894"/>
    <w:rsid w:val="00C50995"/>
    <w:rsid w:val="00C55462"/>
    <w:rsid w:val="00C62DFB"/>
    <w:rsid w:val="00C6722D"/>
    <w:rsid w:val="00C67808"/>
    <w:rsid w:val="00C70224"/>
    <w:rsid w:val="00C706C9"/>
    <w:rsid w:val="00C7180D"/>
    <w:rsid w:val="00C7288A"/>
    <w:rsid w:val="00C72F7A"/>
    <w:rsid w:val="00C73BB6"/>
    <w:rsid w:val="00C760C6"/>
    <w:rsid w:val="00C76D81"/>
    <w:rsid w:val="00C877AA"/>
    <w:rsid w:val="00C87C0B"/>
    <w:rsid w:val="00C90220"/>
    <w:rsid w:val="00C95A7E"/>
    <w:rsid w:val="00CA615C"/>
    <w:rsid w:val="00CB57B3"/>
    <w:rsid w:val="00CB6E64"/>
    <w:rsid w:val="00CC323D"/>
    <w:rsid w:val="00CE4B80"/>
    <w:rsid w:val="00D02E21"/>
    <w:rsid w:val="00D10D93"/>
    <w:rsid w:val="00D16BF9"/>
    <w:rsid w:val="00D245BC"/>
    <w:rsid w:val="00D27C96"/>
    <w:rsid w:val="00D33950"/>
    <w:rsid w:val="00D4124F"/>
    <w:rsid w:val="00D44879"/>
    <w:rsid w:val="00D54753"/>
    <w:rsid w:val="00D63F2E"/>
    <w:rsid w:val="00D65EA4"/>
    <w:rsid w:val="00D712A5"/>
    <w:rsid w:val="00D761E8"/>
    <w:rsid w:val="00D841F3"/>
    <w:rsid w:val="00D864D6"/>
    <w:rsid w:val="00D93A74"/>
    <w:rsid w:val="00D9685B"/>
    <w:rsid w:val="00DA081A"/>
    <w:rsid w:val="00DA083D"/>
    <w:rsid w:val="00DA5BE0"/>
    <w:rsid w:val="00DB1D16"/>
    <w:rsid w:val="00DD54E8"/>
    <w:rsid w:val="00DE1F5B"/>
    <w:rsid w:val="00DF6855"/>
    <w:rsid w:val="00E06372"/>
    <w:rsid w:val="00E22DF0"/>
    <w:rsid w:val="00E25B82"/>
    <w:rsid w:val="00E26A55"/>
    <w:rsid w:val="00E301A6"/>
    <w:rsid w:val="00E32FCE"/>
    <w:rsid w:val="00E3500C"/>
    <w:rsid w:val="00E416D5"/>
    <w:rsid w:val="00E41729"/>
    <w:rsid w:val="00E41D88"/>
    <w:rsid w:val="00E44EF3"/>
    <w:rsid w:val="00E50C90"/>
    <w:rsid w:val="00E55636"/>
    <w:rsid w:val="00E62372"/>
    <w:rsid w:val="00E64CA1"/>
    <w:rsid w:val="00E6536B"/>
    <w:rsid w:val="00E66BAC"/>
    <w:rsid w:val="00E6760C"/>
    <w:rsid w:val="00E77AC8"/>
    <w:rsid w:val="00E81146"/>
    <w:rsid w:val="00E843E2"/>
    <w:rsid w:val="00E875C0"/>
    <w:rsid w:val="00E87FE2"/>
    <w:rsid w:val="00E963EC"/>
    <w:rsid w:val="00EA298C"/>
    <w:rsid w:val="00EA6619"/>
    <w:rsid w:val="00EB1122"/>
    <w:rsid w:val="00EB4242"/>
    <w:rsid w:val="00EB78F2"/>
    <w:rsid w:val="00EC48B2"/>
    <w:rsid w:val="00EC7E3B"/>
    <w:rsid w:val="00ED4040"/>
    <w:rsid w:val="00ED6B6A"/>
    <w:rsid w:val="00ED7684"/>
    <w:rsid w:val="00EE16D0"/>
    <w:rsid w:val="00EF0696"/>
    <w:rsid w:val="00EF17E5"/>
    <w:rsid w:val="00EF3A5E"/>
    <w:rsid w:val="00F00E74"/>
    <w:rsid w:val="00F036C9"/>
    <w:rsid w:val="00F11394"/>
    <w:rsid w:val="00F11602"/>
    <w:rsid w:val="00F1648B"/>
    <w:rsid w:val="00F244EC"/>
    <w:rsid w:val="00F276F9"/>
    <w:rsid w:val="00F30159"/>
    <w:rsid w:val="00F33373"/>
    <w:rsid w:val="00F35692"/>
    <w:rsid w:val="00F378BE"/>
    <w:rsid w:val="00F4336A"/>
    <w:rsid w:val="00F46B06"/>
    <w:rsid w:val="00F47D87"/>
    <w:rsid w:val="00F562B8"/>
    <w:rsid w:val="00F706BB"/>
    <w:rsid w:val="00F7149B"/>
    <w:rsid w:val="00F747A4"/>
    <w:rsid w:val="00F81038"/>
    <w:rsid w:val="00F8490A"/>
    <w:rsid w:val="00FA1ABB"/>
    <w:rsid w:val="00FB0C6F"/>
    <w:rsid w:val="00FB4817"/>
    <w:rsid w:val="00FD56E7"/>
    <w:rsid w:val="00FD7432"/>
    <w:rsid w:val="00FE1234"/>
    <w:rsid w:val="00FE2BC5"/>
    <w:rsid w:val="00FE4612"/>
    <w:rsid w:val="00FE4D8F"/>
    <w:rsid w:val="00FE712B"/>
    <w:rsid w:val="00FE7AAC"/>
    <w:rsid w:val="00FF0EF4"/>
    <w:rsid w:val="00FF28B7"/>
    <w:rsid w:val="00FF573B"/>
    <w:rsid w:val="00FF6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101212"/>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s>
</file>

<file path=word/webSettings.xml><?xml version="1.0" encoding="utf-8"?>
<w:webSettings xmlns:r="http://schemas.openxmlformats.org/officeDocument/2006/relationships" xmlns:w="http://schemas.openxmlformats.org/wordprocessingml/2006/main">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208146631">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30526691">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705956062">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30862890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59713342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54625892">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20FB240-3C5A-4E34-8405-5BE785A9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49</TotalTime>
  <Pages>6</Pages>
  <Words>1474</Words>
  <Characters>7623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9079</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7</cp:revision>
  <cp:lastPrinted>2004-07-04T17:47:00Z</cp:lastPrinted>
  <dcterms:created xsi:type="dcterms:W3CDTF">2014-11-18T00:00:00Z</dcterms:created>
  <dcterms:modified xsi:type="dcterms:W3CDTF">2014-11-20T20:01:00Z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