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44" w:rsidRPr="00657452" w:rsidRDefault="00077144" w:rsidP="001D5B8F">
      <w:pPr>
        <w:jc w:val="center"/>
      </w:pPr>
      <w:bookmarkStart w:id="0" w:name="AuthorName"/>
    </w:p>
    <w:p w:rsidR="00077144" w:rsidRPr="00657452" w:rsidRDefault="00077144" w:rsidP="001D5B8F">
      <w:pPr>
        <w:jc w:val="center"/>
      </w:pPr>
    </w:p>
    <w:p w:rsidR="00077144" w:rsidRPr="00657452" w:rsidRDefault="00077144" w:rsidP="001D5B8F">
      <w:pPr>
        <w:jc w:val="center"/>
      </w:pPr>
    </w:p>
    <w:p w:rsidR="00077144" w:rsidRPr="00657452" w:rsidRDefault="00077144" w:rsidP="001D5B8F">
      <w:pPr>
        <w:jc w:val="center"/>
      </w:pPr>
    </w:p>
    <w:p w:rsidR="00077144" w:rsidRPr="00657452" w:rsidRDefault="00CC323D" w:rsidP="007F02A9">
      <w:pPr>
        <w:ind w:right="1170"/>
        <w:rPr>
          <w:b/>
          <w:iCs/>
          <w:sz w:val="32"/>
          <w:szCs w:val="32"/>
        </w:rPr>
      </w:pPr>
      <w:r w:rsidRPr="00657452">
        <w:rPr>
          <w:b/>
          <w:iCs/>
          <w:sz w:val="32"/>
          <w:szCs w:val="32"/>
        </w:rPr>
        <w:t>Business Requirements Document</w:t>
      </w:r>
    </w:p>
    <w:p w:rsidR="005620E6" w:rsidRPr="00657452" w:rsidRDefault="00CC323D" w:rsidP="007F02A9">
      <w:pPr>
        <w:ind w:right="1170"/>
        <w:rPr>
          <w:b/>
          <w:iCs/>
          <w:sz w:val="32"/>
          <w:szCs w:val="32"/>
        </w:rPr>
      </w:pPr>
      <w:r w:rsidRPr="00657452">
        <w:rPr>
          <w:b/>
          <w:iCs/>
          <w:sz w:val="32"/>
          <w:szCs w:val="32"/>
        </w:rPr>
        <w:t xml:space="preserve">Project: </w:t>
      </w:r>
      <w:r w:rsidR="00E77AC8" w:rsidRPr="00657452">
        <w:rPr>
          <w:b/>
          <w:iCs/>
          <w:sz w:val="32"/>
          <w:szCs w:val="32"/>
        </w:rPr>
        <w:t xml:space="preserve">eVal </w:t>
      </w:r>
      <w:r w:rsidR="008E001E" w:rsidRPr="00657452">
        <w:rPr>
          <w:b/>
          <w:iCs/>
          <w:sz w:val="32"/>
          <w:szCs w:val="32"/>
        </w:rPr>
        <w:t xml:space="preserve">Enhancements </w:t>
      </w:r>
    </w:p>
    <w:p w:rsidR="005620E6" w:rsidRPr="00657452" w:rsidRDefault="005620E6" w:rsidP="007F02A9">
      <w:pPr>
        <w:ind w:right="1170"/>
        <w:rPr>
          <w:b/>
          <w:iCs/>
          <w:sz w:val="32"/>
          <w:szCs w:val="32"/>
        </w:rPr>
      </w:pPr>
    </w:p>
    <w:p w:rsidR="00077144" w:rsidRDefault="00CC323D" w:rsidP="007F02A9">
      <w:pPr>
        <w:ind w:right="1170"/>
        <w:rPr>
          <w:b/>
          <w:iCs/>
          <w:sz w:val="32"/>
          <w:szCs w:val="32"/>
        </w:rPr>
      </w:pPr>
      <w:r w:rsidRPr="00657452">
        <w:rPr>
          <w:b/>
          <w:iCs/>
          <w:sz w:val="32"/>
          <w:szCs w:val="32"/>
        </w:rPr>
        <w:t>BRD Title:</w:t>
      </w:r>
      <w:r w:rsidR="003A7E6E" w:rsidRPr="00657452">
        <w:rPr>
          <w:b/>
          <w:iCs/>
          <w:sz w:val="32"/>
          <w:szCs w:val="32"/>
        </w:rPr>
        <w:t xml:space="preserve"> </w:t>
      </w:r>
      <w:r w:rsidR="00C71356">
        <w:rPr>
          <w:b/>
          <w:iCs/>
          <w:sz w:val="32"/>
          <w:szCs w:val="32"/>
        </w:rPr>
        <w:t>New workflow for Evaluation Report – Expansion to BRD 8</w:t>
      </w:r>
    </w:p>
    <w:p w:rsidR="00C71356" w:rsidRPr="00657452" w:rsidRDefault="00C71356" w:rsidP="007F02A9">
      <w:pPr>
        <w:ind w:right="1170"/>
        <w:rPr>
          <w:b/>
          <w:iCs/>
          <w:sz w:val="32"/>
          <w:szCs w:val="32"/>
        </w:rPr>
      </w:pPr>
    </w:p>
    <w:p w:rsidR="00CC323D" w:rsidRDefault="003A7E6E" w:rsidP="007F02A9">
      <w:pPr>
        <w:ind w:right="1170"/>
        <w:rPr>
          <w:b/>
          <w:iCs/>
          <w:sz w:val="32"/>
          <w:szCs w:val="32"/>
        </w:rPr>
      </w:pPr>
      <w:r w:rsidRPr="00657452">
        <w:rPr>
          <w:b/>
          <w:iCs/>
          <w:sz w:val="32"/>
          <w:szCs w:val="32"/>
        </w:rPr>
        <w:t>BRD</w:t>
      </w:r>
      <w:r w:rsidR="00CC323D" w:rsidRPr="00657452">
        <w:rPr>
          <w:b/>
          <w:iCs/>
          <w:sz w:val="32"/>
          <w:szCs w:val="32"/>
        </w:rPr>
        <w:t>:</w:t>
      </w:r>
      <w:r w:rsidRPr="00657452">
        <w:rPr>
          <w:b/>
          <w:iCs/>
          <w:sz w:val="32"/>
          <w:szCs w:val="32"/>
        </w:rPr>
        <w:t xml:space="preserve"> #</w:t>
      </w:r>
      <w:r w:rsidR="00B31983">
        <w:rPr>
          <w:b/>
          <w:iCs/>
          <w:sz w:val="32"/>
          <w:szCs w:val="32"/>
        </w:rPr>
        <w:t>8</w:t>
      </w:r>
      <w:r w:rsidR="00C71356">
        <w:rPr>
          <w:b/>
          <w:iCs/>
          <w:sz w:val="32"/>
          <w:szCs w:val="32"/>
        </w:rPr>
        <w:t>A</w:t>
      </w:r>
    </w:p>
    <w:p w:rsidR="00A42423" w:rsidRDefault="00A42423" w:rsidP="007F02A9">
      <w:pPr>
        <w:ind w:right="1170"/>
        <w:rPr>
          <w:b/>
          <w:iCs/>
          <w:sz w:val="32"/>
          <w:szCs w:val="32"/>
        </w:rPr>
      </w:pPr>
    </w:p>
    <w:p w:rsidR="00A42423" w:rsidRPr="00A42423" w:rsidRDefault="00A42423" w:rsidP="007F02A9">
      <w:pPr>
        <w:ind w:right="1170"/>
        <w:rPr>
          <w:b/>
          <w:i/>
          <w:iCs/>
          <w:sz w:val="32"/>
          <w:szCs w:val="32"/>
        </w:rPr>
      </w:pPr>
      <w:r>
        <w:rPr>
          <w:b/>
          <w:i/>
          <w:iCs/>
          <w:sz w:val="32"/>
          <w:szCs w:val="32"/>
        </w:rPr>
        <w:t>This Business Requirement Document includes by reference the slides contained in the Powerpoint “</w:t>
      </w:r>
      <w:r w:rsidRPr="00A42423">
        <w:rPr>
          <w:b/>
          <w:i/>
          <w:iCs/>
          <w:sz w:val="32"/>
          <w:szCs w:val="32"/>
        </w:rPr>
        <w:t>BRD 8 - Workflow Screen De</w:t>
      </w:r>
      <w:r>
        <w:rPr>
          <w:b/>
          <w:i/>
          <w:iCs/>
          <w:sz w:val="32"/>
          <w:szCs w:val="32"/>
        </w:rPr>
        <w:t xml:space="preserve">sign -- lifecycle transitions” </w:t>
      </w:r>
    </w:p>
    <w:p w:rsidR="00B15952" w:rsidRDefault="00B15952" w:rsidP="007F02A9">
      <w:pPr>
        <w:ind w:right="1170"/>
        <w:rPr>
          <w:b/>
          <w:iCs/>
          <w:sz w:val="32"/>
          <w:szCs w:val="32"/>
        </w:rPr>
      </w:pPr>
    </w:p>
    <w:p w:rsidR="009E4F28" w:rsidRPr="00967B70" w:rsidRDefault="009E4F28" w:rsidP="009E4F28">
      <w:pPr>
        <w:ind w:right="1170"/>
        <w:rPr>
          <w:b/>
          <w:iCs/>
          <w:sz w:val="32"/>
          <w:szCs w:val="32"/>
        </w:rPr>
      </w:pPr>
      <w:r w:rsidRPr="00967B70">
        <w:rPr>
          <w:b/>
          <w:iCs/>
          <w:sz w:val="32"/>
          <w:szCs w:val="32"/>
        </w:rPr>
        <w:t xml:space="preserve">Development required by: </w:t>
      </w:r>
    </w:p>
    <w:p w:rsidR="009E4F28" w:rsidRPr="00967B70" w:rsidRDefault="009E4F28" w:rsidP="009E4F28">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9E4F28" w:rsidRPr="00CC323D" w:rsidRDefault="009E4F28" w:rsidP="007F02A9">
      <w:pPr>
        <w:ind w:right="1170"/>
        <w:rPr>
          <w:b/>
          <w:iCs/>
          <w:sz w:val="32"/>
          <w:szCs w:val="32"/>
        </w:rPr>
      </w:pPr>
    </w:p>
    <w:p w:rsidR="00077144" w:rsidRDefault="00077144" w:rsidP="001D5B8F">
      <w:pPr>
        <w:rPr>
          <w:lang w:val="en-GB"/>
        </w:rPr>
      </w:pPr>
    </w:p>
    <w:bookmarkEnd w:id="0"/>
    <w:p w:rsidR="00F378BE" w:rsidRDefault="00F378BE" w:rsidP="00B15952">
      <w:pPr>
        <w:ind w:right="1170"/>
        <w:rPr>
          <w:rFonts w:cs="Arial"/>
          <w:sz w:val="16"/>
          <w:szCs w:val="16"/>
        </w:rPr>
      </w:pPr>
    </w:p>
    <w:p w:rsidR="00657452" w:rsidRDefault="00657452">
      <w:pPr>
        <w:rPr>
          <w:rFonts w:cs="Arial"/>
          <w:sz w:val="16"/>
          <w:szCs w:val="16"/>
        </w:rPr>
      </w:pPr>
      <w:r>
        <w:rPr>
          <w:rFonts w:cs="Arial"/>
          <w:sz w:val="16"/>
          <w:szCs w:val="16"/>
        </w:rPr>
        <w:br w:type="page"/>
      </w:r>
    </w:p>
    <w:p w:rsidR="00657452" w:rsidRDefault="00657452" w:rsidP="00657452"/>
    <w:p w:rsidR="00657452" w:rsidRDefault="00657452" w:rsidP="00657452"/>
    <w:p w:rsidR="00657452" w:rsidRDefault="00657452" w:rsidP="00657452"/>
    <w:p w:rsidR="00657452" w:rsidRDefault="00657452" w:rsidP="00657452">
      <w:r w:rsidRPr="00490998">
        <w:rPr>
          <w:rFonts w:cs="Arial"/>
          <w:b/>
          <w:bCs/>
          <w:kern w:val="32"/>
          <w:sz w:val="32"/>
          <w:szCs w:val="32"/>
          <w:lang w:val="en-GB"/>
        </w:rPr>
        <w:t>BACKGROUND</w:t>
      </w:r>
    </w:p>
    <w:p w:rsidR="00657452" w:rsidRDefault="00657452" w:rsidP="00657452"/>
    <w:p w:rsidR="006A3FAC" w:rsidRDefault="006A3FAC" w:rsidP="006A3FAC">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6A3FAC" w:rsidRDefault="006A3FAC" w:rsidP="006A3FAC"/>
    <w:p w:rsidR="006A3FAC" w:rsidRDefault="006A3FAC" w:rsidP="006A3FAC">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6A3FAC" w:rsidRDefault="006A3FAC" w:rsidP="006A3FAC"/>
    <w:p w:rsidR="006A3FAC" w:rsidRPr="004E75FD" w:rsidRDefault="006A3FAC" w:rsidP="006A3FAC">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657452" w:rsidRDefault="00657452" w:rsidP="00657452"/>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C22B73" w:rsidRDefault="00C22B73" w:rsidP="00C22B73">
      <w:pPr>
        <w:ind w:right="1170"/>
        <w:rPr>
          <w:rFonts w:cs="Arial"/>
          <w:sz w:val="16"/>
          <w:szCs w:val="16"/>
        </w:rPr>
      </w:pPr>
    </w:p>
    <w:p w:rsidR="00C22B73" w:rsidRDefault="00C22B73" w:rsidP="00C22B73">
      <w:pPr>
        <w:ind w:right="1170"/>
        <w:rPr>
          <w:rFonts w:cs="Arial"/>
          <w:sz w:val="16"/>
          <w:szCs w:val="16"/>
        </w:rPr>
      </w:pPr>
    </w:p>
    <w:p w:rsidR="00C22B73" w:rsidRDefault="00C22B73" w:rsidP="00C22B73">
      <w:pPr>
        <w:ind w:right="1170"/>
        <w:rPr>
          <w:rFonts w:cs="Arial"/>
          <w:sz w:val="16"/>
          <w:szCs w:val="16"/>
        </w:rPr>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C22B73" w:rsidRPr="0058493F" w:rsidTr="005A7624">
        <w:trPr>
          <w:trHeight w:val="398"/>
          <w:tblHeader/>
        </w:trPr>
        <w:tc>
          <w:tcPr>
            <w:tcW w:w="1470" w:type="dxa"/>
            <w:tcBorders>
              <w:top w:val="single" w:sz="6" w:space="0" w:color="auto"/>
              <w:left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Description of Change</w:t>
            </w:r>
          </w:p>
        </w:tc>
      </w:tr>
      <w:tr w:rsidR="00C22B73" w:rsidRPr="0058493F" w:rsidTr="005A7624">
        <w:trPr>
          <w:trHeight w:val="297"/>
        </w:trPr>
        <w:tc>
          <w:tcPr>
            <w:tcW w:w="1470" w:type="dxa"/>
            <w:tcBorders>
              <w:top w:val="single" w:sz="6" w:space="0" w:color="auto"/>
            </w:tcBorders>
          </w:tcPr>
          <w:p w:rsidR="00C22B73" w:rsidRPr="0058493F" w:rsidRDefault="00C22B73" w:rsidP="005A7624">
            <w:pPr>
              <w:pStyle w:val="TableCell"/>
              <w:jc w:val="center"/>
              <w:rPr>
                <w:sz w:val="16"/>
                <w:szCs w:val="16"/>
              </w:rPr>
            </w:pPr>
            <w:r>
              <w:rPr>
                <w:sz w:val="16"/>
                <w:szCs w:val="16"/>
              </w:rPr>
              <w:t>1</w:t>
            </w:r>
          </w:p>
        </w:tc>
        <w:tc>
          <w:tcPr>
            <w:tcW w:w="1573" w:type="dxa"/>
            <w:tcBorders>
              <w:top w:val="single" w:sz="6" w:space="0" w:color="auto"/>
            </w:tcBorders>
          </w:tcPr>
          <w:p w:rsidR="00C22B73" w:rsidRPr="0058493F" w:rsidRDefault="00C71356" w:rsidP="005A7624">
            <w:pPr>
              <w:pStyle w:val="TableCell"/>
              <w:jc w:val="center"/>
              <w:rPr>
                <w:sz w:val="16"/>
                <w:szCs w:val="16"/>
              </w:rPr>
            </w:pPr>
            <w:r>
              <w:rPr>
                <w:sz w:val="16"/>
                <w:szCs w:val="16"/>
              </w:rPr>
              <w:t>2/16/15</w:t>
            </w:r>
          </w:p>
        </w:tc>
        <w:tc>
          <w:tcPr>
            <w:tcW w:w="1470" w:type="dxa"/>
            <w:tcBorders>
              <w:top w:val="single" w:sz="6" w:space="0" w:color="auto"/>
            </w:tcBorders>
          </w:tcPr>
          <w:p w:rsidR="00C22B73" w:rsidRPr="0058493F" w:rsidRDefault="00C22B73" w:rsidP="005A7624">
            <w:pPr>
              <w:pStyle w:val="TableCell"/>
              <w:jc w:val="center"/>
              <w:rPr>
                <w:sz w:val="16"/>
                <w:szCs w:val="16"/>
              </w:rPr>
            </w:pPr>
            <w:r>
              <w:rPr>
                <w:sz w:val="16"/>
                <w:szCs w:val="16"/>
              </w:rPr>
              <w:t>Donna Schmidt</w:t>
            </w:r>
          </w:p>
        </w:tc>
        <w:tc>
          <w:tcPr>
            <w:tcW w:w="5601" w:type="dxa"/>
            <w:tcBorders>
              <w:top w:val="single" w:sz="6" w:space="0" w:color="auto"/>
            </w:tcBorders>
          </w:tcPr>
          <w:p w:rsidR="00C22B73" w:rsidRPr="0058493F" w:rsidRDefault="00C22B73" w:rsidP="00C71356">
            <w:pPr>
              <w:pStyle w:val="TableCell"/>
              <w:rPr>
                <w:sz w:val="16"/>
                <w:szCs w:val="16"/>
              </w:rPr>
            </w:pPr>
            <w:r>
              <w:rPr>
                <w:sz w:val="16"/>
                <w:szCs w:val="16"/>
              </w:rPr>
              <w:t>Baseline; submitted to for review  to eVal team</w:t>
            </w:r>
          </w:p>
        </w:tc>
      </w:tr>
      <w:tr w:rsidR="00E629E4" w:rsidRPr="00037425" w:rsidTr="005A7624">
        <w:trPr>
          <w:trHeight w:val="349"/>
        </w:trPr>
        <w:tc>
          <w:tcPr>
            <w:tcW w:w="1470" w:type="dxa"/>
          </w:tcPr>
          <w:p w:rsidR="00E629E4" w:rsidRDefault="00E629E4" w:rsidP="005A7624">
            <w:pPr>
              <w:pStyle w:val="TableCell"/>
              <w:jc w:val="center"/>
              <w:rPr>
                <w:sz w:val="16"/>
                <w:szCs w:val="16"/>
              </w:rPr>
            </w:pPr>
          </w:p>
        </w:tc>
        <w:tc>
          <w:tcPr>
            <w:tcW w:w="1573" w:type="dxa"/>
          </w:tcPr>
          <w:p w:rsidR="00E629E4" w:rsidRDefault="00E629E4" w:rsidP="005A7624">
            <w:pPr>
              <w:pStyle w:val="TableCell"/>
              <w:jc w:val="center"/>
              <w:rPr>
                <w:sz w:val="16"/>
                <w:szCs w:val="16"/>
              </w:rPr>
            </w:pPr>
          </w:p>
        </w:tc>
        <w:tc>
          <w:tcPr>
            <w:tcW w:w="1470" w:type="dxa"/>
          </w:tcPr>
          <w:p w:rsidR="00E629E4" w:rsidRDefault="00E629E4" w:rsidP="005A7624">
            <w:pPr>
              <w:pStyle w:val="TableCell"/>
              <w:rPr>
                <w:sz w:val="16"/>
                <w:szCs w:val="16"/>
              </w:rPr>
            </w:pPr>
          </w:p>
        </w:tc>
        <w:tc>
          <w:tcPr>
            <w:tcW w:w="5601" w:type="dxa"/>
          </w:tcPr>
          <w:p w:rsidR="00E629E4" w:rsidRDefault="00E629E4" w:rsidP="005A7624">
            <w:pPr>
              <w:pStyle w:val="TableCell"/>
              <w:rPr>
                <w:sz w:val="16"/>
                <w:szCs w:val="16"/>
              </w:rPr>
            </w:pPr>
          </w:p>
        </w:tc>
      </w:tr>
    </w:tbl>
    <w:p w:rsidR="00C22B73" w:rsidRPr="00953067" w:rsidRDefault="00C22B73" w:rsidP="00C22B73">
      <w:pPr>
        <w:pStyle w:val="Body"/>
      </w:pPr>
    </w:p>
    <w:p w:rsidR="00B15952" w:rsidRDefault="00B15952" w:rsidP="00B15952">
      <w:pPr>
        <w:ind w:right="1170"/>
        <w:rPr>
          <w:rFonts w:cs="Arial"/>
          <w:sz w:val="16"/>
          <w:szCs w:val="16"/>
        </w:rPr>
      </w:pPr>
    </w:p>
    <w:p w:rsidR="00C22B73" w:rsidRDefault="00C22B73">
      <w:pPr>
        <w:rPr>
          <w:rFonts w:cs="Arial"/>
          <w:sz w:val="16"/>
          <w:szCs w:val="16"/>
        </w:rPr>
      </w:pPr>
      <w:r>
        <w:rPr>
          <w:rFonts w:cs="Arial"/>
          <w:sz w:val="16"/>
          <w:szCs w:val="16"/>
        </w:rPr>
        <w:br w:type="page"/>
      </w:r>
    </w:p>
    <w:p w:rsidR="007F02A9" w:rsidRDefault="007F02A9" w:rsidP="00125811">
      <w:pPr>
        <w:pStyle w:val="Heading1"/>
        <w:rPr>
          <w:rFonts w:cs="Times New Roman"/>
          <w:kern w:val="0"/>
          <w:sz w:val="20"/>
          <w:szCs w:val="24"/>
          <w:lang w:val="en-GB"/>
        </w:rPr>
      </w:pPr>
    </w:p>
    <w:p w:rsidR="00125811" w:rsidRDefault="003D3B85" w:rsidP="00125811">
      <w:pPr>
        <w:pStyle w:val="Heading1"/>
        <w:numPr>
          <w:ilvl w:val="0"/>
          <w:numId w:val="3"/>
        </w:numPr>
      </w:pPr>
      <w:bookmarkStart w:id="1" w:name="_Toc401140727"/>
      <w:r>
        <w:rPr>
          <w:lang w:val="en-GB"/>
        </w:rPr>
        <w:t>High Level Requirement Description</w:t>
      </w:r>
      <w:bookmarkEnd w:id="1"/>
      <w:r>
        <w:rPr>
          <w:lang w:val="en-GB"/>
        </w:rPr>
        <w:t xml:space="preserve"> </w:t>
      </w:r>
    </w:p>
    <w:p w:rsidR="00EF3A5E" w:rsidRPr="00FB4817" w:rsidRDefault="003475EC" w:rsidP="001F1BA5">
      <w:pPr>
        <w:ind w:left="360"/>
        <w:rPr>
          <w:rFonts w:cs="Arial"/>
        </w:rPr>
      </w:pPr>
      <w:r>
        <w:rPr>
          <w:rFonts w:cs="Arial"/>
        </w:rPr>
        <w:t>This BRD is an extension of BRD 8, providing narrative details to match the screen mock-ups included in the PowerPoint slides contained in “</w:t>
      </w:r>
      <w:r w:rsidRPr="003475EC">
        <w:rPr>
          <w:rFonts w:cs="Arial"/>
        </w:rPr>
        <w:t>BRD 8 - Workflow Screen De</w:t>
      </w:r>
      <w:r>
        <w:rPr>
          <w:rFonts w:cs="Arial"/>
        </w:rPr>
        <w:t>sign -- lifecycle transitions.ppt”</w:t>
      </w:r>
    </w:p>
    <w:p w:rsidR="00252872" w:rsidRDefault="00252872" w:rsidP="00E50C90">
      <w:pPr>
        <w:pStyle w:val="Heading1"/>
        <w:numPr>
          <w:ilvl w:val="0"/>
          <w:numId w:val="3"/>
        </w:numPr>
        <w:rPr>
          <w:lang w:val="en-GB"/>
        </w:rPr>
      </w:pPr>
      <w:bookmarkStart w:id="2" w:name="_Toc401140728"/>
      <w:r>
        <w:rPr>
          <w:lang w:val="en-GB"/>
        </w:rPr>
        <w:t>Business Objective</w:t>
      </w:r>
      <w:bookmarkEnd w:id="2"/>
    </w:p>
    <w:p w:rsidR="00B64F6C" w:rsidRPr="00E50C90" w:rsidRDefault="003475EC" w:rsidP="001F1BA5">
      <w:pPr>
        <w:ind w:left="360"/>
        <w:rPr>
          <w:lang w:val="en-GB"/>
        </w:rPr>
      </w:pPr>
      <w:r>
        <w:rPr>
          <w:lang w:val="en-GB"/>
        </w:rPr>
        <w:t>See BRD 8.</w:t>
      </w:r>
    </w:p>
    <w:p w:rsidR="00252872" w:rsidRDefault="00DA081A" w:rsidP="00B64F6C">
      <w:pPr>
        <w:pStyle w:val="Heading1"/>
        <w:numPr>
          <w:ilvl w:val="0"/>
          <w:numId w:val="3"/>
        </w:numPr>
        <w:rPr>
          <w:lang w:val="en-GB"/>
        </w:rPr>
      </w:pPr>
      <w:bookmarkStart w:id="3" w:name="_Toc100563404"/>
      <w:bookmarkStart w:id="4" w:name="_Toc100563406"/>
      <w:bookmarkStart w:id="5" w:name="_Toc401140729"/>
      <w:bookmarkEnd w:id="3"/>
      <w:bookmarkEnd w:id="4"/>
      <w:r>
        <w:rPr>
          <w:lang w:val="en-GB"/>
        </w:rPr>
        <w:t xml:space="preserve">Business </w:t>
      </w:r>
      <w:r w:rsidR="00252872">
        <w:rPr>
          <w:lang w:val="en-GB"/>
        </w:rPr>
        <w:t>p</w:t>
      </w:r>
      <w:r>
        <w:rPr>
          <w:lang w:val="en-GB"/>
        </w:rPr>
        <w:t>rocesses</w:t>
      </w:r>
      <w:r w:rsidR="00252872">
        <w:rPr>
          <w:lang w:val="en-GB"/>
        </w:rPr>
        <w:t xml:space="preserve"> impacted by the change</w:t>
      </w:r>
      <w:bookmarkEnd w:id="5"/>
    </w:p>
    <w:p w:rsidR="00860427" w:rsidRPr="00860427" w:rsidRDefault="00860427" w:rsidP="00860427">
      <w:pPr>
        <w:rPr>
          <w:lang w:val="en-GB"/>
        </w:rPr>
      </w:pPr>
    </w:p>
    <w:p w:rsidR="00047924" w:rsidRDefault="003475EC" w:rsidP="004732EA">
      <w:pPr>
        <w:ind w:left="720"/>
      </w:pPr>
      <w:r>
        <w:t>See BRD 8.</w:t>
      </w:r>
    </w:p>
    <w:p w:rsidR="00047924" w:rsidRDefault="00047924" w:rsidP="00047924">
      <w:pPr>
        <w:pStyle w:val="GuidanceText"/>
        <w:rPr>
          <w:i w:val="0"/>
          <w:color w:val="000000"/>
        </w:rPr>
      </w:pPr>
    </w:p>
    <w:p w:rsidR="00B64F6C" w:rsidRDefault="00DA081A" w:rsidP="00B64F6C">
      <w:pPr>
        <w:pStyle w:val="Heading1"/>
        <w:numPr>
          <w:ilvl w:val="0"/>
          <w:numId w:val="3"/>
        </w:numPr>
        <w:rPr>
          <w:lang w:val="en-GB"/>
        </w:rPr>
      </w:pPr>
      <w:bookmarkStart w:id="6" w:name="_Toc100563408"/>
      <w:bookmarkStart w:id="7" w:name="_Toc401140730"/>
      <w:bookmarkEnd w:id="6"/>
      <w:r>
        <w:rPr>
          <w:lang w:val="en-GB"/>
        </w:rPr>
        <w:t>Requirement Details</w:t>
      </w:r>
      <w:bookmarkEnd w:id="7"/>
    </w:p>
    <w:p w:rsidR="00044B56" w:rsidRPr="0055073B" w:rsidRDefault="00044B56" w:rsidP="00044B56">
      <w:pPr>
        <w:rPr>
          <w:b/>
        </w:rPr>
      </w:pPr>
      <w:r w:rsidRPr="0055073B">
        <w:rPr>
          <w:b/>
        </w:rPr>
        <w:t>The requirements below are narrative supplements to the Powerpoint slides “BRD 8 - Workflow Screen Design -- lifecycle transitions.”  These slides must be used with this BRD for full explanation.</w:t>
      </w:r>
    </w:p>
    <w:tbl>
      <w:tblPr>
        <w:tblpPr w:leftFromText="180" w:rightFromText="180" w:vertAnchor="text" w:horzAnchor="margin" w:tblpY="723"/>
        <w:tblW w:w="10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88"/>
        <w:gridCol w:w="3103"/>
        <w:gridCol w:w="6077"/>
      </w:tblGrid>
      <w:tr w:rsidR="003C5A7D" w:rsidTr="009F6014">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8" w:name="_Toc75136613"/>
            <w:bookmarkStart w:id="9" w:name="_Toc75677719"/>
            <w:bookmarkStart w:id="10" w:name="_Toc76183422"/>
            <w:bookmarkStart w:id="11"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300224">
            <w:pPr>
              <w:spacing w:line="276" w:lineRule="auto"/>
              <w:rPr>
                <w:rFonts w:cs="Arial"/>
                <w:color w:val="FFFFFF"/>
              </w:rPr>
            </w:pPr>
            <w:r>
              <w:rPr>
                <w:rFonts w:cs="Arial"/>
                <w:color w:val="FFFFFF"/>
              </w:rPr>
              <w:t>Requirement</w:t>
            </w:r>
          </w:p>
        </w:tc>
        <w:tc>
          <w:tcPr>
            <w:tcW w:w="607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9F6014">
        <w:tc>
          <w:tcPr>
            <w:tcW w:w="1188" w:type="dxa"/>
            <w:tcMar>
              <w:top w:w="0" w:type="dxa"/>
              <w:left w:w="108" w:type="dxa"/>
              <w:bottom w:w="0" w:type="dxa"/>
              <w:right w:w="108" w:type="dxa"/>
            </w:tcMar>
            <w:vAlign w:val="center"/>
          </w:tcPr>
          <w:p w:rsidR="003C5A7D" w:rsidRPr="001D088E" w:rsidRDefault="00576F7C" w:rsidP="003C5A7D">
            <w:pPr>
              <w:spacing w:line="276" w:lineRule="auto"/>
              <w:jc w:val="center"/>
            </w:pPr>
            <w:r>
              <w:t>8A.1</w:t>
            </w:r>
          </w:p>
        </w:tc>
        <w:tc>
          <w:tcPr>
            <w:tcW w:w="3103" w:type="dxa"/>
            <w:tcMar>
              <w:top w:w="0" w:type="dxa"/>
              <w:left w:w="108" w:type="dxa"/>
              <w:bottom w:w="0" w:type="dxa"/>
              <w:right w:w="108" w:type="dxa"/>
            </w:tcMar>
            <w:vAlign w:val="center"/>
          </w:tcPr>
          <w:p w:rsidR="003C5A7D" w:rsidRPr="001D088E" w:rsidRDefault="00576F7C" w:rsidP="00D27AC0">
            <w:pPr>
              <w:spacing w:line="276" w:lineRule="auto"/>
            </w:pPr>
            <w:r>
              <w:t>New panel through which user can clearly see status of evaluation report through each lifecycle phase</w:t>
            </w:r>
            <w:r w:rsidR="00D27AC0">
              <w:t xml:space="preserve"> </w:t>
            </w:r>
          </w:p>
        </w:tc>
        <w:tc>
          <w:tcPr>
            <w:tcW w:w="6077" w:type="dxa"/>
            <w:tcMar>
              <w:top w:w="0" w:type="dxa"/>
              <w:left w:w="108" w:type="dxa"/>
              <w:bottom w:w="0" w:type="dxa"/>
              <w:right w:w="108" w:type="dxa"/>
            </w:tcMar>
          </w:tcPr>
          <w:p w:rsidR="009F6014" w:rsidRPr="0037499E" w:rsidRDefault="009F6014" w:rsidP="00EB78F2">
            <w:pPr>
              <w:spacing w:line="276" w:lineRule="auto"/>
              <w:rPr>
                <w:rFonts w:cs="Arial"/>
                <w:color w:val="000000"/>
              </w:rPr>
            </w:pPr>
            <w:bookmarkStart w:id="12" w:name="_BR16"/>
            <w:bookmarkEnd w:id="12"/>
          </w:p>
        </w:tc>
      </w:tr>
      <w:tr w:rsidR="003C5A7D" w:rsidRPr="001D088E" w:rsidTr="009F6014">
        <w:tc>
          <w:tcPr>
            <w:tcW w:w="1188" w:type="dxa"/>
            <w:tcMar>
              <w:top w:w="0" w:type="dxa"/>
              <w:left w:w="108" w:type="dxa"/>
              <w:bottom w:w="0" w:type="dxa"/>
              <w:right w:w="108" w:type="dxa"/>
            </w:tcMar>
            <w:vAlign w:val="center"/>
          </w:tcPr>
          <w:p w:rsidR="003C5A7D" w:rsidRPr="001D088E" w:rsidRDefault="00A22E28" w:rsidP="003C5A7D">
            <w:pPr>
              <w:spacing w:line="276" w:lineRule="auto"/>
              <w:jc w:val="center"/>
              <w:rPr>
                <w:rFonts w:cs="Arial"/>
              </w:rPr>
            </w:pPr>
            <w:r>
              <w:rPr>
                <w:rFonts w:cs="Arial"/>
              </w:rPr>
              <w:t>8A.2</w:t>
            </w:r>
          </w:p>
        </w:tc>
        <w:tc>
          <w:tcPr>
            <w:tcW w:w="3103" w:type="dxa"/>
            <w:tcMar>
              <w:top w:w="0" w:type="dxa"/>
              <w:left w:w="108" w:type="dxa"/>
              <w:bottom w:w="0" w:type="dxa"/>
              <w:right w:w="108" w:type="dxa"/>
            </w:tcMar>
            <w:vAlign w:val="center"/>
          </w:tcPr>
          <w:p w:rsidR="003C5A7D" w:rsidRPr="001D088E" w:rsidRDefault="00A22E28" w:rsidP="00B83842">
            <w:pPr>
              <w:spacing w:line="276" w:lineRule="auto"/>
              <w:rPr>
                <w:rFonts w:cs="Arial"/>
              </w:rPr>
            </w:pPr>
            <w:r>
              <w:rPr>
                <w:rFonts w:cs="Arial"/>
              </w:rPr>
              <w:t>Appropriate controls are in place so that evaluator must choose an over-ride if they wish to score the report without student growth scores, including ability to enter explanation.</w:t>
            </w:r>
          </w:p>
        </w:tc>
        <w:tc>
          <w:tcPr>
            <w:tcW w:w="6077" w:type="dxa"/>
            <w:tcMar>
              <w:top w:w="0" w:type="dxa"/>
              <w:left w:w="108" w:type="dxa"/>
              <w:bottom w:w="0" w:type="dxa"/>
              <w:right w:w="108" w:type="dxa"/>
            </w:tcMar>
          </w:tcPr>
          <w:p w:rsidR="005A7624" w:rsidRPr="007E1CB7" w:rsidRDefault="005A7624" w:rsidP="00BF414B">
            <w:pPr>
              <w:spacing w:line="276" w:lineRule="auto"/>
              <w:rPr>
                <w:rFonts w:cs="Arial"/>
                <w:color w:val="000000"/>
              </w:rPr>
            </w:pPr>
          </w:p>
        </w:tc>
      </w:tr>
      <w:tr w:rsidR="003C5A7D" w:rsidRPr="001D088E" w:rsidTr="009F6014">
        <w:tc>
          <w:tcPr>
            <w:tcW w:w="1188" w:type="dxa"/>
            <w:tcMar>
              <w:top w:w="0" w:type="dxa"/>
              <w:left w:w="108" w:type="dxa"/>
              <w:bottom w:w="0" w:type="dxa"/>
              <w:right w:w="108" w:type="dxa"/>
            </w:tcMar>
            <w:vAlign w:val="center"/>
          </w:tcPr>
          <w:p w:rsidR="003C5A7D" w:rsidRPr="001D088E" w:rsidRDefault="00A22E28" w:rsidP="003C5A7D">
            <w:pPr>
              <w:spacing w:line="276" w:lineRule="auto"/>
              <w:jc w:val="center"/>
            </w:pPr>
            <w:r>
              <w:t>8A.3</w:t>
            </w:r>
          </w:p>
        </w:tc>
        <w:tc>
          <w:tcPr>
            <w:tcW w:w="3103" w:type="dxa"/>
            <w:tcMar>
              <w:top w:w="0" w:type="dxa"/>
              <w:left w:w="108" w:type="dxa"/>
              <w:bottom w:w="0" w:type="dxa"/>
              <w:right w:w="108" w:type="dxa"/>
            </w:tcMar>
            <w:vAlign w:val="center"/>
          </w:tcPr>
          <w:p w:rsidR="005A7624" w:rsidRPr="001D088E" w:rsidRDefault="00A22E28" w:rsidP="00A22E28">
            <w:r>
              <w:rPr>
                <w:rFonts w:cs="Arial"/>
              </w:rPr>
              <w:t>Appropriate controls are in place so that evaluator must choose an over-ride if they wish to submit the report with the teacher’s electronic acknowledgement, including ability to enter explanation.</w:t>
            </w:r>
          </w:p>
        </w:tc>
        <w:tc>
          <w:tcPr>
            <w:tcW w:w="6077" w:type="dxa"/>
            <w:tcMar>
              <w:top w:w="0" w:type="dxa"/>
              <w:left w:w="108" w:type="dxa"/>
              <w:bottom w:w="0" w:type="dxa"/>
              <w:right w:w="108" w:type="dxa"/>
            </w:tcMar>
          </w:tcPr>
          <w:p w:rsidR="003C5A7D" w:rsidRPr="00BF414B" w:rsidRDefault="003C5A7D" w:rsidP="00BF414B">
            <w:pPr>
              <w:rPr>
                <w:rFonts w:cs="Arial"/>
              </w:rPr>
            </w:pPr>
          </w:p>
        </w:tc>
      </w:tr>
      <w:tr w:rsidR="003C5A7D" w:rsidRPr="001D088E" w:rsidTr="009F6014">
        <w:tc>
          <w:tcPr>
            <w:tcW w:w="1188" w:type="dxa"/>
            <w:tcMar>
              <w:top w:w="0" w:type="dxa"/>
              <w:left w:w="108" w:type="dxa"/>
              <w:bottom w:w="0" w:type="dxa"/>
              <w:right w:w="108" w:type="dxa"/>
            </w:tcMar>
            <w:vAlign w:val="center"/>
          </w:tcPr>
          <w:p w:rsidR="003C5A7D" w:rsidRPr="001D088E" w:rsidRDefault="00A22E28" w:rsidP="003C5A7D">
            <w:pPr>
              <w:spacing w:line="276" w:lineRule="auto"/>
              <w:jc w:val="center"/>
            </w:pPr>
            <w:r>
              <w:t>8A.4</w:t>
            </w:r>
          </w:p>
        </w:tc>
        <w:tc>
          <w:tcPr>
            <w:tcW w:w="3103" w:type="dxa"/>
            <w:tcMar>
              <w:top w:w="0" w:type="dxa"/>
              <w:left w:w="108" w:type="dxa"/>
              <w:bottom w:w="0" w:type="dxa"/>
              <w:right w:w="108" w:type="dxa"/>
            </w:tcMar>
            <w:vAlign w:val="center"/>
          </w:tcPr>
          <w:p w:rsidR="003C5A7D" w:rsidRPr="001D088E" w:rsidRDefault="00A22E28" w:rsidP="00A22E28">
            <w:pPr>
              <w:spacing w:line="276" w:lineRule="auto"/>
            </w:pPr>
            <w:r>
              <w:rPr>
                <w:rFonts w:cs="Arial"/>
              </w:rPr>
              <w:t xml:space="preserve">Appropriate controls are in place so that evaluator must choose an over-ride if they wish to complete the process using paper, including ability to enter </w:t>
            </w:r>
            <w:r>
              <w:rPr>
                <w:rFonts w:cs="Arial"/>
              </w:rPr>
              <w:lastRenderedPageBreak/>
              <w:t>explanation.</w:t>
            </w:r>
          </w:p>
        </w:tc>
        <w:tc>
          <w:tcPr>
            <w:tcW w:w="6077" w:type="dxa"/>
            <w:tcMar>
              <w:top w:w="0" w:type="dxa"/>
              <w:left w:w="108" w:type="dxa"/>
              <w:bottom w:w="0" w:type="dxa"/>
              <w:right w:w="108" w:type="dxa"/>
            </w:tcMar>
          </w:tcPr>
          <w:p w:rsidR="00D67D1C" w:rsidRPr="00886421" w:rsidRDefault="00D67D1C" w:rsidP="00044B56">
            <w:pPr>
              <w:spacing w:line="276" w:lineRule="auto"/>
              <w:rPr>
                <w:rFonts w:cs="Arial"/>
                <w:color w:val="000000"/>
              </w:rPr>
            </w:pPr>
          </w:p>
        </w:tc>
      </w:tr>
      <w:tr w:rsidR="00D67D1C" w:rsidRPr="001D088E" w:rsidTr="009F6014">
        <w:tc>
          <w:tcPr>
            <w:tcW w:w="1188" w:type="dxa"/>
            <w:tcMar>
              <w:top w:w="0" w:type="dxa"/>
              <w:left w:w="108" w:type="dxa"/>
              <w:bottom w:w="0" w:type="dxa"/>
              <w:right w:w="108" w:type="dxa"/>
            </w:tcMar>
            <w:vAlign w:val="center"/>
          </w:tcPr>
          <w:p w:rsidR="00D67D1C" w:rsidRDefault="00D67D1C" w:rsidP="003C5A7D">
            <w:pPr>
              <w:spacing w:line="276" w:lineRule="auto"/>
              <w:jc w:val="center"/>
            </w:pPr>
            <w:r>
              <w:lastRenderedPageBreak/>
              <w:t>8A.5</w:t>
            </w:r>
          </w:p>
        </w:tc>
        <w:tc>
          <w:tcPr>
            <w:tcW w:w="3103" w:type="dxa"/>
            <w:tcMar>
              <w:top w:w="0" w:type="dxa"/>
              <w:left w:w="108" w:type="dxa"/>
              <w:bottom w:w="0" w:type="dxa"/>
              <w:right w:w="108" w:type="dxa"/>
            </w:tcMar>
            <w:vAlign w:val="center"/>
          </w:tcPr>
          <w:p w:rsidR="00D67D1C" w:rsidRDefault="00DB6764" w:rsidP="00DB6764">
            <w:pPr>
              <w:spacing w:line="276" w:lineRule="auto"/>
              <w:rPr>
                <w:rFonts w:cs="Arial"/>
              </w:rPr>
            </w:pPr>
            <w:r>
              <w:rPr>
                <w:rFonts w:cs="Arial"/>
              </w:rPr>
              <w:t>If the report has not yet been submitted, t</w:t>
            </w:r>
            <w:r w:rsidR="00B76D59">
              <w:rPr>
                <w:rFonts w:cs="Arial"/>
              </w:rPr>
              <w:t xml:space="preserve">he evaluator can move </w:t>
            </w:r>
            <w:r>
              <w:rPr>
                <w:rFonts w:cs="Arial"/>
              </w:rPr>
              <w:t xml:space="preserve">it back to previous phases, including back to Draft </w:t>
            </w:r>
          </w:p>
        </w:tc>
        <w:tc>
          <w:tcPr>
            <w:tcW w:w="6077" w:type="dxa"/>
            <w:tcMar>
              <w:top w:w="0" w:type="dxa"/>
              <w:left w:w="108" w:type="dxa"/>
              <w:bottom w:w="0" w:type="dxa"/>
              <w:right w:w="108" w:type="dxa"/>
            </w:tcMar>
          </w:tcPr>
          <w:p w:rsidR="00D67D1C" w:rsidRDefault="00D67D1C" w:rsidP="003C5A7D">
            <w:pPr>
              <w:spacing w:line="276" w:lineRule="auto"/>
              <w:rPr>
                <w:rFonts w:cs="Arial"/>
                <w:color w:val="000000"/>
              </w:rPr>
            </w:pPr>
          </w:p>
        </w:tc>
      </w:tr>
      <w:tr w:rsidR="00DB6764" w:rsidRPr="001D088E" w:rsidTr="009F6014">
        <w:tc>
          <w:tcPr>
            <w:tcW w:w="1188" w:type="dxa"/>
            <w:tcMar>
              <w:top w:w="0" w:type="dxa"/>
              <w:left w:w="108" w:type="dxa"/>
              <w:bottom w:w="0" w:type="dxa"/>
              <w:right w:w="108" w:type="dxa"/>
            </w:tcMar>
            <w:vAlign w:val="center"/>
          </w:tcPr>
          <w:p w:rsidR="00DB6764" w:rsidRDefault="00DB6764" w:rsidP="003C5A7D">
            <w:pPr>
              <w:spacing w:line="276" w:lineRule="auto"/>
              <w:jc w:val="center"/>
            </w:pPr>
            <w:r>
              <w:t>8A.6</w:t>
            </w:r>
          </w:p>
        </w:tc>
        <w:tc>
          <w:tcPr>
            <w:tcW w:w="3103" w:type="dxa"/>
            <w:tcMar>
              <w:top w:w="0" w:type="dxa"/>
              <w:left w:w="108" w:type="dxa"/>
              <w:bottom w:w="0" w:type="dxa"/>
              <w:right w:w="108" w:type="dxa"/>
            </w:tcMar>
            <w:vAlign w:val="center"/>
          </w:tcPr>
          <w:p w:rsidR="00DB6764" w:rsidRDefault="00DB6764" w:rsidP="00C7287A">
            <w:pPr>
              <w:spacing w:line="276" w:lineRule="auto"/>
              <w:rPr>
                <w:rFonts w:cs="Arial"/>
              </w:rPr>
            </w:pPr>
            <w:r>
              <w:rPr>
                <w:rFonts w:cs="Arial"/>
              </w:rPr>
              <w:t xml:space="preserve">Once submitted, evaluators need District Administrator assistance to move it back to Draft.   </w:t>
            </w:r>
          </w:p>
        </w:tc>
        <w:tc>
          <w:tcPr>
            <w:tcW w:w="6077" w:type="dxa"/>
            <w:tcMar>
              <w:top w:w="0" w:type="dxa"/>
              <w:left w:w="108" w:type="dxa"/>
              <w:bottom w:w="0" w:type="dxa"/>
              <w:right w:w="108" w:type="dxa"/>
            </w:tcMar>
          </w:tcPr>
          <w:p w:rsidR="00DB6764" w:rsidRDefault="00DB6764" w:rsidP="003C5A7D">
            <w:pPr>
              <w:spacing w:line="276" w:lineRule="auto"/>
              <w:rPr>
                <w:rFonts w:cs="Arial"/>
                <w:color w:val="000000"/>
              </w:rPr>
            </w:pPr>
          </w:p>
        </w:tc>
      </w:tr>
      <w:tr w:rsidR="00F72BE1" w:rsidRPr="001D088E" w:rsidTr="009F6014">
        <w:tc>
          <w:tcPr>
            <w:tcW w:w="1188" w:type="dxa"/>
            <w:tcMar>
              <w:top w:w="0" w:type="dxa"/>
              <w:left w:w="108" w:type="dxa"/>
              <w:bottom w:w="0" w:type="dxa"/>
              <w:right w:w="108" w:type="dxa"/>
            </w:tcMar>
            <w:vAlign w:val="center"/>
          </w:tcPr>
          <w:p w:rsidR="00F72BE1" w:rsidRDefault="00F72BE1" w:rsidP="003C5A7D">
            <w:pPr>
              <w:spacing w:line="276" w:lineRule="auto"/>
              <w:jc w:val="center"/>
            </w:pPr>
            <w:r>
              <w:t>8A.7</w:t>
            </w:r>
          </w:p>
        </w:tc>
        <w:tc>
          <w:tcPr>
            <w:tcW w:w="3103" w:type="dxa"/>
            <w:tcMar>
              <w:top w:w="0" w:type="dxa"/>
              <w:left w:w="108" w:type="dxa"/>
              <w:bottom w:w="0" w:type="dxa"/>
              <w:right w:w="108" w:type="dxa"/>
            </w:tcMar>
            <w:vAlign w:val="center"/>
          </w:tcPr>
          <w:p w:rsidR="00F72BE1" w:rsidRDefault="00F72BE1" w:rsidP="00084C00">
            <w:pPr>
              <w:spacing w:line="276" w:lineRule="auto"/>
              <w:rPr>
                <w:rFonts w:cs="Arial"/>
              </w:rPr>
            </w:pPr>
            <w:r>
              <w:rPr>
                <w:rFonts w:cs="Arial"/>
              </w:rPr>
              <w:t xml:space="preserve">The report’s status is changed to Submitted as soon as the teacher opens the report and receives the “You are </w:t>
            </w:r>
            <w:r w:rsidR="00084C00">
              <w:rPr>
                <w:rFonts w:cs="Arial"/>
              </w:rPr>
              <w:t xml:space="preserve">now receiving your report” </w:t>
            </w:r>
            <w:r>
              <w:rPr>
                <w:rFonts w:cs="Arial"/>
              </w:rPr>
              <w:t>pop-up box</w:t>
            </w:r>
          </w:p>
        </w:tc>
        <w:tc>
          <w:tcPr>
            <w:tcW w:w="6077" w:type="dxa"/>
            <w:tcMar>
              <w:top w:w="0" w:type="dxa"/>
              <w:left w:w="108" w:type="dxa"/>
              <w:bottom w:w="0" w:type="dxa"/>
              <w:right w:w="108" w:type="dxa"/>
            </w:tcMar>
          </w:tcPr>
          <w:p w:rsidR="00F72BE1" w:rsidRDefault="00F72BE1" w:rsidP="003C5A7D">
            <w:pPr>
              <w:spacing w:line="276" w:lineRule="auto"/>
              <w:rPr>
                <w:rFonts w:cs="Arial"/>
                <w:color w:val="000000"/>
              </w:rPr>
            </w:pPr>
            <w:r>
              <w:rPr>
                <w:rFonts w:cs="Arial"/>
                <w:color w:val="000000"/>
              </w:rPr>
              <w:t>Once the report status is “Submitted”, a PDF copy is created and it is made available for pick-up by the TBD automated transfer process to District’s systems</w:t>
            </w:r>
            <w:r w:rsidR="006C522C">
              <w:rPr>
                <w:rFonts w:cs="Arial"/>
                <w:color w:val="000000"/>
              </w:rPr>
              <w:t>.</w:t>
            </w:r>
          </w:p>
          <w:p w:rsidR="006C522C" w:rsidRDefault="006C522C" w:rsidP="003C5A7D">
            <w:pPr>
              <w:spacing w:line="276" w:lineRule="auto"/>
              <w:rPr>
                <w:rFonts w:cs="Arial"/>
                <w:color w:val="000000"/>
              </w:rPr>
            </w:pPr>
          </w:p>
          <w:p w:rsidR="006C522C" w:rsidRDefault="006C522C" w:rsidP="003C5A7D">
            <w:pPr>
              <w:spacing w:line="276" w:lineRule="auto"/>
              <w:rPr>
                <w:rFonts w:cs="Arial"/>
                <w:color w:val="000000"/>
              </w:rPr>
            </w:pPr>
          </w:p>
        </w:tc>
      </w:tr>
      <w:tr w:rsidR="004206B4" w:rsidRPr="001D088E" w:rsidTr="009F6014">
        <w:tc>
          <w:tcPr>
            <w:tcW w:w="1188" w:type="dxa"/>
            <w:tcMar>
              <w:top w:w="0" w:type="dxa"/>
              <w:left w:w="108" w:type="dxa"/>
              <w:bottom w:w="0" w:type="dxa"/>
              <w:right w:w="108" w:type="dxa"/>
            </w:tcMar>
            <w:vAlign w:val="center"/>
          </w:tcPr>
          <w:p w:rsidR="004206B4" w:rsidRDefault="004206B4" w:rsidP="003C5A7D">
            <w:pPr>
              <w:spacing w:line="276" w:lineRule="auto"/>
              <w:jc w:val="center"/>
            </w:pPr>
            <w:r>
              <w:t>8A.8</w:t>
            </w:r>
          </w:p>
        </w:tc>
        <w:tc>
          <w:tcPr>
            <w:tcW w:w="3103" w:type="dxa"/>
            <w:tcMar>
              <w:top w:w="0" w:type="dxa"/>
              <w:left w:w="108" w:type="dxa"/>
              <w:bottom w:w="0" w:type="dxa"/>
              <w:right w:w="108" w:type="dxa"/>
            </w:tcMar>
            <w:vAlign w:val="center"/>
          </w:tcPr>
          <w:p w:rsidR="004206B4" w:rsidRPr="004206B4" w:rsidRDefault="004206B4" w:rsidP="004206B4">
            <w:pPr>
              <w:spacing w:line="276" w:lineRule="auto"/>
              <w:rPr>
                <w:rFonts w:cs="Arial"/>
              </w:rPr>
            </w:pPr>
            <w:r>
              <w:rPr>
                <w:rFonts w:cs="Arial"/>
              </w:rPr>
              <w:t xml:space="preserve">The ability to set report settings will be adjusted so that the report settings are </w:t>
            </w:r>
            <w:r>
              <w:rPr>
                <w:rFonts w:cs="Arial"/>
                <w:i/>
              </w:rPr>
              <w:t>per specific evaluation  report</w:t>
            </w:r>
            <w:r>
              <w:rPr>
                <w:rFonts w:cs="Arial"/>
              </w:rPr>
              <w:t xml:space="preserve"> and are considered part of the creation of the report.  The settings can only be modified when the report is in Draft.</w:t>
            </w:r>
          </w:p>
        </w:tc>
        <w:tc>
          <w:tcPr>
            <w:tcW w:w="6077" w:type="dxa"/>
            <w:tcMar>
              <w:top w:w="0" w:type="dxa"/>
              <w:left w:w="108" w:type="dxa"/>
              <w:bottom w:w="0" w:type="dxa"/>
              <w:right w:w="108" w:type="dxa"/>
            </w:tcMar>
          </w:tcPr>
          <w:p w:rsidR="004206B4" w:rsidRDefault="004206B4" w:rsidP="003C5A7D">
            <w:pPr>
              <w:spacing w:line="276" w:lineRule="auto"/>
              <w:rPr>
                <w:rFonts w:cs="Arial"/>
                <w:color w:val="000000"/>
              </w:rPr>
            </w:pPr>
          </w:p>
        </w:tc>
      </w:tr>
      <w:tr w:rsidR="00B71F3A" w:rsidRPr="001D088E" w:rsidTr="009F6014">
        <w:tc>
          <w:tcPr>
            <w:tcW w:w="1188" w:type="dxa"/>
            <w:tcMar>
              <w:top w:w="0" w:type="dxa"/>
              <w:left w:w="108" w:type="dxa"/>
              <w:bottom w:w="0" w:type="dxa"/>
              <w:right w:w="108" w:type="dxa"/>
            </w:tcMar>
            <w:vAlign w:val="center"/>
          </w:tcPr>
          <w:p w:rsidR="00B71F3A" w:rsidRDefault="00B71F3A" w:rsidP="003C5A7D">
            <w:pPr>
              <w:spacing w:line="276" w:lineRule="auto"/>
              <w:jc w:val="center"/>
            </w:pPr>
            <w:r>
              <w:t>8A.9</w:t>
            </w:r>
          </w:p>
        </w:tc>
        <w:tc>
          <w:tcPr>
            <w:tcW w:w="3103" w:type="dxa"/>
            <w:tcMar>
              <w:top w:w="0" w:type="dxa"/>
              <w:left w:w="108" w:type="dxa"/>
              <w:bottom w:w="0" w:type="dxa"/>
              <w:right w:w="108" w:type="dxa"/>
            </w:tcMar>
            <w:vAlign w:val="center"/>
          </w:tcPr>
          <w:p w:rsidR="00B71F3A" w:rsidRDefault="00B71F3A" w:rsidP="004206B4">
            <w:pPr>
              <w:spacing w:line="276" w:lineRule="auto"/>
              <w:rPr>
                <w:rFonts w:cs="Arial"/>
              </w:rPr>
            </w:pPr>
            <w:r>
              <w:rPr>
                <w:rFonts w:cs="Arial"/>
              </w:rPr>
              <w:t>The State Criteria,  including Student Growth scores, are the only rubric available on the report</w:t>
            </w:r>
          </w:p>
        </w:tc>
        <w:tc>
          <w:tcPr>
            <w:tcW w:w="6077" w:type="dxa"/>
            <w:tcMar>
              <w:top w:w="0" w:type="dxa"/>
              <w:left w:w="108" w:type="dxa"/>
              <w:bottom w:w="0" w:type="dxa"/>
              <w:right w:w="108" w:type="dxa"/>
            </w:tcMar>
          </w:tcPr>
          <w:p w:rsidR="00B71F3A" w:rsidRDefault="00B71F3A" w:rsidP="003C5A7D">
            <w:pPr>
              <w:spacing w:line="276" w:lineRule="auto"/>
              <w:rPr>
                <w:rFonts w:cs="Arial"/>
                <w:color w:val="000000"/>
              </w:rPr>
            </w:pPr>
          </w:p>
        </w:tc>
      </w:tr>
      <w:tr w:rsidR="00B71F3A" w:rsidRPr="001D088E" w:rsidTr="009F6014">
        <w:tc>
          <w:tcPr>
            <w:tcW w:w="1188" w:type="dxa"/>
            <w:tcMar>
              <w:top w:w="0" w:type="dxa"/>
              <w:left w:w="108" w:type="dxa"/>
              <w:bottom w:w="0" w:type="dxa"/>
              <w:right w:w="108" w:type="dxa"/>
            </w:tcMar>
            <w:vAlign w:val="center"/>
          </w:tcPr>
          <w:p w:rsidR="00B71F3A" w:rsidRDefault="00B71F3A" w:rsidP="003C5A7D">
            <w:pPr>
              <w:spacing w:line="276" w:lineRule="auto"/>
              <w:jc w:val="center"/>
            </w:pPr>
            <w:r>
              <w:t>8A.10</w:t>
            </w:r>
          </w:p>
        </w:tc>
        <w:tc>
          <w:tcPr>
            <w:tcW w:w="3103" w:type="dxa"/>
            <w:tcMar>
              <w:top w:w="0" w:type="dxa"/>
              <w:left w:w="108" w:type="dxa"/>
              <w:bottom w:w="0" w:type="dxa"/>
              <w:right w:w="108" w:type="dxa"/>
            </w:tcMar>
            <w:vAlign w:val="center"/>
          </w:tcPr>
          <w:p w:rsidR="00B71F3A" w:rsidRDefault="00B71F3A" w:rsidP="004206B4">
            <w:pPr>
              <w:spacing w:line="276" w:lineRule="auto"/>
              <w:rPr>
                <w:rFonts w:cs="Arial"/>
              </w:rPr>
            </w:pPr>
            <w:r>
              <w:rPr>
                <w:rFonts w:cs="Arial"/>
              </w:rPr>
              <w:t>There is no longer a distinguish made between “completed” and “uncompleted” observations</w:t>
            </w:r>
          </w:p>
        </w:tc>
        <w:tc>
          <w:tcPr>
            <w:tcW w:w="6077" w:type="dxa"/>
            <w:tcMar>
              <w:top w:w="0" w:type="dxa"/>
              <w:left w:w="108" w:type="dxa"/>
              <w:bottom w:w="0" w:type="dxa"/>
              <w:right w:w="108" w:type="dxa"/>
            </w:tcMar>
          </w:tcPr>
          <w:p w:rsidR="00B71F3A" w:rsidRDefault="00B71F3A" w:rsidP="003C5A7D">
            <w:pPr>
              <w:spacing w:line="276" w:lineRule="auto"/>
              <w:rPr>
                <w:rFonts w:cs="Arial"/>
                <w:color w:val="000000"/>
              </w:rPr>
            </w:pPr>
          </w:p>
        </w:tc>
      </w:tr>
      <w:tr w:rsidR="00B71F3A" w:rsidRPr="001D088E" w:rsidTr="009F6014">
        <w:tc>
          <w:tcPr>
            <w:tcW w:w="1188" w:type="dxa"/>
            <w:tcMar>
              <w:top w:w="0" w:type="dxa"/>
              <w:left w:w="108" w:type="dxa"/>
              <w:bottom w:w="0" w:type="dxa"/>
              <w:right w:w="108" w:type="dxa"/>
            </w:tcMar>
            <w:vAlign w:val="center"/>
          </w:tcPr>
          <w:p w:rsidR="00B71F3A" w:rsidRDefault="00401B56" w:rsidP="003C5A7D">
            <w:pPr>
              <w:spacing w:line="276" w:lineRule="auto"/>
              <w:jc w:val="center"/>
            </w:pPr>
            <w:r>
              <w:t>8A.11</w:t>
            </w:r>
          </w:p>
        </w:tc>
        <w:tc>
          <w:tcPr>
            <w:tcW w:w="3103" w:type="dxa"/>
            <w:tcMar>
              <w:top w:w="0" w:type="dxa"/>
              <w:left w:w="108" w:type="dxa"/>
              <w:bottom w:w="0" w:type="dxa"/>
              <w:right w:w="108" w:type="dxa"/>
            </w:tcMar>
            <w:vAlign w:val="center"/>
          </w:tcPr>
          <w:p w:rsidR="00B71F3A" w:rsidRDefault="00401B56" w:rsidP="00401B56">
            <w:pPr>
              <w:spacing w:line="276" w:lineRule="auto"/>
              <w:rPr>
                <w:rFonts w:cs="Arial"/>
              </w:rPr>
            </w:pPr>
            <w:r>
              <w:rPr>
                <w:rFonts w:cs="Arial"/>
              </w:rPr>
              <w:t>Final Evaluation Sections (Reflections, Final Notes, Final Recommendations) are no longer options on the report settings, as they are included as default settings.</w:t>
            </w:r>
          </w:p>
        </w:tc>
        <w:tc>
          <w:tcPr>
            <w:tcW w:w="6077" w:type="dxa"/>
            <w:tcMar>
              <w:top w:w="0" w:type="dxa"/>
              <w:left w:w="108" w:type="dxa"/>
              <w:bottom w:w="0" w:type="dxa"/>
              <w:right w:w="108" w:type="dxa"/>
            </w:tcMar>
          </w:tcPr>
          <w:p w:rsidR="00B71F3A" w:rsidRDefault="00401B56" w:rsidP="00401B56">
            <w:pPr>
              <w:spacing w:line="276" w:lineRule="auto"/>
              <w:rPr>
                <w:rFonts w:cs="Arial"/>
                <w:color w:val="000000"/>
              </w:rPr>
            </w:pPr>
            <w:r>
              <w:rPr>
                <w:rFonts w:cs="Arial"/>
                <w:color w:val="000000"/>
              </w:rPr>
              <w:t>These sections are included by default; however, the user is not required to enter information.  Should the user select not to enter  data in any of these sections, that particular section should not appear on the report or be referenced in any way.</w:t>
            </w:r>
          </w:p>
        </w:tc>
      </w:tr>
      <w:tr w:rsidR="002B4983" w:rsidRPr="001D088E" w:rsidTr="009F6014">
        <w:tc>
          <w:tcPr>
            <w:tcW w:w="1188" w:type="dxa"/>
            <w:tcMar>
              <w:top w:w="0" w:type="dxa"/>
              <w:left w:w="108" w:type="dxa"/>
              <w:bottom w:w="0" w:type="dxa"/>
              <w:right w:w="108" w:type="dxa"/>
            </w:tcMar>
            <w:vAlign w:val="center"/>
          </w:tcPr>
          <w:p w:rsidR="002B4983" w:rsidRDefault="002B4983" w:rsidP="003C5A7D">
            <w:pPr>
              <w:spacing w:line="276" w:lineRule="auto"/>
              <w:jc w:val="center"/>
            </w:pPr>
            <w:r>
              <w:t>8A.12</w:t>
            </w:r>
          </w:p>
        </w:tc>
        <w:tc>
          <w:tcPr>
            <w:tcW w:w="3103" w:type="dxa"/>
            <w:tcMar>
              <w:top w:w="0" w:type="dxa"/>
              <w:left w:w="108" w:type="dxa"/>
              <w:bottom w:w="0" w:type="dxa"/>
              <w:right w:w="108" w:type="dxa"/>
            </w:tcMar>
            <w:vAlign w:val="center"/>
          </w:tcPr>
          <w:p w:rsidR="002B4983" w:rsidRDefault="002B4983" w:rsidP="00401B56">
            <w:pPr>
              <w:spacing w:line="276" w:lineRule="auto"/>
              <w:rPr>
                <w:rFonts w:cs="Arial"/>
              </w:rPr>
            </w:pPr>
            <w:r>
              <w:rPr>
                <w:rFonts w:cs="Arial"/>
              </w:rPr>
              <w:t>Report settings should default to not selected.</w:t>
            </w:r>
          </w:p>
        </w:tc>
        <w:tc>
          <w:tcPr>
            <w:tcW w:w="6077" w:type="dxa"/>
            <w:tcMar>
              <w:top w:w="0" w:type="dxa"/>
              <w:left w:w="108" w:type="dxa"/>
              <w:bottom w:w="0" w:type="dxa"/>
              <w:right w:w="108" w:type="dxa"/>
            </w:tcMar>
          </w:tcPr>
          <w:p w:rsidR="002B4983" w:rsidRDefault="002B4983" w:rsidP="00401B56">
            <w:pPr>
              <w:spacing w:line="276" w:lineRule="auto"/>
              <w:rPr>
                <w:rFonts w:cs="Arial"/>
                <w:color w:val="000000"/>
              </w:rPr>
            </w:pPr>
            <w:r>
              <w:rPr>
                <w:rFonts w:cs="Arial"/>
                <w:color w:val="000000"/>
              </w:rPr>
              <w:t>If the user did not select any settings at all, their report would consist solely of the criteria scores</w:t>
            </w:r>
          </w:p>
        </w:tc>
      </w:tr>
      <w:tr w:rsidR="00B83330" w:rsidRPr="001D088E" w:rsidTr="009F6014">
        <w:tc>
          <w:tcPr>
            <w:tcW w:w="1188" w:type="dxa"/>
            <w:tcMar>
              <w:top w:w="0" w:type="dxa"/>
              <w:left w:w="108" w:type="dxa"/>
              <w:bottom w:w="0" w:type="dxa"/>
              <w:right w:w="108" w:type="dxa"/>
            </w:tcMar>
            <w:vAlign w:val="center"/>
          </w:tcPr>
          <w:p w:rsidR="00B83330" w:rsidRDefault="00B83330" w:rsidP="003C5A7D">
            <w:pPr>
              <w:spacing w:line="276" w:lineRule="auto"/>
              <w:jc w:val="center"/>
            </w:pPr>
            <w:r>
              <w:t>8A.13</w:t>
            </w:r>
          </w:p>
        </w:tc>
        <w:tc>
          <w:tcPr>
            <w:tcW w:w="3103" w:type="dxa"/>
            <w:tcMar>
              <w:top w:w="0" w:type="dxa"/>
              <w:left w:w="108" w:type="dxa"/>
              <w:bottom w:w="0" w:type="dxa"/>
              <w:right w:w="108" w:type="dxa"/>
            </w:tcMar>
            <w:vAlign w:val="center"/>
          </w:tcPr>
          <w:p w:rsidR="006002AC" w:rsidRPr="00B83330" w:rsidRDefault="00B83330" w:rsidP="00B83330">
            <w:r>
              <w:t xml:space="preserve">The report should be titled </w:t>
            </w:r>
            <w:r w:rsidR="00991C1C" w:rsidRPr="00B83330">
              <w:t>“Seattle Public Schools Certified Teacher Summative Evaluation Form”</w:t>
            </w:r>
            <w:r>
              <w:t xml:space="preserve"> and include the following information: </w:t>
            </w:r>
          </w:p>
          <w:p w:rsidR="006002AC" w:rsidRPr="00B83330" w:rsidRDefault="00991C1C" w:rsidP="00B83330">
            <w:r w:rsidRPr="00B83330">
              <w:lastRenderedPageBreak/>
              <w:t>Teacher</w:t>
            </w:r>
          </w:p>
          <w:p w:rsidR="006002AC" w:rsidRPr="00B83330" w:rsidRDefault="00991C1C" w:rsidP="00B83330">
            <w:r w:rsidRPr="00B83330">
              <w:t>Evaluator</w:t>
            </w:r>
          </w:p>
          <w:p w:rsidR="006002AC" w:rsidRPr="00B83330" w:rsidRDefault="00991C1C" w:rsidP="00B83330">
            <w:r w:rsidRPr="00B83330">
              <w:t>School year</w:t>
            </w:r>
          </w:p>
          <w:p w:rsidR="006002AC" w:rsidRPr="00B83330" w:rsidRDefault="00991C1C" w:rsidP="00B83330">
            <w:r w:rsidRPr="00B83330">
              <w:t>Current year’s evaluation cycle info and next year’s evaluation cycle info</w:t>
            </w:r>
          </w:p>
          <w:p w:rsidR="006002AC" w:rsidRPr="00B83330" w:rsidRDefault="00991C1C" w:rsidP="00B83330">
            <w:r w:rsidRPr="00B83330">
              <w:t xml:space="preserve">Report status </w:t>
            </w:r>
          </w:p>
          <w:p w:rsidR="006002AC" w:rsidRPr="00B83330" w:rsidRDefault="00991C1C" w:rsidP="00B83330">
            <w:r w:rsidRPr="00B83330">
              <w:t xml:space="preserve">Audit fields </w:t>
            </w:r>
          </w:p>
          <w:p w:rsidR="006002AC" w:rsidRPr="00B83330" w:rsidRDefault="00991C1C" w:rsidP="00B83330">
            <w:r w:rsidRPr="00B83330">
              <w:t>Final Evaluation Sections (Reflections, Final Notes, Final Recommendations)</w:t>
            </w:r>
          </w:p>
          <w:p w:rsidR="00B83330" w:rsidRDefault="00B83330" w:rsidP="00401B56">
            <w:pPr>
              <w:spacing w:line="276" w:lineRule="auto"/>
              <w:rPr>
                <w:rFonts w:cs="Arial"/>
              </w:rPr>
            </w:pPr>
          </w:p>
        </w:tc>
        <w:tc>
          <w:tcPr>
            <w:tcW w:w="6077" w:type="dxa"/>
            <w:tcMar>
              <w:top w:w="0" w:type="dxa"/>
              <w:left w:w="108" w:type="dxa"/>
              <w:bottom w:w="0" w:type="dxa"/>
              <w:right w:w="108" w:type="dxa"/>
            </w:tcMar>
          </w:tcPr>
          <w:p w:rsidR="00B83330" w:rsidRDefault="00CB31BF" w:rsidP="00401B56">
            <w:pPr>
              <w:spacing w:line="276" w:lineRule="auto"/>
              <w:rPr>
                <w:rFonts w:cs="Arial"/>
                <w:color w:val="000000"/>
              </w:rPr>
            </w:pPr>
            <w:r>
              <w:rPr>
                <w:rFonts w:cs="Arial"/>
                <w:color w:val="000000"/>
              </w:rPr>
              <w:lastRenderedPageBreak/>
              <w:t>(Described in more detail in slide deck)</w:t>
            </w:r>
          </w:p>
        </w:tc>
      </w:tr>
      <w:tr w:rsidR="00166380" w:rsidRPr="001D088E" w:rsidTr="009F6014">
        <w:tc>
          <w:tcPr>
            <w:tcW w:w="1188" w:type="dxa"/>
            <w:tcMar>
              <w:top w:w="0" w:type="dxa"/>
              <w:left w:w="108" w:type="dxa"/>
              <w:bottom w:w="0" w:type="dxa"/>
              <w:right w:w="108" w:type="dxa"/>
            </w:tcMar>
            <w:vAlign w:val="center"/>
          </w:tcPr>
          <w:p w:rsidR="00166380" w:rsidRDefault="00166380" w:rsidP="003C5A7D">
            <w:pPr>
              <w:spacing w:line="276" w:lineRule="auto"/>
              <w:jc w:val="center"/>
            </w:pPr>
            <w:r>
              <w:lastRenderedPageBreak/>
              <w:t>8A.14</w:t>
            </w:r>
          </w:p>
        </w:tc>
        <w:tc>
          <w:tcPr>
            <w:tcW w:w="3103" w:type="dxa"/>
            <w:tcMar>
              <w:top w:w="0" w:type="dxa"/>
              <w:left w:w="108" w:type="dxa"/>
              <w:bottom w:w="0" w:type="dxa"/>
              <w:right w:w="108" w:type="dxa"/>
            </w:tcMar>
            <w:vAlign w:val="center"/>
          </w:tcPr>
          <w:p w:rsidR="00166380" w:rsidRDefault="00166380" w:rsidP="00B83330">
            <w:r>
              <w:t>The report created through this new workflow should either (1) only be available via the Summary panel or (2) if it is included in the Reports panel, it should be named in such a way that the user understands they are about to print the summative evaluation report just as they would if they were printing from the Scoring panel.</w:t>
            </w:r>
          </w:p>
        </w:tc>
        <w:tc>
          <w:tcPr>
            <w:tcW w:w="6077" w:type="dxa"/>
            <w:tcMar>
              <w:top w:w="0" w:type="dxa"/>
              <w:left w:w="108" w:type="dxa"/>
              <w:bottom w:w="0" w:type="dxa"/>
              <w:right w:w="108" w:type="dxa"/>
            </w:tcMar>
          </w:tcPr>
          <w:p w:rsidR="00166380" w:rsidRDefault="00166380" w:rsidP="00401B56">
            <w:pPr>
              <w:spacing w:line="276" w:lineRule="auto"/>
              <w:rPr>
                <w:rFonts w:cs="Arial"/>
                <w:color w:val="000000"/>
              </w:rPr>
            </w:pPr>
            <w:r>
              <w:rPr>
                <w:rFonts w:cs="Arial"/>
                <w:color w:val="000000"/>
              </w:rPr>
              <w:t>(The report is currently titled “Teacher Final Score Report”</w:t>
            </w:r>
            <w:r w:rsidR="00F07BAF">
              <w:rPr>
                <w:rFonts w:cs="Arial"/>
                <w:color w:val="000000"/>
              </w:rPr>
              <w:t xml:space="preserve"> which could be confusing to users that it exists in both places</w:t>
            </w:r>
            <w:r>
              <w:rPr>
                <w:rFonts w:cs="Arial"/>
                <w:color w:val="000000"/>
              </w:rPr>
              <w:t>)</w:t>
            </w:r>
          </w:p>
        </w:tc>
      </w:tr>
      <w:tr w:rsidR="00AD36A7" w:rsidRPr="001D088E" w:rsidTr="009F6014">
        <w:tc>
          <w:tcPr>
            <w:tcW w:w="1188" w:type="dxa"/>
            <w:tcMar>
              <w:top w:w="0" w:type="dxa"/>
              <w:left w:w="108" w:type="dxa"/>
              <w:bottom w:w="0" w:type="dxa"/>
              <w:right w:w="108" w:type="dxa"/>
            </w:tcMar>
            <w:vAlign w:val="center"/>
          </w:tcPr>
          <w:p w:rsidR="00AD36A7" w:rsidRDefault="00AD36A7" w:rsidP="003C5A7D">
            <w:pPr>
              <w:spacing w:line="276" w:lineRule="auto"/>
              <w:jc w:val="center"/>
            </w:pPr>
            <w:r>
              <w:t>8A.15</w:t>
            </w:r>
          </w:p>
        </w:tc>
        <w:tc>
          <w:tcPr>
            <w:tcW w:w="3103" w:type="dxa"/>
            <w:tcMar>
              <w:top w:w="0" w:type="dxa"/>
              <w:left w:w="108" w:type="dxa"/>
              <w:bottom w:w="0" w:type="dxa"/>
              <w:right w:w="108" w:type="dxa"/>
            </w:tcMar>
            <w:vAlign w:val="center"/>
          </w:tcPr>
          <w:p w:rsidR="00AD36A7" w:rsidRDefault="00AD36A7" w:rsidP="00B83330">
            <w:r>
              <w:t>The teacher will have a status screen letting them know what action to take on their report.</w:t>
            </w:r>
          </w:p>
        </w:tc>
        <w:tc>
          <w:tcPr>
            <w:tcW w:w="6077" w:type="dxa"/>
            <w:tcMar>
              <w:top w:w="0" w:type="dxa"/>
              <w:left w:w="108" w:type="dxa"/>
              <w:bottom w:w="0" w:type="dxa"/>
              <w:right w:w="108" w:type="dxa"/>
            </w:tcMar>
          </w:tcPr>
          <w:p w:rsidR="00AD36A7" w:rsidRDefault="00AD36A7" w:rsidP="00401B56">
            <w:pPr>
              <w:spacing w:line="276" w:lineRule="auto"/>
              <w:rPr>
                <w:rFonts w:cs="Arial"/>
                <w:color w:val="000000"/>
              </w:rPr>
            </w:pPr>
            <w:r>
              <w:rPr>
                <w:rFonts w:cs="Arial"/>
                <w:color w:val="000000"/>
              </w:rPr>
              <w:t>See deck for details – Screen T1</w:t>
            </w:r>
            <w:r w:rsidR="006C522C">
              <w:rPr>
                <w:rFonts w:cs="Arial"/>
                <w:color w:val="000000"/>
              </w:rPr>
              <w:t>.  The teacher cannot cancel out once they open their report.</w:t>
            </w:r>
          </w:p>
        </w:tc>
      </w:tr>
      <w:tr w:rsidR="00084C00" w:rsidRPr="001D088E" w:rsidTr="009F6014">
        <w:tc>
          <w:tcPr>
            <w:tcW w:w="1188" w:type="dxa"/>
            <w:tcMar>
              <w:top w:w="0" w:type="dxa"/>
              <w:left w:w="108" w:type="dxa"/>
              <w:bottom w:w="0" w:type="dxa"/>
              <w:right w:w="108" w:type="dxa"/>
            </w:tcMar>
            <w:vAlign w:val="center"/>
          </w:tcPr>
          <w:p w:rsidR="00084C00" w:rsidRDefault="00084C00" w:rsidP="003C5A7D">
            <w:pPr>
              <w:spacing w:line="276" w:lineRule="auto"/>
              <w:jc w:val="center"/>
            </w:pPr>
            <w:r>
              <w:t>8A.16</w:t>
            </w:r>
          </w:p>
        </w:tc>
        <w:tc>
          <w:tcPr>
            <w:tcW w:w="3103" w:type="dxa"/>
            <w:tcMar>
              <w:top w:w="0" w:type="dxa"/>
              <w:left w:w="108" w:type="dxa"/>
              <w:bottom w:w="0" w:type="dxa"/>
              <w:right w:w="108" w:type="dxa"/>
            </w:tcMar>
            <w:vAlign w:val="center"/>
          </w:tcPr>
          <w:p w:rsidR="00084C00" w:rsidRDefault="006C522C" w:rsidP="006C522C">
            <w:r>
              <w:t xml:space="preserve">The current navigation dashboard that evaluators use to see all scores and select a teacher for further scoring will be replaced by a new navigation dashboard which includes report status </w:t>
            </w:r>
          </w:p>
        </w:tc>
        <w:tc>
          <w:tcPr>
            <w:tcW w:w="6077" w:type="dxa"/>
            <w:tcMar>
              <w:top w:w="0" w:type="dxa"/>
              <w:left w:w="108" w:type="dxa"/>
              <w:bottom w:w="0" w:type="dxa"/>
              <w:right w:w="108" w:type="dxa"/>
            </w:tcMar>
          </w:tcPr>
          <w:p w:rsidR="00084C00" w:rsidRDefault="00FF0DA1" w:rsidP="00401B56">
            <w:pPr>
              <w:spacing w:line="276" w:lineRule="auto"/>
              <w:rPr>
                <w:rFonts w:cs="Arial"/>
                <w:color w:val="000000"/>
              </w:rPr>
            </w:pPr>
            <w:r>
              <w:rPr>
                <w:rFonts w:cs="Arial"/>
                <w:color w:val="000000"/>
              </w:rPr>
              <w:t>See Screen 5</w:t>
            </w:r>
          </w:p>
        </w:tc>
      </w:tr>
      <w:tr w:rsidR="007C162D" w:rsidRPr="001D088E" w:rsidTr="009F6014">
        <w:tc>
          <w:tcPr>
            <w:tcW w:w="1188" w:type="dxa"/>
            <w:tcMar>
              <w:top w:w="0" w:type="dxa"/>
              <w:left w:w="108" w:type="dxa"/>
              <w:bottom w:w="0" w:type="dxa"/>
              <w:right w:w="108" w:type="dxa"/>
            </w:tcMar>
            <w:vAlign w:val="center"/>
          </w:tcPr>
          <w:p w:rsidR="007C162D" w:rsidRDefault="007C162D" w:rsidP="003C5A7D">
            <w:pPr>
              <w:spacing w:line="276" w:lineRule="auto"/>
              <w:jc w:val="center"/>
            </w:pPr>
            <w:r>
              <w:t>8A.17</w:t>
            </w:r>
          </w:p>
        </w:tc>
        <w:tc>
          <w:tcPr>
            <w:tcW w:w="3103" w:type="dxa"/>
            <w:tcMar>
              <w:top w:w="0" w:type="dxa"/>
              <w:left w:w="108" w:type="dxa"/>
              <w:bottom w:w="0" w:type="dxa"/>
              <w:right w:w="108" w:type="dxa"/>
            </w:tcMar>
            <w:vAlign w:val="center"/>
          </w:tcPr>
          <w:p w:rsidR="007C162D" w:rsidRDefault="007C162D" w:rsidP="006C522C">
            <w:r>
              <w:t>New dashboard will be available to all roles except teacher showing work-in-progress summary for lifecycle phases</w:t>
            </w:r>
          </w:p>
        </w:tc>
        <w:tc>
          <w:tcPr>
            <w:tcW w:w="6077" w:type="dxa"/>
            <w:tcMar>
              <w:top w:w="0" w:type="dxa"/>
              <w:left w:w="108" w:type="dxa"/>
              <w:bottom w:w="0" w:type="dxa"/>
              <w:right w:w="108" w:type="dxa"/>
            </w:tcMar>
          </w:tcPr>
          <w:p w:rsidR="007C162D" w:rsidRDefault="007C162D" w:rsidP="007C162D">
            <w:pPr>
              <w:spacing w:line="276" w:lineRule="auto"/>
              <w:rPr>
                <w:rFonts w:cs="Arial"/>
                <w:color w:val="000000"/>
              </w:rPr>
            </w:pPr>
            <w:r>
              <w:rPr>
                <w:rFonts w:cs="Arial"/>
                <w:color w:val="000000"/>
              </w:rPr>
              <w:t>Users can see how many reports are in Draft, ready for conference,  waiting for teacher acknowledgement, dropped to paper or submitted.  Dashboard can be further filtered by school or evaluator .  (Exploring ability to view by Education Director)</w:t>
            </w:r>
            <w:r w:rsidR="00865AEF">
              <w:rPr>
                <w:rFonts w:cs="Arial"/>
                <w:color w:val="000000"/>
              </w:rPr>
              <w:t>.  See Screen 6.</w:t>
            </w:r>
          </w:p>
        </w:tc>
      </w:tr>
      <w:tr w:rsidR="00EA159C" w:rsidRPr="001D088E" w:rsidTr="009F6014">
        <w:tc>
          <w:tcPr>
            <w:tcW w:w="1188" w:type="dxa"/>
            <w:tcMar>
              <w:top w:w="0" w:type="dxa"/>
              <w:left w:w="108" w:type="dxa"/>
              <w:bottom w:w="0" w:type="dxa"/>
              <w:right w:w="108" w:type="dxa"/>
            </w:tcMar>
            <w:vAlign w:val="center"/>
          </w:tcPr>
          <w:p w:rsidR="00EA159C" w:rsidRDefault="00EA159C" w:rsidP="003C5A7D">
            <w:pPr>
              <w:spacing w:line="276" w:lineRule="auto"/>
              <w:jc w:val="center"/>
            </w:pPr>
            <w:r>
              <w:t>8A.18</w:t>
            </w:r>
          </w:p>
        </w:tc>
        <w:tc>
          <w:tcPr>
            <w:tcW w:w="3103" w:type="dxa"/>
            <w:tcMar>
              <w:top w:w="0" w:type="dxa"/>
              <w:left w:w="108" w:type="dxa"/>
              <w:bottom w:w="0" w:type="dxa"/>
              <w:right w:w="108" w:type="dxa"/>
            </w:tcMar>
            <w:vAlign w:val="center"/>
          </w:tcPr>
          <w:p w:rsidR="00EA159C" w:rsidRDefault="00EA159C" w:rsidP="006C522C">
            <w:r>
              <w:t>The Visibility Settings panel will be removed.</w:t>
            </w:r>
          </w:p>
        </w:tc>
        <w:tc>
          <w:tcPr>
            <w:tcW w:w="6077" w:type="dxa"/>
            <w:tcMar>
              <w:top w:w="0" w:type="dxa"/>
              <w:left w:w="108" w:type="dxa"/>
              <w:bottom w:w="0" w:type="dxa"/>
              <w:right w:w="108" w:type="dxa"/>
            </w:tcMar>
          </w:tcPr>
          <w:p w:rsidR="00EA159C" w:rsidRDefault="00EA159C" w:rsidP="007C162D">
            <w:pPr>
              <w:spacing w:line="276" w:lineRule="auto"/>
              <w:rPr>
                <w:rFonts w:cs="Arial"/>
                <w:color w:val="000000"/>
              </w:rPr>
            </w:pPr>
            <w:r>
              <w:rPr>
                <w:rFonts w:cs="Arial"/>
                <w:color w:val="000000"/>
              </w:rPr>
              <w:t>(Because visibility is now determined by the report’s stage in the lifecycle)</w:t>
            </w:r>
          </w:p>
        </w:tc>
      </w:tr>
      <w:tr w:rsidR="004B6DD9" w:rsidRPr="001D088E" w:rsidTr="009F6014">
        <w:tc>
          <w:tcPr>
            <w:tcW w:w="1188" w:type="dxa"/>
            <w:tcMar>
              <w:top w:w="0" w:type="dxa"/>
              <w:left w:w="108" w:type="dxa"/>
              <w:bottom w:w="0" w:type="dxa"/>
              <w:right w:w="108" w:type="dxa"/>
            </w:tcMar>
            <w:vAlign w:val="center"/>
          </w:tcPr>
          <w:p w:rsidR="004B6DD9" w:rsidRDefault="004B6DD9" w:rsidP="003C5A7D">
            <w:pPr>
              <w:spacing w:line="276" w:lineRule="auto"/>
              <w:jc w:val="center"/>
            </w:pPr>
            <w:r>
              <w:t>8A.19</w:t>
            </w:r>
          </w:p>
        </w:tc>
        <w:tc>
          <w:tcPr>
            <w:tcW w:w="3103" w:type="dxa"/>
            <w:tcMar>
              <w:top w:w="0" w:type="dxa"/>
              <w:left w:w="108" w:type="dxa"/>
              <w:bottom w:w="0" w:type="dxa"/>
              <w:right w:w="108" w:type="dxa"/>
            </w:tcMar>
            <w:vAlign w:val="center"/>
          </w:tcPr>
          <w:p w:rsidR="004B6DD9" w:rsidRDefault="004B6DD9" w:rsidP="006C522C">
            <w:r>
              <w:t>Here is the blurb to be placed above the report settings panel</w:t>
            </w:r>
          </w:p>
        </w:tc>
        <w:tc>
          <w:tcPr>
            <w:tcW w:w="6077" w:type="dxa"/>
            <w:tcMar>
              <w:top w:w="0" w:type="dxa"/>
              <w:left w:w="108" w:type="dxa"/>
              <w:bottom w:w="0" w:type="dxa"/>
              <w:right w:w="108" w:type="dxa"/>
            </w:tcMar>
          </w:tcPr>
          <w:p w:rsidR="004B6DD9" w:rsidRDefault="004B6DD9" w:rsidP="007C162D">
            <w:pPr>
              <w:spacing w:line="276" w:lineRule="auto"/>
              <w:rPr>
                <w:rFonts w:cs="Arial"/>
                <w:color w:val="000000"/>
              </w:rPr>
            </w:pPr>
            <w:r>
              <w:rPr>
                <w:rFonts w:cs="Arial"/>
                <w:color w:val="000000"/>
              </w:rPr>
              <w:t>If  in draft:</w:t>
            </w:r>
          </w:p>
          <w:p w:rsidR="004B6DD9" w:rsidRDefault="004B6DD9" w:rsidP="007C162D">
            <w:pPr>
              <w:spacing w:line="276" w:lineRule="auto"/>
              <w:rPr>
                <w:rFonts w:cs="Arial"/>
                <w:color w:val="000000"/>
              </w:rPr>
            </w:pPr>
            <w:r>
              <w:rPr>
                <w:rFonts w:cs="Arial"/>
                <w:color w:val="000000"/>
              </w:rPr>
              <w:t>“This report is currently in draft.  Use the report settings below to determine what elements to include on your report.  These settings will be locked after you move from Draft mode.”</w:t>
            </w:r>
          </w:p>
          <w:p w:rsidR="004B6DD9" w:rsidRDefault="004B6DD9" w:rsidP="007C162D">
            <w:pPr>
              <w:spacing w:line="276" w:lineRule="auto"/>
              <w:rPr>
                <w:rFonts w:cs="Arial"/>
                <w:color w:val="000000"/>
              </w:rPr>
            </w:pPr>
            <w:r>
              <w:rPr>
                <w:rFonts w:cs="Arial"/>
                <w:color w:val="000000"/>
              </w:rPr>
              <w:t>If no longer in draft:</w:t>
            </w:r>
          </w:p>
          <w:p w:rsidR="004B6DD9" w:rsidRDefault="004B6DD9" w:rsidP="007C162D">
            <w:pPr>
              <w:spacing w:line="276" w:lineRule="auto"/>
              <w:rPr>
                <w:rFonts w:cs="Arial"/>
                <w:color w:val="000000"/>
              </w:rPr>
            </w:pPr>
            <w:r>
              <w:rPr>
                <w:rFonts w:cs="Arial"/>
                <w:color w:val="000000"/>
              </w:rPr>
              <w:t>“Your report setttings are locked.  You must move your report back to Draft mode to modify further.”</w:t>
            </w:r>
          </w:p>
        </w:tc>
      </w:tr>
      <w:tr w:rsidR="004B6DD9" w:rsidRPr="001D088E" w:rsidTr="009F6014">
        <w:tc>
          <w:tcPr>
            <w:tcW w:w="1188" w:type="dxa"/>
            <w:tcMar>
              <w:top w:w="0" w:type="dxa"/>
              <w:left w:w="108" w:type="dxa"/>
              <w:bottom w:w="0" w:type="dxa"/>
              <w:right w:w="108" w:type="dxa"/>
            </w:tcMar>
            <w:vAlign w:val="center"/>
          </w:tcPr>
          <w:p w:rsidR="004B6DD9" w:rsidRDefault="004B6DD9" w:rsidP="003C5A7D">
            <w:pPr>
              <w:spacing w:line="276" w:lineRule="auto"/>
              <w:jc w:val="center"/>
            </w:pPr>
            <w:r>
              <w:lastRenderedPageBreak/>
              <w:t>8A.20</w:t>
            </w:r>
          </w:p>
        </w:tc>
        <w:tc>
          <w:tcPr>
            <w:tcW w:w="3103" w:type="dxa"/>
            <w:tcMar>
              <w:top w:w="0" w:type="dxa"/>
              <w:left w:w="108" w:type="dxa"/>
              <w:bottom w:w="0" w:type="dxa"/>
              <w:right w:w="108" w:type="dxa"/>
            </w:tcMar>
            <w:vAlign w:val="center"/>
          </w:tcPr>
          <w:p w:rsidR="004B6DD9" w:rsidRDefault="004B6DD9" w:rsidP="006C522C">
            <w:r>
              <w:t>Blurb to appear above Preview button</w:t>
            </w:r>
          </w:p>
        </w:tc>
        <w:tc>
          <w:tcPr>
            <w:tcW w:w="6077" w:type="dxa"/>
            <w:tcMar>
              <w:top w:w="0" w:type="dxa"/>
              <w:left w:w="108" w:type="dxa"/>
              <w:bottom w:w="0" w:type="dxa"/>
              <w:right w:w="108" w:type="dxa"/>
            </w:tcMar>
          </w:tcPr>
          <w:p w:rsidR="004B6DD9" w:rsidRDefault="004B6DD9" w:rsidP="007C162D">
            <w:pPr>
              <w:spacing w:line="276" w:lineRule="auto"/>
              <w:rPr>
                <w:rFonts w:cs="Arial"/>
                <w:color w:val="000000"/>
              </w:rPr>
            </w:pPr>
            <w:r>
              <w:rPr>
                <w:rFonts w:cs="Arial"/>
                <w:color w:val="000000"/>
              </w:rPr>
              <w:t>“Click the Preview Report button to refresh the screen below with your changes.”</w:t>
            </w:r>
          </w:p>
        </w:tc>
      </w:tr>
      <w:tr w:rsidR="00D044DD" w:rsidRPr="001D088E" w:rsidTr="009F6014">
        <w:tc>
          <w:tcPr>
            <w:tcW w:w="1188" w:type="dxa"/>
            <w:tcMar>
              <w:top w:w="0" w:type="dxa"/>
              <w:left w:w="108" w:type="dxa"/>
              <w:bottom w:w="0" w:type="dxa"/>
              <w:right w:w="108" w:type="dxa"/>
            </w:tcMar>
            <w:vAlign w:val="center"/>
          </w:tcPr>
          <w:p w:rsidR="00D044DD" w:rsidRDefault="00D044DD" w:rsidP="003D2B7E">
            <w:pPr>
              <w:spacing w:line="276" w:lineRule="auto"/>
              <w:jc w:val="center"/>
            </w:pPr>
            <w:r>
              <w:t>8</w:t>
            </w:r>
            <w:r w:rsidR="003D2B7E">
              <w:t>A</w:t>
            </w:r>
            <w:bookmarkStart w:id="13" w:name="_GoBack"/>
            <w:bookmarkEnd w:id="13"/>
            <w:r>
              <w:t>.21</w:t>
            </w:r>
          </w:p>
        </w:tc>
        <w:tc>
          <w:tcPr>
            <w:tcW w:w="3103" w:type="dxa"/>
            <w:tcMar>
              <w:top w:w="0" w:type="dxa"/>
              <w:left w:w="108" w:type="dxa"/>
              <w:bottom w:w="0" w:type="dxa"/>
              <w:right w:w="108" w:type="dxa"/>
            </w:tcMar>
            <w:vAlign w:val="center"/>
          </w:tcPr>
          <w:p w:rsidR="00D044DD" w:rsidRDefault="00D044DD" w:rsidP="006C522C">
            <w:r>
              <w:t>SIGNATURE BLOCK:</w:t>
            </w:r>
          </w:p>
          <w:p w:rsidR="00D044DD" w:rsidRDefault="00D044DD" w:rsidP="006C522C"/>
          <w:p w:rsidR="00D044DD" w:rsidRDefault="00D044DD" w:rsidP="006C522C">
            <w:r>
              <w:t xml:space="preserve">Signature block ONLY to be printed when  (1) user creates a PDF file AND (2) user has selected “Drop to Paper”.  </w:t>
            </w:r>
          </w:p>
          <w:p w:rsidR="00D044DD" w:rsidRDefault="00D044DD" w:rsidP="006C522C"/>
          <w:p w:rsidR="00D044DD" w:rsidRDefault="00D044DD" w:rsidP="006C522C">
            <w:r>
              <w:t>Signature block to not print to screen.</w:t>
            </w:r>
          </w:p>
          <w:p w:rsidR="00D044DD" w:rsidRDefault="00D044DD" w:rsidP="006C522C"/>
          <w:p w:rsidR="00D044DD" w:rsidRDefault="00D044DD" w:rsidP="006C522C">
            <w:r>
              <w:t>Signature block to not print on PDF in any other circumstances.</w:t>
            </w:r>
          </w:p>
        </w:tc>
        <w:tc>
          <w:tcPr>
            <w:tcW w:w="6077" w:type="dxa"/>
            <w:tcMar>
              <w:top w:w="0" w:type="dxa"/>
              <w:left w:w="108" w:type="dxa"/>
              <w:bottom w:w="0" w:type="dxa"/>
              <w:right w:w="108" w:type="dxa"/>
            </w:tcMar>
          </w:tcPr>
          <w:p w:rsidR="00D044DD" w:rsidRDefault="00D044DD" w:rsidP="007C162D">
            <w:pPr>
              <w:spacing w:line="276" w:lineRule="auto"/>
              <w:rPr>
                <w:rFonts w:cs="Arial"/>
                <w:color w:val="000000"/>
              </w:rPr>
            </w:pPr>
          </w:p>
        </w:tc>
      </w:tr>
    </w:tbl>
    <w:p w:rsidR="00BE4B37" w:rsidRDefault="00BE4B37" w:rsidP="006A1887">
      <w:pPr>
        <w:rPr>
          <w:b/>
          <w:u w:val="single"/>
        </w:rPr>
      </w:pPr>
      <w:bookmarkStart w:id="14" w:name="_Toc100563439"/>
      <w:bookmarkEnd w:id="8"/>
      <w:bookmarkEnd w:id="9"/>
      <w:bookmarkEnd w:id="10"/>
      <w:bookmarkEnd w:id="11"/>
      <w:bookmarkEnd w:id="14"/>
    </w:p>
    <w:p w:rsidR="009679DA" w:rsidRPr="006A1887" w:rsidRDefault="009679DA" w:rsidP="006A1887"/>
    <w:p w:rsidR="00252872" w:rsidRDefault="00BA58D9" w:rsidP="00252872">
      <w:pPr>
        <w:pStyle w:val="Heading1"/>
        <w:numPr>
          <w:ilvl w:val="0"/>
          <w:numId w:val="3"/>
        </w:numPr>
        <w:rPr>
          <w:lang w:val="en-GB"/>
        </w:rPr>
      </w:pPr>
      <w:bookmarkStart w:id="15" w:name="_Toc401140733"/>
      <w:r>
        <w:rPr>
          <w:lang w:val="en-GB"/>
        </w:rPr>
        <w:t xml:space="preserve">Review and </w:t>
      </w:r>
      <w:bookmarkEnd w:id="15"/>
      <w:r w:rsidR="00114639">
        <w:rPr>
          <w:lang w:val="en-GB"/>
        </w:rPr>
        <w:t>Approval</w:t>
      </w:r>
    </w:p>
    <w:p w:rsidR="00332FC1" w:rsidRPr="00332FC1" w:rsidRDefault="00991C1C" w:rsidP="00332FC1">
      <w:pPr>
        <w:rPr>
          <w:lang w:val="en-GB"/>
        </w:rPr>
      </w:pPr>
      <w:r>
        <w:rPr>
          <w:lang w:val="en-GB"/>
        </w:rPr>
        <w:t xml:space="preserve">The review/approval for </w:t>
      </w:r>
      <w:r w:rsidR="00332FC1">
        <w:rPr>
          <w:lang w:val="en-GB"/>
        </w:rPr>
        <w:t>BRD 8</w:t>
      </w:r>
      <w:r>
        <w:rPr>
          <w:lang w:val="en-GB"/>
        </w:rPr>
        <w:t xml:space="preserve"> provides formal consent for the workflow general design.  The details contained in this document do not need further approval as they are just further details of the approved concept.</w:t>
      </w:r>
    </w:p>
    <w:p w:rsidR="00114639" w:rsidRDefault="00114639" w:rsidP="00114639">
      <w:pPr>
        <w:pStyle w:val="Body"/>
        <w:rPr>
          <w:lang w:val="en-GB"/>
        </w:rPr>
      </w:pPr>
    </w:p>
    <w:p w:rsidR="00193100" w:rsidRPr="00193100" w:rsidRDefault="00193100" w:rsidP="001077F5">
      <w:pPr>
        <w:rPr>
          <w:lang w:val="en-GB"/>
        </w:rPr>
      </w:pPr>
    </w:p>
    <w:sectPr w:rsidR="00193100" w:rsidRPr="00193100" w:rsidSect="007F02A9">
      <w:headerReference w:type="default" r:id="rId12"/>
      <w:footerReference w:type="default" r:id="rId13"/>
      <w:pgSz w:w="12240" w:h="15840"/>
      <w:pgMar w:top="1440" w:right="1080" w:bottom="1440" w:left="1080" w:header="720" w:footer="720" w:gutter="245"/>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624" w:rsidRDefault="005A7624">
      <w:r>
        <w:separator/>
      </w:r>
    </w:p>
  </w:endnote>
  <w:endnote w:type="continuationSeparator" w:id="0">
    <w:p w:rsidR="005A7624" w:rsidRDefault="005A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624" w:rsidRDefault="003D2B7E" w:rsidP="003A6A3F">
    <w:pPr>
      <w:pStyle w:val="Footer"/>
      <w:tabs>
        <w:tab w:val="clear" w:pos="8640"/>
        <w:tab w:val="right" w:pos="9450"/>
      </w:tabs>
    </w:pPr>
    <w:r>
      <w:fldChar w:fldCharType="begin"/>
    </w:r>
    <w:r>
      <w:instrText xml:space="preserve"> FILENAME   \* MERGEFORMAT </w:instrText>
    </w:r>
    <w:r>
      <w:fldChar w:fldCharType="separate"/>
    </w:r>
    <w:r w:rsidR="00C920DF">
      <w:rPr>
        <w:noProof/>
      </w:rPr>
      <w:t>eVal BRD-No_8A_Evaluation Report Workflow v1.docx</w:t>
    </w:r>
    <w:r>
      <w:rPr>
        <w:noProof/>
      </w:rPr>
      <w:fldChar w:fldCharType="end"/>
    </w:r>
    <w:r w:rsidR="005A7624">
      <w:tab/>
      <w:t xml:space="preserve"> Page </w:t>
    </w:r>
    <w:sdt>
      <w:sdtPr>
        <w:rPr>
          <w:noProof/>
        </w:rPr>
        <w:id w:val="1563987487"/>
        <w:docPartObj>
          <w:docPartGallery w:val="Page Numbers (Bottom of Page)"/>
          <w:docPartUnique/>
        </w:docPartObj>
      </w:sdtPr>
      <w:sdtEndPr/>
      <w:sdtContent>
        <w:r w:rsidR="00991C1C">
          <w:fldChar w:fldCharType="begin"/>
        </w:r>
        <w:r w:rsidR="00991C1C">
          <w:instrText xml:space="preserve"> PAGE   \* MERGEFORMAT </w:instrText>
        </w:r>
        <w:r w:rsidR="00991C1C">
          <w:fldChar w:fldCharType="separate"/>
        </w:r>
        <w:r>
          <w:rPr>
            <w:noProof/>
          </w:rPr>
          <w:t>6</w:t>
        </w:r>
        <w:r w:rsidR="00991C1C">
          <w:rPr>
            <w:noProof/>
          </w:rPr>
          <w:fldChar w:fldCharType="end"/>
        </w:r>
        <w:r w:rsidR="005A7624">
          <w:rPr>
            <w:noProof/>
          </w:rPr>
          <w:t xml:space="preserve"> of </w:t>
        </w:r>
        <w:r>
          <w:fldChar w:fldCharType="begin"/>
        </w:r>
        <w:r>
          <w:instrText xml:space="preserve"> NUMPAGES   \* MERGEFORMAT </w:instrText>
        </w:r>
        <w:r>
          <w:fldChar w:fldCharType="separate"/>
        </w:r>
        <w:r>
          <w:rPr>
            <w:noProof/>
          </w:rPr>
          <w:t>6</w:t>
        </w:r>
        <w:r>
          <w:rPr>
            <w:noProof/>
          </w:rPr>
          <w:fldChar w:fldCharType="end"/>
        </w:r>
      </w:sdtContent>
    </w:sdt>
  </w:p>
  <w:p w:rsidR="005A7624" w:rsidRDefault="005A7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624" w:rsidRDefault="005A7624">
      <w:r>
        <w:separator/>
      </w:r>
    </w:p>
  </w:footnote>
  <w:footnote w:type="continuationSeparator" w:id="0">
    <w:p w:rsidR="005A7624" w:rsidRDefault="005A7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624" w:rsidRDefault="005A7624" w:rsidP="007F02A9">
    <w:pPr>
      <w:pStyle w:val="Header"/>
    </w:pPr>
    <w:r w:rsidRPr="00914081">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A7624" w:rsidRDefault="005A7624" w:rsidP="007F02A9">
    <w:pPr>
      <w:pStyle w:val="Header"/>
    </w:pPr>
  </w:p>
  <w:p w:rsidR="005A7624" w:rsidRPr="007F02A9" w:rsidRDefault="005A7624" w:rsidP="007F02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6C"/>
    <w:rsid w:val="0000608F"/>
    <w:rsid w:val="000137E0"/>
    <w:rsid w:val="000142B6"/>
    <w:rsid w:val="00014C26"/>
    <w:rsid w:val="000162BF"/>
    <w:rsid w:val="0001737E"/>
    <w:rsid w:val="00021133"/>
    <w:rsid w:val="00030431"/>
    <w:rsid w:val="00032E52"/>
    <w:rsid w:val="000345E8"/>
    <w:rsid w:val="00040B3D"/>
    <w:rsid w:val="00040DD8"/>
    <w:rsid w:val="00044B56"/>
    <w:rsid w:val="00047924"/>
    <w:rsid w:val="000539FE"/>
    <w:rsid w:val="0005790D"/>
    <w:rsid w:val="00060766"/>
    <w:rsid w:val="000646A1"/>
    <w:rsid w:val="00075E5B"/>
    <w:rsid w:val="00077144"/>
    <w:rsid w:val="00084C00"/>
    <w:rsid w:val="000907BB"/>
    <w:rsid w:val="0009418E"/>
    <w:rsid w:val="00095FF0"/>
    <w:rsid w:val="00096936"/>
    <w:rsid w:val="000A1E9E"/>
    <w:rsid w:val="000A27C0"/>
    <w:rsid w:val="000A2E75"/>
    <w:rsid w:val="000A4AB9"/>
    <w:rsid w:val="000B05FE"/>
    <w:rsid w:val="000B524B"/>
    <w:rsid w:val="000D35C5"/>
    <w:rsid w:val="000E245D"/>
    <w:rsid w:val="000E57A9"/>
    <w:rsid w:val="000E5904"/>
    <w:rsid w:val="001003ED"/>
    <w:rsid w:val="00100816"/>
    <w:rsid w:val="00106517"/>
    <w:rsid w:val="001072C9"/>
    <w:rsid w:val="001077F5"/>
    <w:rsid w:val="0011022F"/>
    <w:rsid w:val="00114639"/>
    <w:rsid w:val="00117FBD"/>
    <w:rsid w:val="00125811"/>
    <w:rsid w:val="00130003"/>
    <w:rsid w:val="00140BA2"/>
    <w:rsid w:val="00141919"/>
    <w:rsid w:val="00144DD7"/>
    <w:rsid w:val="00153456"/>
    <w:rsid w:val="00154321"/>
    <w:rsid w:val="00155FEB"/>
    <w:rsid w:val="00156D5E"/>
    <w:rsid w:val="00161707"/>
    <w:rsid w:val="00166380"/>
    <w:rsid w:val="00171ED4"/>
    <w:rsid w:val="00184714"/>
    <w:rsid w:val="00186C86"/>
    <w:rsid w:val="00190A5C"/>
    <w:rsid w:val="00191F18"/>
    <w:rsid w:val="00193100"/>
    <w:rsid w:val="00197E6C"/>
    <w:rsid w:val="001A2D48"/>
    <w:rsid w:val="001B63C1"/>
    <w:rsid w:val="001B71C6"/>
    <w:rsid w:val="001B795F"/>
    <w:rsid w:val="001C3815"/>
    <w:rsid w:val="001D202B"/>
    <w:rsid w:val="001D5B8F"/>
    <w:rsid w:val="001D76D1"/>
    <w:rsid w:val="001E3D42"/>
    <w:rsid w:val="001E698E"/>
    <w:rsid w:val="001E7B22"/>
    <w:rsid w:val="001F1BA5"/>
    <w:rsid w:val="001F1DC2"/>
    <w:rsid w:val="00206A62"/>
    <w:rsid w:val="00216038"/>
    <w:rsid w:val="00216C92"/>
    <w:rsid w:val="00217600"/>
    <w:rsid w:val="00220A3F"/>
    <w:rsid w:val="00221093"/>
    <w:rsid w:val="00221419"/>
    <w:rsid w:val="00224CBA"/>
    <w:rsid w:val="0022634B"/>
    <w:rsid w:val="002301F3"/>
    <w:rsid w:val="002317F8"/>
    <w:rsid w:val="002419AA"/>
    <w:rsid w:val="00252872"/>
    <w:rsid w:val="0025362B"/>
    <w:rsid w:val="002539AB"/>
    <w:rsid w:val="0026110A"/>
    <w:rsid w:val="002613C1"/>
    <w:rsid w:val="00262BBA"/>
    <w:rsid w:val="00263C74"/>
    <w:rsid w:val="00265CA6"/>
    <w:rsid w:val="0027111E"/>
    <w:rsid w:val="00276606"/>
    <w:rsid w:val="00276AF8"/>
    <w:rsid w:val="00281907"/>
    <w:rsid w:val="00281DB8"/>
    <w:rsid w:val="00295777"/>
    <w:rsid w:val="00297848"/>
    <w:rsid w:val="002B187C"/>
    <w:rsid w:val="002B4983"/>
    <w:rsid w:val="002D239C"/>
    <w:rsid w:val="002D6814"/>
    <w:rsid w:val="002D68EA"/>
    <w:rsid w:val="002E0AED"/>
    <w:rsid w:val="002E5824"/>
    <w:rsid w:val="002F1D55"/>
    <w:rsid w:val="002F1DF0"/>
    <w:rsid w:val="002F39EE"/>
    <w:rsid w:val="00300224"/>
    <w:rsid w:val="00301DFD"/>
    <w:rsid w:val="00321235"/>
    <w:rsid w:val="00332FC1"/>
    <w:rsid w:val="003354AD"/>
    <w:rsid w:val="00335D2B"/>
    <w:rsid w:val="00340A60"/>
    <w:rsid w:val="00343B8C"/>
    <w:rsid w:val="003475EC"/>
    <w:rsid w:val="00350859"/>
    <w:rsid w:val="003630E6"/>
    <w:rsid w:val="00364444"/>
    <w:rsid w:val="00364DF0"/>
    <w:rsid w:val="0037177B"/>
    <w:rsid w:val="0037499E"/>
    <w:rsid w:val="00376D55"/>
    <w:rsid w:val="00377046"/>
    <w:rsid w:val="00377E0E"/>
    <w:rsid w:val="003947A5"/>
    <w:rsid w:val="003A2C69"/>
    <w:rsid w:val="003A3FCA"/>
    <w:rsid w:val="003A511E"/>
    <w:rsid w:val="003A6A3F"/>
    <w:rsid w:val="003A7ACA"/>
    <w:rsid w:val="003A7E6E"/>
    <w:rsid w:val="003B162F"/>
    <w:rsid w:val="003B338E"/>
    <w:rsid w:val="003B3731"/>
    <w:rsid w:val="003C0928"/>
    <w:rsid w:val="003C1B7E"/>
    <w:rsid w:val="003C5A7D"/>
    <w:rsid w:val="003C712F"/>
    <w:rsid w:val="003C76DB"/>
    <w:rsid w:val="003D2B7E"/>
    <w:rsid w:val="003D3B85"/>
    <w:rsid w:val="003D6588"/>
    <w:rsid w:val="003F6D9F"/>
    <w:rsid w:val="00401B56"/>
    <w:rsid w:val="004067E2"/>
    <w:rsid w:val="0041152F"/>
    <w:rsid w:val="00416D46"/>
    <w:rsid w:val="004206B4"/>
    <w:rsid w:val="004265AC"/>
    <w:rsid w:val="004319CA"/>
    <w:rsid w:val="004434D0"/>
    <w:rsid w:val="00454A47"/>
    <w:rsid w:val="00456D9D"/>
    <w:rsid w:val="004732EA"/>
    <w:rsid w:val="004741F9"/>
    <w:rsid w:val="00477395"/>
    <w:rsid w:val="004776CA"/>
    <w:rsid w:val="00480144"/>
    <w:rsid w:val="0048170D"/>
    <w:rsid w:val="004B0110"/>
    <w:rsid w:val="004B6DD9"/>
    <w:rsid w:val="004B7BDA"/>
    <w:rsid w:val="004C61B9"/>
    <w:rsid w:val="004D1968"/>
    <w:rsid w:val="004D1BE1"/>
    <w:rsid w:val="004D74A6"/>
    <w:rsid w:val="004E12CC"/>
    <w:rsid w:val="004E4BBA"/>
    <w:rsid w:val="004F7E1C"/>
    <w:rsid w:val="00501101"/>
    <w:rsid w:val="00502E43"/>
    <w:rsid w:val="00504479"/>
    <w:rsid w:val="00505E22"/>
    <w:rsid w:val="0052090D"/>
    <w:rsid w:val="00520CD7"/>
    <w:rsid w:val="005241EC"/>
    <w:rsid w:val="00527C0D"/>
    <w:rsid w:val="00534F7F"/>
    <w:rsid w:val="00544026"/>
    <w:rsid w:val="0055073B"/>
    <w:rsid w:val="00554686"/>
    <w:rsid w:val="00555257"/>
    <w:rsid w:val="005606BA"/>
    <w:rsid w:val="005620E6"/>
    <w:rsid w:val="00564EF1"/>
    <w:rsid w:val="00572F2D"/>
    <w:rsid w:val="005758DB"/>
    <w:rsid w:val="00576F7C"/>
    <w:rsid w:val="005831BE"/>
    <w:rsid w:val="005849C0"/>
    <w:rsid w:val="00590A80"/>
    <w:rsid w:val="00590CC4"/>
    <w:rsid w:val="005A1040"/>
    <w:rsid w:val="005A7619"/>
    <w:rsid w:val="005A7624"/>
    <w:rsid w:val="005B14C4"/>
    <w:rsid w:val="005B2EDD"/>
    <w:rsid w:val="005B311A"/>
    <w:rsid w:val="005C32BD"/>
    <w:rsid w:val="005C6559"/>
    <w:rsid w:val="005D262F"/>
    <w:rsid w:val="005E2AF7"/>
    <w:rsid w:val="005E3C1A"/>
    <w:rsid w:val="005E5669"/>
    <w:rsid w:val="005F0658"/>
    <w:rsid w:val="005F20B9"/>
    <w:rsid w:val="005F22E3"/>
    <w:rsid w:val="005F27E4"/>
    <w:rsid w:val="005F6C27"/>
    <w:rsid w:val="005F7B95"/>
    <w:rsid w:val="006002AC"/>
    <w:rsid w:val="00611EF9"/>
    <w:rsid w:val="006131A3"/>
    <w:rsid w:val="00626E96"/>
    <w:rsid w:val="00635713"/>
    <w:rsid w:val="006418DA"/>
    <w:rsid w:val="00645CC0"/>
    <w:rsid w:val="00652428"/>
    <w:rsid w:val="00655104"/>
    <w:rsid w:val="006560B3"/>
    <w:rsid w:val="00657452"/>
    <w:rsid w:val="00670C74"/>
    <w:rsid w:val="00675C57"/>
    <w:rsid w:val="00677FDD"/>
    <w:rsid w:val="006814E5"/>
    <w:rsid w:val="00685614"/>
    <w:rsid w:val="00687779"/>
    <w:rsid w:val="00692A27"/>
    <w:rsid w:val="0069330C"/>
    <w:rsid w:val="00693832"/>
    <w:rsid w:val="006A1887"/>
    <w:rsid w:val="006A3FAC"/>
    <w:rsid w:val="006A4035"/>
    <w:rsid w:val="006A4C93"/>
    <w:rsid w:val="006A6245"/>
    <w:rsid w:val="006B2110"/>
    <w:rsid w:val="006B48F8"/>
    <w:rsid w:val="006C4D4D"/>
    <w:rsid w:val="006C522C"/>
    <w:rsid w:val="006C68B3"/>
    <w:rsid w:val="006C6D5C"/>
    <w:rsid w:val="006E589B"/>
    <w:rsid w:val="006F0720"/>
    <w:rsid w:val="006F1F18"/>
    <w:rsid w:val="006F3CE4"/>
    <w:rsid w:val="006F49B3"/>
    <w:rsid w:val="00700BC2"/>
    <w:rsid w:val="007011A3"/>
    <w:rsid w:val="00702418"/>
    <w:rsid w:val="0072693A"/>
    <w:rsid w:val="00734521"/>
    <w:rsid w:val="00740A30"/>
    <w:rsid w:val="00740D96"/>
    <w:rsid w:val="00743479"/>
    <w:rsid w:val="00743767"/>
    <w:rsid w:val="00746054"/>
    <w:rsid w:val="00746B5E"/>
    <w:rsid w:val="00754597"/>
    <w:rsid w:val="007561DB"/>
    <w:rsid w:val="007571B2"/>
    <w:rsid w:val="0076083C"/>
    <w:rsid w:val="00763BEA"/>
    <w:rsid w:val="007968D0"/>
    <w:rsid w:val="007A3966"/>
    <w:rsid w:val="007B0166"/>
    <w:rsid w:val="007B3576"/>
    <w:rsid w:val="007B4C81"/>
    <w:rsid w:val="007C162D"/>
    <w:rsid w:val="007C17E9"/>
    <w:rsid w:val="007C1AD0"/>
    <w:rsid w:val="007C1CFC"/>
    <w:rsid w:val="007C706C"/>
    <w:rsid w:val="007D261C"/>
    <w:rsid w:val="007E1CB7"/>
    <w:rsid w:val="007E28B3"/>
    <w:rsid w:val="007E2CF3"/>
    <w:rsid w:val="007E4961"/>
    <w:rsid w:val="007E702D"/>
    <w:rsid w:val="007F02A9"/>
    <w:rsid w:val="007F1FF0"/>
    <w:rsid w:val="007F7BDF"/>
    <w:rsid w:val="00802412"/>
    <w:rsid w:val="008104F8"/>
    <w:rsid w:val="008118A6"/>
    <w:rsid w:val="008120B4"/>
    <w:rsid w:val="00812E1B"/>
    <w:rsid w:val="008156EC"/>
    <w:rsid w:val="0081699C"/>
    <w:rsid w:val="008174D1"/>
    <w:rsid w:val="008411C8"/>
    <w:rsid w:val="0085009B"/>
    <w:rsid w:val="008512B0"/>
    <w:rsid w:val="00855E61"/>
    <w:rsid w:val="00860427"/>
    <w:rsid w:val="00863565"/>
    <w:rsid w:val="00865AEF"/>
    <w:rsid w:val="00867462"/>
    <w:rsid w:val="0087273C"/>
    <w:rsid w:val="008831E5"/>
    <w:rsid w:val="00884058"/>
    <w:rsid w:val="0088637E"/>
    <w:rsid w:val="008915EE"/>
    <w:rsid w:val="00892C22"/>
    <w:rsid w:val="008B48DF"/>
    <w:rsid w:val="008C426D"/>
    <w:rsid w:val="008D4AB7"/>
    <w:rsid w:val="008D75E0"/>
    <w:rsid w:val="008D7694"/>
    <w:rsid w:val="008E001E"/>
    <w:rsid w:val="008E31F6"/>
    <w:rsid w:val="008E3F6D"/>
    <w:rsid w:val="008E7D48"/>
    <w:rsid w:val="008F0839"/>
    <w:rsid w:val="008F7988"/>
    <w:rsid w:val="00902CE3"/>
    <w:rsid w:val="00911B40"/>
    <w:rsid w:val="00914081"/>
    <w:rsid w:val="0091439A"/>
    <w:rsid w:val="00932CB0"/>
    <w:rsid w:val="00956DBE"/>
    <w:rsid w:val="00956E72"/>
    <w:rsid w:val="009647CE"/>
    <w:rsid w:val="009679DA"/>
    <w:rsid w:val="0097074D"/>
    <w:rsid w:val="0097265F"/>
    <w:rsid w:val="00977277"/>
    <w:rsid w:val="00991209"/>
    <w:rsid w:val="00991C1C"/>
    <w:rsid w:val="009A3743"/>
    <w:rsid w:val="009A3DE8"/>
    <w:rsid w:val="009A48CC"/>
    <w:rsid w:val="009B1919"/>
    <w:rsid w:val="009B2182"/>
    <w:rsid w:val="009B2667"/>
    <w:rsid w:val="009C3DBF"/>
    <w:rsid w:val="009E1C87"/>
    <w:rsid w:val="009E2807"/>
    <w:rsid w:val="009E30F0"/>
    <w:rsid w:val="009E4F28"/>
    <w:rsid w:val="009E7E79"/>
    <w:rsid w:val="009F0334"/>
    <w:rsid w:val="009F0EC6"/>
    <w:rsid w:val="009F208E"/>
    <w:rsid w:val="009F6014"/>
    <w:rsid w:val="00A03968"/>
    <w:rsid w:val="00A07711"/>
    <w:rsid w:val="00A113F8"/>
    <w:rsid w:val="00A11432"/>
    <w:rsid w:val="00A22E28"/>
    <w:rsid w:val="00A22EA0"/>
    <w:rsid w:val="00A249AB"/>
    <w:rsid w:val="00A274C0"/>
    <w:rsid w:val="00A40D93"/>
    <w:rsid w:val="00A422AE"/>
    <w:rsid w:val="00A42423"/>
    <w:rsid w:val="00A43488"/>
    <w:rsid w:val="00A435EA"/>
    <w:rsid w:val="00A44428"/>
    <w:rsid w:val="00A44835"/>
    <w:rsid w:val="00A456A0"/>
    <w:rsid w:val="00A479F8"/>
    <w:rsid w:val="00A51A31"/>
    <w:rsid w:val="00A64112"/>
    <w:rsid w:val="00A86897"/>
    <w:rsid w:val="00A86BC0"/>
    <w:rsid w:val="00A95A20"/>
    <w:rsid w:val="00AA3E49"/>
    <w:rsid w:val="00AA6C60"/>
    <w:rsid w:val="00AB2D0A"/>
    <w:rsid w:val="00AC19D9"/>
    <w:rsid w:val="00AC65D6"/>
    <w:rsid w:val="00AC6EDE"/>
    <w:rsid w:val="00AD36A7"/>
    <w:rsid w:val="00AD4826"/>
    <w:rsid w:val="00AE284D"/>
    <w:rsid w:val="00AF089F"/>
    <w:rsid w:val="00AF1082"/>
    <w:rsid w:val="00B04C41"/>
    <w:rsid w:val="00B12335"/>
    <w:rsid w:val="00B15952"/>
    <w:rsid w:val="00B17716"/>
    <w:rsid w:val="00B31983"/>
    <w:rsid w:val="00B36604"/>
    <w:rsid w:val="00B44652"/>
    <w:rsid w:val="00B4743A"/>
    <w:rsid w:val="00B57334"/>
    <w:rsid w:val="00B62478"/>
    <w:rsid w:val="00B62769"/>
    <w:rsid w:val="00B64F6C"/>
    <w:rsid w:val="00B65EF5"/>
    <w:rsid w:val="00B66038"/>
    <w:rsid w:val="00B71A13"/>
    <w:rsid w:val="00B71F3A"/>
    <w:rsid w:val="00B73957"/>
    <w:rsid w:val="00B75EDB"/>
    <w:rsid w:val="00B76975"/>
    <w:rsid w:val="00B76D59"/>
    <w:rsid w:val="00B83330"/>
    <w:rsid w:val="00B836F6"/>
    <w:rsid w:val="00B83842"/>
    <w:rsid w:val="00B86F02"/>
    <w:rsid w:val="00B9050D"/>
    <w:rsid w:val="00BA58D9"/>
    <w:rsid w:val="00BB246B"/>
    <w:rsid w:val="00BB3A4E"/>
    <w:rsid w:val="00BC06B9"/>
    <w:rsid w:val="00BC1623"/>
    <w:rsid w:val="00BC3149"/>
    <w:rsid w:val="00BE1B30"/>
    <w:rsid w:val="00BE3718"/>
    <w:rsid w:val="00BE455D"/>
    <w:rsid w:val="00BE4B37"/>
    <w:rsid w:val="00BF414B"/>
    <w:rsid w:val="00BF5637"/>
    <w:rsid w:val="00C04247"/>
    <w:rsid w:val="00C157F3"/>
    <w:rsid w:val="00C22B73"/>
    <w:rsid w:val="00C26E36"/>
    <w:rsid w:val="00C3102B"/>
    <w:rsid w:val="00C318F5"/>
    <w:rsid w:val="00C35861"/>
    <w:rsid w:val="00C35E67"/>
    <w:rsid w:val="00C431EE"/>
    <w:rsid w:val="00C4328D"/>
    <w:rsid w:val="00C477AE"/>
    <w:rsid w:val="00C50995"/>
    <w:rsid w:val="00C5440D"/>
    <w:rsid w:val="00C55462"/>
    <w:rsid w:val="00C62DFB"/>
    <w:rsid w:val="00C6722D"/>
    <w:rsid w:val="00C70224"/>
    <w:rsid w:val="00C70684"/>
    <w:rsid w:val="00C706C9"/>
    <w:rsid w:val="00C71356"/>
    <w:rsid w:val="00C7180D"/>
    <w:rsid w:val="00C7287A"/>
    <w:rsid w:val="00C72F7A"/>
    <w:rsid w:val="00C73BB6"/>
    <w:rsid w:val="00C760C6"/>
    <w:rsid w:val="00C877AA"/>
    <w:rsid w:val="00C87C0B"/>
    <w:rsid w:val="00C90220"/>
    <w:rsid w:val="00C920DF"/>
    <w:rsid w:val="00C95A7E"/>
    <w:rsid w:val="00C969B0"/>
    <w:rsid w:val="00CA654F"/>
    <w:rsid w:val="00CB31BF"/>
    <w:rsid w:val="00CB6E64"/>
    <w:rsid w:val="00CC323D"/>
    <w:rsid w:val="00CE4B80"/>
    <w:rsid w:val="00D044DD"/>
    <w:rsid w:val="00D10D93"/>
    <w:rsid w:val="00D245BC"/>
    <w:rsid w:val="00D27AC0"/>
    <w:rsid w:val="00D27C96"/>
    <w:rsid w:val="00D33950"/>
    <w:rsid w:val="00D4124F"/>
    <w:rsid w:val="00D44879"/>
    <w:rsid w:val="00D54753"/>
    <w:rsid w:val="00D63F2E"/>
    <w:rsid w:val="00D65EA4"/>
    <w:rsid w:val="00D67D1C"/>
    <w:rsid w:val="00D712A5"/>
    <w:rsid w:val="00D761E8"/>
    <w:rsid w:val="00D81645"/>
    <w:rsid w:val="00D841F3"/>
    <w:rsid w:val="00D864D6"/>
    <w:rsid w:val="00D93A74"/>
    <w:rsid w:val="00D9685B"/>
    <w:rsid w:val="00DA081A"/>
    <w:rsid w:val="00DA083D"/>
    <w:rsid w:val="00DA388A"/>
    <w:rsid w:val="00DA5BE0"/>
    <w:rsid w:val="00DB053C"/>
    <w:rsid w:val="00DB1D16"/>
    <w:rsid w:val="00DB6764"/>
    <w:rsid w:val="00DD54E8"/>
    <w:rsid w:val="00DE2F85"/>
    <w:rsid w:val="00DE3D07"/>
    <w:rsid w:val="00DF6855"/>
    <w:rsid w:val="00E06372"/>
    <w:rsid w:val="00E25B82"/>
    <w:rsid w:val="00E26A55"/>
    <w:rsid w:val="00E26C69"/>
    <w:rsid w:val="00E301A6"/>
    <w:rsid w:val="00E32FCE"/>
    <w:rsid w:val="00E3500C"/>
    <w:rsid w:val="00E40986"/>
    <w:rsid w:val="00E416D5"/>
    <w:rsid w:val="00E41729"/>
    <w:rsid w:val="00E41D88"/>
    <w:rsid w:val="00E50C90"/>
    <w:rsid w:val="00E55636"/>
    <w:rsid w:val="00E62372"/>
    <w:rsid w:val="00E629E4"/>
    <w:rsid w:val="00E64CA1"/>
    <w:rsid w:val="00E6536B"/>
    <w:rsid w:val="00E66BAC"/>
    <w:rsid w:val="00E6760C"/>
    <w:rsid w:val="00E77AC8"/>
    <w:rsid w:val="00E81146"/>
    <w:rsid w:val="00E843E2"/>
    <w:rsid w:val="00E875C0"/>
    <w:rsid w:val="00E87A8E"/>
    <w:rsid w:val="00E87FE2"/>
    <w:rsid w:val="00EA159C"/>
    <w:rsid w:val="00EA298C"/>
    <w:rsid w:val="00EA6619"/>
    <w:rsid w:val="00EB0610"/>
    <w:rsid w:val="00EB1122"/>
    <w:rsid w:val="00EB4242"/>
    <w:rsid w:val="00EB78F2"/>
    <w:rsid w:val="00EC310B"/>
    <w:rsid w:val="00EC48B2"/>
    <w:rsid w:val="00EC7E3B"/>
    <w:rsid w:val="00ED4040"/>
    <w:rsid w:val="00ED4BA9"/>
    <w:rsid w:val="00ED6B6A"/>
    <w:rsid w:val="00ED7684"/>
    <w:rsid w:val="00EE16D0"/>
    <w:rsid w:val="00EF0696"/>
    <w:rsid w:val="00EF0CE4"/>
    <w:rsid w:val="00EF17E5"/>
    <w:rsid w:val="00EF3A5E"/>
    <w:rsid w:val="00F00E74"/>
    <w:rsid w:val="00F036C9"/>
    <w:rsid w:val="00F07BAF"/>
    <w:rsid w:val="00F11394"/>
    <w:rsid w:val="00F11602"/>
    <w:rsid w:val="00F11DC8"/>
    <w:rsid w:val="00F1648B"/>
    <w:rsid w:val="00F244EC"/>
    <w:rsid w:val="00F276F9"/>
    <w:rsid w:val="00F30159"/>
    <w:rsid w:val="00F33373"/>
    <w:rsid w:val="00F35692"/>
    <w:rsid w:val="00F378BE"/>
    <w:rsid w:val="00F4336A"/>
    <w:rsid w:val="00F46B06"/>
    <w:rsid w:val="00F562B8"/>
    <w:rsid w:val="00F5691F"/>
    <w:rsid w:val="00F63688"/>
    <w:rsid w:val="00F706BB"/>
    <w:rsid w:val="00F7130A"/>
    <w:rsid w:val="00F7149B"/>
    <w:rsid w:val="00F72BE1"/>
    <w:rsid w:val="00F747A4"/>
    <w:rsid w:val="00F81038"/>
    <w:rsid w:val="00F8490A"/>
    <w:rsid w:val="00FA1ABB"/>
    <w:rsid w:val="00FB0C6F"/>
    <w:rsid w:val="00FB4817"/>
    <w:rsid w:val="00FC7936"/>
    <w:rsid w:val="00FD1FC0"/>
    <w:rsid w:val="00FD56E7"/>
    <w:rsid w:val="00FD7432"/>
    <w:rsid w:val="00FE1234"/>
    <w:rsid w:val="00FE4D8F"/>
    <w:rsid w:val="00FE712B"/>
    <w:rsid w:val="00FE7AAC"/>
    <w:rsid w:val="00FF0DA1"/>
    <w:rsid w:val="00FF28B7"/>
    <w:rsid w:val="00FF573B"/>
    <w:rsid w:val="00FF57C4"/>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3A6A3F"/>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3A6A3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998772306">
      <w:bodyDiv w:val="1"/>
      <w:marLeft w:val="0"/>
      <w:marRight w:val="0"/>
      <w:marTop w:val="0"/>
      <w:marBottom w:val="0"/>
      <w:divBdr>
        <w:top w:val="none" w:sz="0" w:space="0" w:color="auto"/>
        <w:left w:val="none" w:sz="0" w:space="0" w:color="auto"/>
        <w:bottom w:val="none" w:sz="0" w:space="0" w:color="auto"/>
        <w:right w:val="none" w:sz="0" w:space="0" w:color="auto"/>
      </w:divBdr>
      <w:divsChild>
        <w:div w:id="1123571313">
          <w:marLeft w:val="547"/>
          <w:marRight w:val="0"/>
          <w:marTop w:val="96"/>
          <w:marBottom w:val="0"/>
          <w:divBdr>
            <w:top w:val="none" w:sz="0" w:space="0" w:color="auto"/>
            <w:left w:val="none" w:sz="0" w:space="0" w:color="auto"/>
            <w:bottom w:val="none" w:sz="0" w:space="0" w:color="auto"/>
            <w:right w:val="none" w:sz="0" w:space="0" w:color="auto"/>
          </w:divBdr>
        </w:div>
        <w:div w:id="1983198139">
          <w:marLeft w:val="547"/>
          <w:marRight w:val="0"/>
          <w:marTop w:val="96"/>
          <w:marBottom w:val="0"/>
          <w:divBdr>
            <w:top w:val="none" w:sz="0" w:space="0" w:color="auto"/>
            <w:left w:val="none" w:sz="0" w:space="0" w:color="auto"/>
            <w:bottom w:val="none" w:sz="0" w:space="0" w:color="auto"/>
            <w:right w:val="none" w:sz="0" w:space="0" w:color="auto"/>
          </w:divBdr>
        </w:div>
        <w:div w:id="1661302637">
          <w:marLeft w:val="547"/>
          <w:marRight w:val="0"/>
          <w:marTop w:val="96"/>
          <w:marBottom w:val="0"/>
          <w:divBdr>
            <w:top w:val="none" w:sz="0" w:space="0" w:color="auto"/>
            <w:left w:val="none" w:sz="0" w:space="0" w:color="auto"/>
            <w:bottom w:val="none" w:sz="0" w:space="0" w:color="auto"/>
            <w:right w:val="none" w:sz="0" w:space="0" w:color="auto"/>
          </w:divBdr>
        </w:div>
        <w:div w:id="2127693536">
          <w:marLeft w:val="547"/>
          <w:marRight w:val="0"/>
          <w:marTop w:val="96"/>
          <w:marBottom w:val="0"/>
          <w:divBdr>
            <w:top w:val="none" w:sz="0" w:space="0" w:color="auto"/>
            <w:left w:val="none" w:sz="0" w:space="0" w:color="auto"/>
            <w:bottom w:val="none" w:sz="0" w:space="0" w:color="auto"/>
            <w:right w:val="none" w:sz="0" w:space="0" w:color="auto"/>
          </w:divBdr>
        </w:div>
        <w:div w:id="323631940">
          <w:marLeft w:val="547"/>
          <w:marRight w:val="0"/>
          <w:marTop w:val="96"/>
          <w:marBottom w:val="0"/>
          <w:divBdr>
            <w:top w:val="none" w:sz="0" w:space="0" w:color="auto"/>
            <w:left w:val="none" w:sz="0" w:space="0" w:color="auto"/>
            <w:bottom w:val="none" w:sz="0" w:space="0" w:color="auto"/>
            <w:right w:val="none" w:sz="0" w:space="0" w:color="auto"/>
          </w:divBdr>
        </w:div>
        <w:div w:id="1402632987">
          <w:marLeft w:val="1166"/>
          <w:marRight w:val="0"/>
          <w:marTop w:val="77"/>
          <w:marBottom w:val="0"/>
          <w:divBdr>
            <w:top w:val="none" w:sz="0" w:space="0" w:color="auto"/>
            <w:left w:val="none" w:sz="0" w:space="0" w:color="auto"/>
            <w:bottom w:val="none" w:sz="0" w:space="0" w:color="auto"/>
            <w:right w:val="none" w:sz="0" w:space="0" w:color="auto"/>
          </w:divBdr>
        </w:div>
        <w:div w:id="647783400">
          <w:marLeft w:val="547"/>
          <w:marRight w:val="0"/>
          <w:marTop w:val="96"/>
          <w:marBottom w:val="0"/>
          <w:divBdr>
            <w:top w:val="none" w:sz="0" w:space="0" w:color="auto"/>
            <w:left w:val="none" w:sz="0" w:space="0" w:color="auto"/>
            <w:bottom w:val="none" w:sz="0" w:space="0" w:color="auto"/>
            <w:right w:val="none" w:sz="0" w:space="0" w:color="auto"/>
          </w:divBdr>
        </w:div>
        <w:div w:id="1500347329">
          <w:marLeft w:val="1166"/>
          <w:marRight w:val="0"/>
          <w:marTop w:val="77"/>
          <w:marBottom w:val="0"/>
          <w:divBdr>
            <w:top w:val="none" w:sz="0" w:space="0" w:color="auto"/>
            <w:left w:val="none" w:sz="0" w:space="0" w:color="auto"/>
            <w:bottom w:val="none" w:sz="0" w:space="0" w:color="auto"/>
            <w:right w:val="none" w:sz="0" w:space="0" w:color="auto"/>
          </w:divBdr>
        </w:div>
        <w:div w:id="185991685">
          <w:marLeft w:val="547"/>
          <w:marRight w:val="0"/>
          <w:marTop w:val="96"/>
          <w:marBottom w:val="0"/>
          <w:divBdr>
            <w:top w:val="none" w:sz="0" w:space="0" w:color="auto"/>
            <w:left w:val="none" w:sz="0" w:space="0" w:color="auto"/>
            <w:bottom w:val="none" w:sz="0" w:space="0" w:color="auto"/>
            <w:right w:val="none" w:sz="0" w:space="0" w:color="auto"/>
          </w:divBdr>
        </w:div>
        <w:div w:id="430198953">
          <w:marLeft w:val="547"/>
          <w:marRight w:val="0"/>
          <w:marTop w:val="96"/>
          <w:marBottom w:val="0"/>
          <w:divBdr>
            <w:top w:val="none" w:sz="0" w:space="0" w:color="auto"/>
            <w:left w:val="none" w:sz="0" w:space="0" w:color="auto"/>
            <w:bottom w:val="none" w:sz="0" w:space="0" w:color="auto"/>
            <w:right w:val="none" w:sz="0" w:space="0" w:color="auto"/>
          </w:divBdr>
        </w:div>
        <w:div w:id="2035105931">
          <w:marLeft w:val="547"/>
          <w:marRight w:val="0"/>
          <w:marTop w:val="96"/>
          <w:marBottom w:val="0"/>
          <w:divBdr>
            <w:top w:val="none" w:sz="0" w:space="0" w:color="auto"/>
            <w:left w:val="none" w:sz="0" w:space="0" w:color="auto"/>
            <w:bottom w:val="none" w:sz="0" w:space="0" w:color="auto"/>
            <w:right w:val="none" w:sz="0" w:space="0" w:color="auto"/>
          </w:divBdr>
        </w:div>
      </w:divsChild>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300964360">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7F916BB2-C870-47C9-8FE5-F703AE2A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55</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7351</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Schmidt, Donna J</cp:lastModifiedBy>
  <cp:revision>5</cp:revision>
  <cp:lastPrinted>2004-07-04T17:47:00Z</cp:lastPrinted>
  <dcterms:created xsi:type="dcterms:W3CDTF">2015-03-06T18:38:00Z</dcterms:created>
  <dcterms:modified xsi:type="dcterms:W3CDTF">2015-03-06T19:33:00Z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